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1A56DB"/>
          <w:sz w:val="60"/>
          <w:szCs w:val="60"/>
        </w:rPr>
        <w:t xml:space="preserve">StockClarify</w:t>
      </w:r>
    </w:p>
    <w:p>
      <w:pPr>
        <w:spacing w:after="60" w:before="0"/>
      </w:pPr>
      <w:r>
        <w:rPr>
          <w:rFonts w:ascii="Arial" w:cs="Arial" w:eastAsia="Arial" w:hAnsi="Arial"/>
          <w:color w:val="6B7280"/>
          <w:sz w:val="30"/>
          <w:szCs w:val="30"/>
        </w:rPr>
        <w:t xml:space="preserve">Product Thesis</w:t>
      </w:r>
    </w:p>
    <w:p>
      <w:pPr>
        <w:spacing w:after="40" w:before="0"/>
      </w:pPr>
      <w:r>
        <w:rPr>
          <w:rFonts w:ascii="Arial" w:cs="Arial" w:eastAsia="Arial" w:hAnsi="Arial"/>
          <w:i/>
          <w:iCs/>
          <w:color w:val="6B7280"/>
          <w:sz w:val="20"/>
          <w:szCs w:val="20"/>
        </w:rPr>
        <w:t xml:space="preserve">Version 2.2  ·  April 2026</w:t>
      </w:r>
    </w:p>
    <w:p>
      <w:pPr>
        <w:pBdr>
          <w:bottom w:val="single" w:color="DBEAFE" w:sz="3" w:space="1"/>
        </w:pBdr>
        <w:spacing w:after="200" w:before="200"/>
      </w:pPr>
      <w:r>
        <w:t xml:space="preserve"/>
      </w:r>
    </w:p>
    <w:p>
      <w:pPr>
        <w:pStyle w:val="Heading1"/>
        <w:spacing w:after="120" w:before="400"/>
      </w:pPr>
      <w:r>
        <w:rPr>
          <w:rFonts w:ascii="Arial" w:cs="Arial" w:eastAsia="Arial" w:hAnsi="Arial"/>
          <w:b/>
          <w:bCs/>
          <w:color w:val="111827"/>
          <w:sz w:val="30"/>
          <w:szCs w:val="30"/>
        </w:rPr>
        <w:t xml:space="preserve">Overview</w:t>
      </w:r>
    </w:p>
    <w:p>
      <w:pPr>
        <w:spacing w:after="120" w:before="80"/>
      </w:pPr>
      <w:r>
        <w:rPr>
          <w:rFonts w:ascii="Arial" w:cs="Arial" w:eastAsia="Arial" w:hAnsi="Arial"/>
          <w:color w:val="111827"/>
          <w:sz w:val="22"/>
          <w:szCs w:val="22"/>
        </w:rPr>
        <w:t xml:space="preserve">StockClarify is an AI-powered investment companion for busy, non-professional investors who want to stay informed about the stocks they follow — without spending large amounts of time monitoring markets.</w:t>
      </w:r>
    </w:p>
    <w:p>
      <w:pPr>
        <w:spacing w:after="80" w:before="0"/>
      </w:pPr>
      <w:r>
        <w:t xml:space="preserve"/>
      </w:r>
    </w:p>
    <w:p>
      <w:pPr>
        <w:spacing w:after="120" w:before="80"/>
      </w:pPr>
      <w:r>
        <w:rPr>
          <w:rFonts w:ascii="Arial" w:cs="Arial" w:eastAsia="Arial" w:hAnsi="Arial"/>
          <w:color w:val="111827"/>
          <w:sz w:val="22"/>
          <w:szCs w:val="22"/>
        </w:rPr>
        <w:t xml:space="preserve">Many investors maintain a watchlist of companies they care about, but keeping track of relevant developments across earnings releases, news updates, analyst reports, and price movements can quickly become overwhelming. Information is widely available, but it is fragmented across multiple platforms and presented without context.</w:t>
      </w:r>
    </w:p>
    <w:p>
      <w:pPr>
        <w:spacing w:after="80" w:before="0"/>
      </w:pPr>
      <w:r>
        <w:t xml:space="preserve"/>
      </w:r>
    </w:p>
    <w:p>
      <w:pPr>
        <w:spacing w:after="120" w:before="80"/>
      </w:pPr>
      <w:r>
        <w:rPr>
          <w:rFonts w:ascii="Arial" w:cs="Arial" w:eastAsia="Arial" w:hAnsi="Arial"/>
          <w:color w:val="111827"/>
          <w:sz w:val="22"/>
          <w:szCs w:val="22"/>
        </w:rPr>
        <w:t xml:space="preserve">StockClarify addresses this by using AI-powered summarization to transform complex market information into concise, plain-language insights tailored to each user's watchlist. Instead of presenting more data, the platform focuses on surfacing the developments that are most relevant to the companies a user is monitoring.</w:t>
      </w:r>
    </w:p>
    <w:p>
      <w:pPr>
        <w:spacing w:after="80" w:before="0"/>
      </w:pPr>
      <w:r>
        <w:t xml:space="preserve"/>
      </w:r>
    </w:p>
    <w:p>
      <w:pPr>
        <w:pBdr>
          <w:left w:val="single" w:color="1A56DB" w:sz="6" w:space="10"/>
        </w:pBdr>
        <w:spacing w:after="100" w:before="100"/>
        <w:ind w:left="720"/>
      </w:pPr>
      <w:r>
        <w:rPr>
          <w:rFonts w:ascii="Arial" w:cs="Arial" w:eastAsia="Arial" w:hAnsi="Arial"/>
          <w:i/>
          <w:iCs/>
          <w:color w:val="6B7280"/>
          <w:sz w:val="22"/>
          <w:szCs w:val="22"/>
        </w:rPr>
        <w:t xml:space="preserve">The goal is simple: help users understand what matters for the stocks they follow, quickly and clearly.</w:t>
      </w:r>
    </w:p>
    <w:p>
      <w:pPr>
        <w:pBdr>
          <w:bottom w:val="single" w:color="DBEAFE" w:sz="3" w:space="1"/>
        </w:pBdr>
        <w:spacing w:after="200" w:before="200"/>
      </w:pPr>
      <w:r>
        <w:t xml:space="preserve"/>
      </w:r>
    </w:p>
    <w:p>
      <w:pPr>
        <w:pStyle w:val="Heading1"/>
        <w:spacing w:after="120" w:before="400"/>
      </w:pPr>
      <w:r>
        <w:rPr>
          <w:rFonts w:ascii="Arial" w:cs="Arial" w:eastAsia="Arial" w:hAnsi="Arial"/>
          <w:b/>
          <w:bCs/>
          <w:color w:val="111827"/>
          <w:sz w:val="30"/>
          <w:szCs w:val="30"/>
        </w:rPr>
        <w:t xml:space="preserve">Problem</w:t>
      </w:r>
    </w:p>
    <w:p>
      <w:pPr>
        <w:spacing w:after="120" w:before="80"/>
      </w:pPr>
      <w:r>
        <w:rPr>
          <w:rFonts w:ascii="Arial" w:cs="Arial" w:eastAsia="Arial" w:hAnsi="Arial"/>
          <w:color w:val="111827"/>
          <w:sz w:val="22"/>
          <w:szCs w:val="22"/>
        </w:rPr>
        <w:t xml:space="preserve">Retail investors today have access to more financial information than ever before. Earnings reports, analyst updates, price movements, and news are constantly published and widely accessible.</w:t>
      </w:r>
    </w:p>
    <w:p>
      <w:pPr>
        <w:spacing w:after="80" w:before="0"/>
      </w:pPr>
      <w:r>
        <w:t xml:space="preserve"/>
      </w:r>
    </w:p>
    <w:p>
      <w:pPr>
        <w:spacing w:after="120" w:before="80"/>
      </w:pPr>
      <w:r>
        <w:rPr>
          <w:rFonts w:ascii="Arial" w:cs="Arial" w:eastAsia="Arial" w:hAnsi="Arial"/>
          <w:color w:val="111827"/>
          <w:sz w:val="22"/>
          <w:szCs w:val="22"/>
        </w:rPr>
        <w:t xml:space="preserve">But this abundance creates a new challenge. For an investor following 15 stocks, a meaningful signal often surfaces hours after the moment to act has passed — spread across apps that deliver data but offer no interpretation.</w:t>
      </w:r>
    </w:p>
    <w:p>
      <w:pPr>
        <w:spacing w:after="80" w:before="0"/>
      </w:pPr>
      <w:r>
        <w:t xml:space="preserve"/>
      </w:r>
    </w:p>
    <w:p>
      <w:pPr>
        <w:spacing w:after="120" w:before="80"/>
      </w:pPr>
      <w:r>
        <w:rPr>
          <w:rFonts w:ascii="Arial" w:cs="Arial" w:eastAsia="Arial" w:hAnsi="Arial"/>
          <w:color w:val="111827"/>
          <w:sz w:val="22"/>
          <w:szCs w:val="22"/>
        </w:rPr>
        <w:t xml:space="preserve">The core challenge is not access to information. It is interpretation and prioritization. Many existing tools provide extensive data, but the responsibility for determining what matters still falls entirely on the user.</w:t>
      </w:r>
    </w:p>
    <w:p>
      <w:pPr>
        <w:pBdr>
          <w:bottom w:val="single" w:color="DBEAFE" w:sz="3" w:space="1"/>
        </w:pBdr>
        <w:spacing w:after="200" w:before="200"/>
      </w:pPr>
      <w:r>
        <w:t xml:space="preserve"/>
      </w:r>
    </w:p>
    <w:p>
      <w:pPr>
        <w:pStyle w:val="Heading1"/>
        <w:spacing w:after="120" w:before="400"/>
      </w:pPr>
      <w:r>
        <w:rPr>
          <w:rFonts w:ascii="Arial" w:cs="Arial" w:eastAsia="Arial" w:hAnsi="Arial"/>
          <w:b/>
          <w:bCs/>
          <w:color w:val="111827"/>
          <w:sz w:val="30"/>
          <w:szCs w:val="30"/>
        </w:rPr>
        <w:t xml:space="preserve">Solution</w:t>
      </w:r>
    </w:p>
    <w:p>
      <w:pPr>
        <w:spacing w:after="120" w:before="80"/>
      </w:pPr>
      <w:r>
        <w:rPr>
          <w:rFonts w:ascii="Arial" w:cs="Arial" w:eastAsia="Arial" w:hAnsi="Arial"/>
          <w:color w:val="111827"/>
          <w:sz w:val="22"/>
          <w:szCs w:val="22"/>
        </w:rPr>
        <w:t xml:space="preserve">StockClarify provides a centralized platform where users monitor their watchlists and receive clear explanations of relevant developments affecting those companies.</w:t>
      </w:r>
    </w:p>
    <w:p>
      <w:pPr>
        <w:spacing w:after="80" w:before="0"/>
      </w:pPr>
      <w:r>
        <w:t xml:space="preserve"/>
      </w:r>
    </w:p>
    <w:p>
      <w:pPr>
        <w:spacing w:after="120" w:before="80"/>
      </w:pPr>
      <w:r>
        <w:rPr>
          <w:rFonts w:ascii="Arial" w:cs="Arial" w:eastAsia="Arial" w:hAnsi="Arial"/>
          <w:color w:val="111827"/>
          <w:sz w:val="22"/>
          <w:szCs w:val="22"/>
        </w:rPr>
        <w:t xml:space="preserve">The platform uses AI-powered summarization to ingest company announcements, earnings releases, price movements, and financial news — then distills each event into a short, plain-language update scoped to the user's specific watchlist.</w:t>
      </w:r>
    </w:p>
    <w:p>
      <w:pPr>
        <w:spacing w:after="80" w:before="0"/>
      </w:pPr>
      <w:r>
        <w:t xml:space="preserve"/>
      </w:r>
    </w:p>
    <w:p>
      <w:pPr>
        <w:spacing w:after="120" w:before="80"/>
      </w:pPr>
      <w:r>
        <w:rPr>
          <w:rFonts w:ascii="Arial" w:cs="Arial" w:eastAsia="Arial" w:hAnsi="Arial"/>
          <w:color w:val="111827"/>
          <w:sz w:val="22"/>
          <w:szCs w:val="22"/>
        </w:rPr>
        <w:t xml:space="preserve">Each update is structured around three simple questions:</w:t>
      </w:r>
    </w:p>
    <w:p>
      <w:pPr>
        <w:pStyle w:val="ListParagraph"/>
        <w:numPr>
          <w:ilvl w:val="0"/>
          <w:numId w:val="2"/>
        </w:numPr>
        <w:spacing w:after="60" w:before="60"/>
      </w:pPr>
      <w:r>
        <w:rPr>
          <w:rFonts w:ascii="Arial" w:cs="Arial" w:eastAsia="Arial" w:hAnsi="Arial"/>
          <w:color w:val="111827"/>
          <w:sz w:val="22"/>
          <w:szCs w:val="22"/>
        </w:rPr>
        <w:t xml:space="preserve">What happened</w:t>
      </w:r>
    </w:p>
    <w:p>
      <w:pPr>
        <w:pStyle w:val="ListParagraph"/>
        <w:numPr>
          <w:ilvl w:val="0"/>
          <w:numId w:val="2"/>
        </w:numPr>
        <w:spacing w:after="60" w:before="60"/>
      </w:pPr>
      <w:r>
        <w:rPr>
          <w:rFonts w:ascii="Arial" w:cs="Arial" w:eastAsia="Arial" w:hAnsi="Arial"/>
          <w:color w:val="111827"/>
          <w:sz w:val="22"/>
          <w:szCs w:val="22"/>
        </w:rPr>
        <w:t xml:space="preserve">Why it may matter</w:t>
      </w:r>
    </w:p>
    <w:p>
      <w:pPr>
        <w:pStyle w:val="ListParagraph"/>
        <w:numPr>
          <w:ilvl w:val="0"/>
          <w:numId w:val="2"/>
        </w:numPr>
        <w:spacing w:after="60" w:before="60"/>
      </w:pPr>
      <w:r>
        <w:rPr>
          <w:rFonts w:ascii="Arial" w:cs="Arial" w:eastAsia="Arial" w:hAnsi="Arial"/>
          <w:color w:val="111827"/>
          <w:sz w:val="22"/>
          <w:szCs w:val="22"/>
        </w:rPr>
        <w:t xml:space="preserve">How unusual it is relative to recent history</w:t>
      </w:r>
    </w:p>
    <w:p>
      <w:pPr>
        <w:spacing w:after="80" w:before="0"/>
      </w:pPr>
      <w:r>
        <w:t xml:space="preserve"/>
      </w:r>
    </w:p>
    <w:p>
      <w:pPr>
        <w:spacing w:after="120" w:before="80"/>
      </w:pPr>
      <w:r>
        <w:rPr>
          <w:rFonts w:ascii="Arial" w:cs="Arial" w:eastAsia="Arial" w:hAnsi="Arial"/>
          <w:color w:val="111827"/>
          <w:sz w:val="22"/>
          <w:szCs w:val="22"/>
        </w:rPr>
        <w:t xml:space="preserve">Rather than sending frequent raw alerts, StockClarify prioritizes meaningful updates and presents them in a concise, understandable format. Users stay informed without needing to actively search for information.</w:t>
      </w:r>
    </w:p>
    <w:p>
      <w:pPr>
        <w:spacing w:after="80" w:before="0"/>
      </w:pPr>
      <w:r>
        <w:t xml:space="preserve"/>
      </w:r>
    </w:p>
    <w:p>
      <w:pPr>
        <w:pBdr>
          <w:left w:val="single" w:color="1A56DB" w:sz="6" w:space="10"/>
        </w:pBdr>
        <w:spacing w:after="100" w:before="100"/>
        <w:ind w:left="720"/>
      </w:pPr>
      <w:r>
        <w:rPr>
          <w:rFonts w:ascii="Arial" w:cs="Arial" w:eastAsia="Arial" w:hAnsi="Arial"/>
          <w:i/>
          <w:iCs/>
          <w:color w:val="6B7280"/>
          <w:sz w:val="22"/>
          <w:szCs w:val="22"/>
        </w:rPr>
        <w:t xml:space="preserve">StockClarify is not a data terminal, and it is not financial advice. It is an intelligent filter tuned to your watchlist.</w:t>
      </w:r>
    </w:p>
    <w:p>
      <w:pPr>
        <w:pBdr>
          <w:bottom w:val="single" w:color="DBEAFE" w:sz="3" w:space="1"/>
        </w:pBdr>
        <w:spacing w:after="200" w:before="200"/>
      </w:pPr>
      <w:r>
        <w:t xml:space="preserve"/>
      </w:r>
    </w:p>
    <w:p>
      <w:pPr>
        <w:pStyle w:val="Heading1"/>
        <w:spacing w:after="120" w:before="400"/>
      </w:pPr>
      <w:r>
        <w:rPr>
          <w:rFonts w:ascii="Arial" w:cs="Arial" w:eastAsia="Arial" w:hAnsi="Arial"/>
          <w:b/>
          <w:bCs/>
          <w:color w:val="111827"/>
          <w:sz w:val="30"/>
          <w:szCs w:val="30"/>
        </w:rPr>
        <w:t xml:space="preserve">Competitive Positioning</w:t>
      </w:r>
    </w:p>
    <w:p>
      <w:pPr>
        <w:spacing w:after="120" w:before="80"/>
      </w:pPr>
      <w:r>
        <w:rPr>
          <w:rFonts w:ascii="Arial" w:cs="Arial" w:eastAsia="Arial" w:hAnsi="Arial"/>
          <w:color w:val="111827"/>
          <w:sz w:val="22"/>
          <w:szCs w:val="22"/>
        </w:rPr>
        <w:t xml:space="preserve">The market offers no shortage of financial tools. What is missing is a product that combines personalization with interpretation for non-professional investors.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BEAFE" w:sz="1"/>
              <w:left w:val="single" w:color="DBEAFE" w:sz="1"/>
              <w:bottom w:val="single" w:color="DBEAFE" w:sz="1"/>
              <w:right w:val="single" w:color="DBEAFE" w:sz="1"/>
            </w:tcBorders>
            <w:shd w:fill="1A56DB" w:val="clear"/>
            <w:tcMar>
              <w:top w:type="dxa" w:w="100"/>
              <w:left w:type="dxa" w:w="150"/>
              <w:bottom w:type="dxa" w:w="100"/>
              <w:right w:type="dxa" w:w="150"/>
            </w:tcMar>
          </w:tcPr>
          <w:p>
            <w:r>
              <w:rPr>
                <w:rFonts w:ascii="Arial" w:cs="Arial" w:eastAsia="Arial" w:hAnsi="Arial"/>
                <w:b/>
                <w:bCs/>
                <w:color w:val="FFFFFF"/>
                <w:sz w:val="20"/>
                <w:szCs w:val="20"/>
              </w:rPr>
              <w:t xml:space="preserve">Platform</w:t>
            </w:r>
          </w:p>
        </w:tc>
        <w:tc>
          <w:tcPr>
            <w:tcW w:type="dxa" w:w="6560"/>
            <w:tcBorders>
              <w:top w:val="single" w:color="DBEAFE" w:sz="1"/>
              <w:left w:val="single" w:color="DBEAFE" w:sz="1"/>
              <w:bottom w:val="single" w:color="DBEAFE" w:sz="1"/>
              <w:right w:val="single" w:color="DBEAFE" w:sz="1"/>
            </w:tcBorders>
            <w:shd w:fill="1A56DB" w:val="clear"/>
            <w:tcMar>
              <w:top w:type="dxa" w:w="100"/>
              <w:left w:type="dxa" w:w="150"/>
              <w:bottom w:type="dxa" w:w="100"/>
              <w:right w:type="dxa" w:w="150"/>
            </w:tcMar>
          </w:tcPr>
          <w:p>
            <w:r>
              <w:rPr>
                <w:rFonts w:ascii="Arial" w:cs="Arial" w:eastAsia="Arial" w:hAnsi="Arial"/>
                <w:b/>
                <w:bCs/>
                <w:color w:val="FFFFFF"/>
                <w:sz w:val="20"/>
                <w:szCs w:val="20"/>
              </w:rPr>
              <w:t xml:space="preserve">Gap</w:t>
            </w:r>
          </w:p>
        </w:tc>
      </w:tr>
      <w:tr>
        <w:tc>
          <w:tcPr>
            <w:tcW w:type="dxa" w:w="2800"/>
            <w:tcBorders>
              <w:top w:val="single" w:color="DBEAFE" w:sz="1"/>
              <w:left w:val="single" w:color="DBEAFE" w:sz="1"/>
              <w:bottom w:val="single" w:color="DBEAFE" w:sz="1"/>
              <w:right w:val="single" w:color="DBEAFE" w:sz="1"/>
            </w:tcBorders>
            <w:shd w:fill="FFFFFF" w:val="clear"/>
            <w:tcMar>
              <w:top w:type="dxa" w:w="100"/>
              <w:left w:type="dxa" w:w="150"/>
              <w:bottom w:type="dxa" w:w="100"/>
              <w:right w:type="dxa" w:w="150"/>
            </w:tcMar>
          </w:tcPr>
          <w:p>
            <w:r>
              <w:rPr>
                <w:rFonts w:ascii="Arial" w:cs="Arial" w:eastAsia="Arial" w:hAnsi="Arial"/>
                <w:b w:val="false"/>
                <w:bCs w:val="false"/>
                <w:color w:val="111827"/>
                <w:sz w:val="20"/>
                <w:szCs w:val="20"/>
              </w:rPr>
              <w:t xml:space="preserve">Yahoo Finance / Bloomberg</w:t>
            </w:r>
          </w:p>
        </w:tc>
        <w:tc>
          <w:tcPr>
            <w:tcW w:type="dxa" w:w="6560"/>
            <w:tcBorders>
              <w:top w:val="single" w:color="DBEAFE" w:sz="1"/>
              <w:left w:val="single" w:color="DBEAFE" w:sz="1"/>
              <w:bottom w:val="single" w:color="DBEAFE" w:sz="1"/>
              <w:right w:val="single" w:color="DBEAFE" w:sz="1"/>
            </w:tcBorders>
            <w:shd w:fill="FFFFFF" w:val="clear"/>
            <w:tcMar>
              <w:top w:type="dxa" w:w="100"/>
              <w:left w:type="dxa" w:w="150"/>
              <w:bottom w:type="dxa" w:w="100"/>
              <w:right w:type="dxa" w:w="150"/>
            </w:tcMar>
          </w:tcPr>
          <w:p>
            <w:r>
              <w:rPr>
                <w:rFonts w:ascii="Arial" w:cs="Arial" w:eastAsia="Arial" w:hAnsi="Arial"/>
                <w:b w:val="false"/>
                <w:bCs w:val="false"/>
                <w:color w:val="111827"/>
                <w:sz w:val="20"/>
                <w:szCs w:val="20"/>
              </w:rPr>
              <w:t xml:space="preserve">Provide extensive data but leave all interpretation to the user</w:t>
            </w:r>
          </w:p>
        </w:tc>
      </w:tr>
      <w:tr>
        <w:tc>
          <w:tcPr>
            <w:tcW w:type="dxa" w:w="2800"/>
            <w:tcBorders>
              <w:top w:val="single" w:color="DBEAFE" w:sz="1"/>
              <w:left w:val="single" w:color="DBEAFE" w:sz="1"/>
              <w:bottom w:val="single" w:color="DBEAFE" w:sz="1"/>
              <w:right w:val="single" w:color="DBEAFE" w:sz="1"/>
            </w:tcBorders>
            <w:shd w:fill="FFFFFF" w:val="clear"/>
            <w:tcMar>
              <w:top w:type="dxa" w:w="100"/>
              <w:left w:type="dxa" w:w="150"/>
              <w:bottom w:type="dxa" w:w="100"/>
              <w:right w:type="dxa" w:w="150"/>
            </w:tcMar>
          </w:tcPr>
          <w:p>
            <w:r>
              <w:rPr>
                <w:rFonts w:ascii="Arial" w:cs="Arial" w:eastAsia="Arial" w:hAnsi="Arial"/>
                <w:b w:val="false"/>
                <w:bCs w:val="false"/>
                <w:color w:val="111827"/>
                <w:sz w:val="20"/>
                <w:szCs w:val="20"/>
              </w:rPr>
              <w:t xml:space="preserve">Seeking Alpha / Motley Fool</w:t>
            </w:r>
          </w:p>
        </w:tc>
        <w:tc>
          <w:tcPr>
            <w:tcW w:type="dxa" w:w="6560"/>
            <w:tcBorders>
              <w:top w:val="single" w:color="DBEAFE" w:sz="1"/>
              <w:left w:val="single" w:color="DBEAFE" w:sz="1"/>
              <w:bottom w:val="single" w:color="DBEAFE" w:sz="1"/>
              <w:right w:val="single" w:color="DBEAFE" w:sz="1"/>
            </w:tcBorders>
            <w:shd w:fill="FFFFFF" w:val="clear"/>
            <w:tcMar>
              <w:top w:type="dxa" w:w="100"/>
              <w:left w:type="dxa" w:w="150"/>
              <w:bottom w:type="dxa" w:w="100"/>
              <w:right w:type="dxa" w:w="150"/>
            </w:tcMar>
          </w:tcPr>
          <w:p>
            <w:r>
              <w:rPr>
                <w:rFonts w:ascii="Arial" w:cs="Arial" w:eastAsia="Arial" w:hAnsi="Arial"/>
                <w:b w:val="false"/>
                <w:bCs w:val="false"/>
                <w:color w:val="111827"/>
                <w:sz w:val="20"/>
                <w:szCs w:val="20"/>
              </w:rPr>
              <w:t xml:space="preserve">Add editorial opinion but are not personalized to individual holdings</w:t>
            </w:r>
          </w:p>
        </w:tc>
      </w:tr>
      <w:tr>
        <w:tc>
          <w:tcPr>
            <w:tcW w:type="dxa" w:w="2800"/>
            <w:tcBorders>
              <w:top w:val="single" w:color="DBEAFE" w:sz="1"/>
              <w:left w:val="single" w:color="DBEAFE" w:sz="1"/>
              <w:bottom w:val="single" w:color="DBEAFE" w:sz="1"/>
              <w:right w:val="single" w:color="DBEAFE" w:sz="1"/>
            </w:tcBorders>
            <w:shd w:fill="FFFFFF" w:val="clear"/>
            <w:tcMar>
              <w:top w:type="dxa" w:w="100"/>
              <w:left w:type="dxa" w:w="150"/>
              <w:bottom w:type="dxa" w:w="100"/>
              <w:right w:type="dxa" w:w="150"/>
            </w:tcMar>
          </w:tcPr>
          <w:p>
            <w:r>
              <w:rPr>
                <w:rFonts w:ascii="Arial" w:cs="Arial" w:eastAsia="Arial" w:hAnsi="Arial"/>
                <w:b w:val="false"/>
                <w:bCs w:val="false"/>
                <w:color w:val="111827"/>
                <w:sz w:val="20"/>
                <w:szCs w:val="20"/>
              </w:rPr>
              <w:t xml:space="preserve">Robinhood / brokerage apps</w:t>
            </w:r>
          </w:p>
        </w:tc>
        <w:tc>
          <w:tcPr>
            <w:tcW w:type="dxa" w:w="6560"/>
            <w:tcBorders>
              <w:top w:val="single" w:color="DBEAFE" w:sz="1"/>
              <w:left w:val="single" w:color="DBEAFE" w:sz="1"/>
              <w:bottom w:val="single" w:color="DBEAFE" w:sz="1"/>
              <w:right w:val="single" w:color="DBEAFE" w:sz="1"/>
            </w:tcBorders>
            <w:shd w:fill="FFFFFF" w:val="clear"/>
            <w:tcMar>
              <w:top w:type="dxa" w:w="100"/>
              <w:left w:type="dxa" w:w="150"/>
              <w:bottom w:type="dxa" w:w="100"/>
              <w:right w:type="dxa" w:w="150"/>
            </w:tcMar>
          </w:tcPr>
          <w:p>
            <w:r>
              <w:rPr>
                <w:rFonts w:ascii="Arial" w:cs="Arial" w:eastAsia="Arial" w:hAnsi="Arial"/>
                <w:b w:val="false"/>
                <w:bCs w:val="false"/>
                <w:color w:val="111827"/>
                <w:sz w:val="20"/>
                <w:szCs w:val="20"/>
              </w:rPr>
              <w:t xml:space="preserve">Built for execution, not for monitoring and understanding</w:t>
            </w:r>
          </w:p>
        </w:tc>
      </w:tr>
      <w:tr>
        <w:tc>
          <w:tcPr>
            <w:tcW w:type="dxa" w:w="2800"/>
            <w:tcBorders>
              <w:top w:val="single" w:color="DBEAFE" w:sz="1"/>
              <w:left w:val="single" w:color="DBEAFE" w:sz="1"/>
              <w:bottom w:val="single" w:color="DBEAFE" w:sz="1"/>
              <w:right w:val="single" w:color="DBEAFE" w:sz="1"/>
            </w:tcBorders>
            <w:shd w:fill="FFFFFF" w:val="clear"/>
            <w:tcMar>
              <w:top w:type="dxa" w:w="100"/>
              <w:left w:type="dxa" w:w="150"/>
              <w:bottom w:type="dxa" w:w="100"/>
              <w:right w:type="dxa" w:w="150"/>
            </w:tcMar>
          </w:tcPr>
          <w:p>
            <w:r>
              <w:rPr>
                <w:rFonts w:ascii="Arial" w:cs="Arial" w:eastAsia="Arial" w:hAnsi="Arial"/>
                <w:b w:val="false"/>
                <w:bCs w:val="false"/>
                <w:color w:val="111827"/>
                <w:sz w:val="20"/>
                <w:szCs w:val="20"/>
              </w:rPr>
              <w:t xml:space="preserve">StockClarify</w:t>
            </w:r>
          </w:p>
        </w:tc>
        <w:tc>
          <w:tcPr>
            <w:tcW w:type="dxa" w:w="6560"/>
            <w:tcBorders>
              <w:top w:val="single" w:color="DBEAFE" w:sz="1"/>
              <w:left w:val="single" w:color="DBEAFE" w:sz="1"/>
              <w:bottom w:val="single" w:color="DBEAFE" w:sz="1"/>
              <w:right w:val="single" w:color="DBEAFE" w:sz="1"/>
            </w:tcBorders>
            <w:shd w:fill="FFFFFF" w:val="clear"/>
            <w:tcMar>
              <w:top w:type="dxa" w:w="100"/>
              <w:left w:type="dxa" w:w="150"/>
              <w:bottom w:type="dxa" w:w="100"/>
              <w:right w:type="dxa" w:w="150"/>
            </w:tcMar>
          </w:tcPr>
          <w:p>
            <w:r>
              <w:rPr>
                <w:rFonts w:ascii="Arial" w:cs="Arial" w:eastAsia="Arial" w:hAnsi="Arial"/>
                <w:b w:val="false"/>
                <w:bCs w:val="false"/>
                <w:color w:val="111827"/>
                <w:sz w:val="20"/>
                <w:szCs w:val="20"/>
              </w:rPr>
              <w:t xml:space="preserve">Personalized interpretation — the intelligent layer between raw data and confident action</w:t>
            </w:r>
          </w:p>
        </w:tc>
      </w:tr>
    </w:tbl>
    <w:p>
      <w:pPr>
        <w:pBdr>
          <w:bottom w:val="single" w:color="DBEAFE" w:sz="3" w:space="1"/>
        </w:pBdr>
        <w:spacing w:after="200" w:before="200"/>
      </w:pPr>
      <w:r>
        <w:t xml:space="preserve"/>
      </w:r>
    </w:p>
    <w:p>
      <w:pPr>
        <w:pStyle w:val="Heading1"/>
        <w:spacing w:after="120" w:before="400"/>
      </w:pPr>
      <w:r>
        <w:rPr>
          <w:rFonts w:ascii="Arial" w:cs="Arial" w:eastAsia="Arial" w:hAnsi="Arial"/>
          <w:b/>
          <w:bCs/>
          <w:color w:val="111827"/>
          <w:sz w:val="30"/>
          <w:szCs w:val="30"/>
        </w:rPr>
        <w:t xml:space="preserve">Target User</w:t>
      </w:r>
    </w:p>
    <w:p>
      <w:pPr>
        <w:spacing w:after="120" w:before="80"/>
      </w:pPr>
      <w:r>
        <w:rPr>
          <w:rFonts w:ascii="Arial" w:cs="Arial" w:eastAsia="Arial" w:hAnsi="Arial"/>
          <w:color w:val="111827"/>
          <w:sz w:val="22"/>
          <w:szCs w:val="22"/>
        </w:rPr>
        <w:t xml:space="preserve">StockClarify is designed for non-professional investors who actively follow a defined set of companies. Typical users:</w:t>
      </w:r>
    </w:p>
    <w:p>
      <w:pPr>
        <w:spacing w:after="80" w:before="0"/>
      </w:pPr>
      <w:r>
        <w:t xml:space="preserve"/>
      </w:r>
    </w:p>
    <w:p>
      <w:pPr>
        <w:pStyle w:val="ListParagraph"/>
        <w:numPr>
          <w:ilvl w:val="0"/>
          <w:numId w:val="2"/>
        </w:numPr>
        <w:spacing w:after="60" w:before="60"/>
      </w:pPr>
      <w:r>
        <w:rPr>
          <w:rFonts w:ascii="Arial" w:cs="Arial" w:eastAsia="Arial" w:hAnsi="Arial"/>
          <w:color w:val="111827"/>
          <w:sz w:val="22"/>
          <w:szCs w:val="22"/>
        </w:rPr>
        <w:t xml:space="preserve">Maintain a watchlist of roughly 10–20 stocks</w:t>
      </w:r>
    </w:p>
    <w:p>
      <w:pPr>
        <w:pStyle w:val="ListParagraph"/>
        <w:numPr>
          <w:ilvl w:val="0"/>
          <w:numId w:val="2"/>
        </w:numPr>
        <w:spacing w:after="60" w:before="60"/>
      </w:pPr>
      <w:r>
        <w:rPr>
          <w:rFonts w:ascii="Arial" w:cs="Arial" w:eastAsia="Arial" w:hAnsi="Arial"/>
          <w:color w:val="111827"/>
          <w:sz w:val="22"/>
          <w:szCs w:val="22"/>
        </w:rPr>
        <w:t xml:space="preserve">Check their portfolio or watchlist a few times per week</w:t>
      </w:r>
    </w:p>
    <w:p>
      <w:pPr>
        <w:pStyle w:val="ListParagraph"/>
        <w:numPr>
          <w:ilvl w:val="0"/>
          <w:numId w:val="2"/>
        </w:numPr>
        <w:spacing w:after="60" w:before="60"/>
      </w:pPr>
      <w:r>
        <w:rPr>
          <w:rFonts w:ascii="Arial" w:cs="Arial" w:eastAsia="Arial" w:hAnsi="Arial"/>
          <w:color w:val="111827"/>
          <w:sz w:val="22"/>
          <w:szCs w:val="22"/>
        </w:rPr>
        <w:t xml:space="preserve">Want to stay informed without constantly monitoring markets</w:t>
      </w:r>
    </w:p>
    <w:p>
      <w:pPr>
        <w:pStyle w:val="ListParagraph"/>
        <w:numPr>
          <w:ilvl w:val="0"/>
          <w:numId w:val="2"/>
        </w:numPr>
        <w:spacing w:after="60" w:before="60"/>
      </w:pPr>
      <w:r>
        <w:rPr>
          <w:rFonts w:ascii="Arial" w:cs="Arial" w:eastAsia="Arial" w:hAnsi="Arial"/>
          <w:color w:val="111827"/>
          <w:sz w:val="22"/>
          <w:szCs w:val="22"/>
        </w:rPr>
        <w:t xml:space="preserve">Prefer clear summaries over long financial reports or technical analysis tools</w:t>
      </w:r>
    </w:p>
    <w:p>
      <w:pPr>
        <w:spacing w:after="80" w:before="0"/>
      </w:pPr>
      <w:r>
        <w:t xml:space="preserve"/>
      </w:r>
    </w:p>
    <w:p>
      <w:pPr>
        <w:spacing w:after="120" w:before="80"/>
      </w:pPr>
      <w:r>
        <w:rPr>
          <w:rFonts w:ascii="Arial" w:cs="Arial" w:eastAsia="Arial" w:hAnsi="Arial"/>
          <w:color w:val="111827"/>
          <w:sz w:val="22"/>
          <w:szCs w:val="22"/>
        </w:rPr>
        <w:t xml:space="preserve">The platform is built for investors who want to remain thoughtful about their investments without turning market monitoring into a second job.</w:t>
      </w:r>
    </w:p>
    <w:p>
      <w:pPr>
        <w:pBdr>
          <w:bottom w:val="single" w:color="DBEAFE" w:sz="3" w:space="1"/>
        </w:pBdr>
        <w:spacing w:after="200" w:before="200"/>
      </w:pPr>
      <w:r>
        <w:t xml:space="preserve"/>
      </w:r>
    </w:p>
    <w:p>
      <w:pPr>
        <w:pStyle w:val="Heading1"/>
        <w:spacing w:after="120" w:before="400"/>
      </w:pPr>
      <w:r>
        <w:rPr>
          <w:rFonts w:ascii="Arial" w:cs="Arial" w:eastAsia="Arial" w:hAnsi="Arial"/>
          <w:b/>
          <w:bCs/>
          <w:color w:val="111827"/>
          <w:sz w:val="30"/>
          <w:szCs w:val="30"/>
        </w:rPr>
        <w:t xml:space="preserve">Core Features</w:t>
      </w:r>
    </w:p>
    <w:p>
      <w:pPr>
        <w:pStyle w:val="Heading2"/>
        <w:spacing w:after="80" w:before="240"/>
      </w:pPr>
      <w:r>
        <w:rPr>
          <w:rFonts w:ascii="Arial" w:cs="Arial" w:eastAsia="Arial" w:hAnsi="Arial"/>
          <w:b/>
          <w:bCs/>
          <w:color w:val="1A56DB"/>
          <w:sz w:val="24"/>
          <w:szCs w:val="24"/>
        </w:rPr>
        <w:t xml:space="preserve">Personalized Watchlists</w:t>
      </w:r>
    </w:p>
    <w:p>
      <w:pPr>
        <w:spacing w:after="120" w:before="80"/>
      </w:pPr>
      <w:r>
        <w:rPr>
          <w:rFonts w:ascii="Arial" w:cs="Arial" w:eastAsia="Arial" w:hAnsi="Arial"/>
          <w:color w:val="111827"/>
          <w:sz w:val="22"/>
          <w:szCs w:val="22"/>
        </w:rPr>
        <w:t xml:space="preserve">Users create and manage watchlists of the stocks they want to monitor. All updates, summaries, and alerts are scoped to the companies the user has chosen to follow. Watchlists are the foundation for all filtering and personalization within the platform.</w:t>
      </w:r>
    </w:p>
    <w:p>
      <w:pPr>
        <w:pStyle w:val="Heading2"/>
        <w:spacing w:after="80" w:before="240"/>
      </w:pPr>
      <w:r>
        <w:rPr>
          <w:rFonts w:ascii="Arial" w:cs="Arial" w:eastAsia="Arial" w:hAnsi="Arial"/>
          <w:b/>
          <w:bCs/>
          <w:color w:val="1A56DB"/>
          <w:sz w:val="24"/>
          <w:szCs w:val="24"/>
        </w:rPr>
        <w:t xml:space="preserve">Event Summaries</w:t>
      </w:r>
    </w:p>
    <w:p>
      <w:pPr>
        <w:spacing w:after="120" w:before="80"/>
      </w:pPr>
      <w:r>
        <w:rPr>
          <w:rFonts w:ascii="Arial" w:cs="Arial" w:eastAsia="Arial" w:hAnsi="Arial"/>
          <w:color w:val="111827"/>
          <w:sz w:val="22"/>
          <w:szCs w:val="22"/>
        </w:rPr>
        <w:t xml:space="preserve">When a meaningful development occurs — an earnings release, analyst rating change, unusual price movement, or significant announcement — StockClarify generates a short explanation covering what happened and why it may be relevant. Context is always included: a 5% drop explained as sector-wide pressure reads very differently from one tied to a missed revenue estimate.</w:t>
      </w:r>
    </w:p>
    <w:p>
      <w:pPr>
        <w:pStyle w:val="Heading2"/>
        <w:spacing w:after="80" w:before="240"/>
      </w:pPr>
      <w:r>
        <w:rPr>
          <w:rFonts w:ascii="Arial" w:cs="Arial" w:eastAsia="Arial" w:hAnsi="Arial"/>
          <w:b/>
          <w:bCs/>
          <w:color w:val="1A56DB"/>
          <w:sz w:val="24"/>
          <w:szCs w:val="24"/>
        </w:rPr>
        <w:t xml:space="preserve">Daily Watchlist Digest</w:t>
      </w:r>
    </w:p>
    <w:p>
      <w:pPr>
        <w:spacing w:after="120" w:before="80"/>
      </w:pPr>
      <w:r>
        <w:rPr>
          <w:rFonts w:ascii="Arial" w:cs="Arial" w:eastAsia="Arial" w:hAnsi="Arial"/>
          <w:color w:val="111827"/>
          <w:sz w:val="22"/>
          <w:szCs w:val="22"/>
        </w:rPr>
        <w:t xml:space="preserve">Each day, users receive a concise summary of the most relevant developments across their watchlist from the prior 24 hours. The digest is designed to be read in under two minutes, allowing users to stay informed without seeking information out.</w:t>
      </w:r>
    </w:p>
    <w:p>
      <w:pPr>
        <w:pStyle w:val="Heading2"/>
        <w:spacing w:after="80" w:before="240"/>
      </w:pPr>
      <w:r>
        <w:rPr>
          <w:rFonts w:ascii="Arial" w:cs="Arial" w:eastAsia="Arial" w:hAnsi="Arial"/>
          <w:b/>
          <w:bCs/>
          <w:color w:val="1A56DB"/>
          <w:sz w:val="24"/>
          <w:szCs w:val="24"/>
        </w:rPr>
        <w:t xml:space="preserve">Trend and Historical Context</w:t>
      </w:r>
    </w:p>
    <w:p>
      <w:pPr>
        <w:spacing w:after="120" w:before="80"/>
      </w:pPr>
      <w:r>
        <w:rPr>
          <w:rFonts w:ascii="Arial" w:cs="Arial" w:eastAsia="Arial" w:hAnsi="Arial"/>
          <w:color w:val="111827"/>
          <w:sz w:val="22"/>
          <w:szCs w:val="22"/>
        </w:rPr>
        <w:t xml:space="preserve">StockClarify provides simple visualizations of price history and recent trends to help users understand whether a current movement is typical or unusual relative to recent behavior. This context helps users interpret market activity more effectively.</w:t>
      </w:r>
    </w:p>
    <w:p>
      <w:pPr>
        <w:pStyle w:val="Heading2"/>
        <w:spacing w:after="80" w:before="240"/>
      </w:pPr>
      <w:r>
        <w:rPr>
          <w:rFonts w:ascii="Arial" w:cs="Arial" w:eastAsia="Arial" w:hAnsi="Arial"/>
          <w:b/>
          <w:bCs/>
          <w:color w:val="1A56DB"/>
          <w:sz w:val="24"/>
          <w:szCs w:val="24"/>
        </w:rPr>
        <w:t xml:space="preserve">Selective Alerts</w:t>
      </w:r>
    </w:p>
    <w:p>
      <w:pPr>
        <w:spacing w:after="120" w:before="80"/>
      </w:pPr>
      <w:r>
        <w:rPr>
          <w:rFonts w:ascii="Arial" w:cs="Arial" w:eastAsia="Arial" w:hAnsi="Arial"/>
          <w:color w:val="111827"/>
          <w:sz w:val="22"/>
          <w:szCs w:val="22"/>
        </w:rPr>
        <w:t xml:space="preserve">The platform monitors watchlist stocks for unusual activity — significant price or volume changes — and surfaces alerts accompanied by a short explanation, not only a number.</w:t>
      </w:r>
    </w:p>
    <w:p>
      <w:pPr>
        <w:pBdr>
          <w:bottom w:val="single" w:color="DBEAFE" w:sz="3" w:space="1"/>
        </w:pBdr>
        <w:spacing w:after="200" w:before="200"/>
      </w:pPr>
      <w:r>
        <w:t xml:space="preserve"/>
      </w:r>
    </w:p>
    <w:p>
      <w:pPr>
        <w:pStyle w:val="Heading1"/>
        <w:spacing w:after="120" w:before="400"/>
      </w:pPr>
      <w:r>
        <w:rPr>
          <w:rFonts w:ascii="Arial" w:cs="Arial" w:eastAsia="Arial" w:hAnsi="Arial"/>
          <w:b/>
          <w:bCs/>
          <w:color w:val="111827"/>
          <w:sz w:val="30"/>
          <w:szCs w:val="30"/>
        </w:rPr>
        <w:t xml:space="preserve">What StockClarify Is Not</w:t>
      </w:r>
    </w:p>
    <w:p>
      <w:pPr>
        <w:spacing w:after="120" w:before="80"/>
      </w:pPr>
      <w:r>
        <w:rPr>
          <w:rFonts w:ascii="Arial" w:cs="Arial" w:eastAsia="Arial" w:hAnsi="Arial"/>
          <w:color w:val="111827"/>
          <w:sz w:val="22"/>
          <w:szCs w:val="22"/>
        </w:rPr>
        <w:t xml:space="preserve">StockClarify is intentionally focused. It is not designed to be:</w:t>
      </w:r>
    </w:p>
    <w:p>
      <w:pPr>
        <w:spacing w:after="80" w:before="0"/>
      </w:pPr>
      <w:r>
        <w:t xml:space="preserve"/>
      </w:r>
    </w:p>
    <w:p>
      <w:pPr>
        <w:pStyle w:val="ListParagraph"/>
        <w:numPr>
          <w:ilvl w:val="0"/>
          <w:numId w:val="2"/>
        </w:numPr>
        <w:spacing w:after="60" w:before="60"/>
      </w:pPr>
      <w:r>
        <w:rPr>
          <w:rFonts w:ascii="Arial" w:cs="Arial" w:eastAsia="Arial" w:hAnsi="Arial"/>
          <w:color w:val="111827"/>
          <w:sz w:val="22"/>
          <w:szCs w:val="22"/>
        </w:rPr>
        <w:t xml:space="preserve">A professional trading terminal</w:t>
      </w:r>
    </w:p>
    <w:p>
      <w:pPr>
        <w:pStyle w:val="ListParagraph"/>
        <w:numPr>
          <w:ilvl w:val="0"/>
          <w:numId w:val="2"/>
        </w:numPr>
        <w:spacing w:after="60" w:before="60"/>
      </w:pPr>
      <w:r>
        <w:rPr>
          <w:rFonts w:ascii="Arial" w:cs="Arial" w:eastAsia="Arial" w:hAnsi="Arial"/>
          <w:color w:val="111827"/>
          <w:sz w:val="22"/>
          <w:szCs w:val="22"/>
        </w:rPr>
        <w:t xml:space="preserve">A complex technical analysis platform</w:t>
      </w:r>
    </w:p>
    <w:p>
      <w:pPr>
        <w:pStyle w:val="ListParagraph"/>
        <w:numPr>
          <w:ilvl w:val="0"/>
          <w:numId w:val="2"/>
        </w:numPr>
        <w:spacing w:after="60" w:before="60"/>
      </w:pPr>
      <w:r>
        <w:rPr>
          <w:rFonts w:ascii="Arial" w:cs="Arial" w:eastAsia="Arial" w:hAnsi="Arial"/>
          <w:color w:val="111827"/>
          <w:sz w:val="22"/>
          <w:szCs w:val="22"/>
        </w:rPr>
        <w:t xml:space="preserve">A financial advisory service</w:t>
      </w:r>
    </w:p>
    <w:p>
      <w:pPr>
        <w:pStyle w:val="ListParagraph"/>
        <w:numPr>
          <w:ilvl w:val="0"/>
          <w:numId w:val="2"/>
        </w:numPr>
        <w:spacing w:after="60" w:before="60"/>
      </w:pPr>
      <w:r>
        <w:rPr>
          <w:rFonts w:ascii="Arial" w:cs="Arial" w:eastAsia="Arial" w:hAnsi="Arial"/>
          <w:color w:val="111827"/>
          <w:sz w:val="22"/>
          <w:szCs w:val="22"/>
        </w:rPr>
        <w:t xml:space="preserve">A social trading or community platform</w:t>
      </w:r>
    </w:p>
    <w:p>
      <w:pPr>
        <w:spacing w:after="80" w:before="0"/>
      </w:pPr>
      <w:r>
        <w:t xml:space="preserve"/>
      </w:r>
    </w:p>
    <w:p>
      <w:pPr>
        <w:spacing w:after="120" w:before="80"/>
      </w:pPr>
      <w:r>
        <w:rPr>
          <w:rFonts w:ascii="Arial" w:cs="Arial" w:eastAsia="Arial" w:hAnsi="Arial"/>
          <w:color w:val="111827"/>
          <w:sz w:val="22"/>
          <w:szCs w:val="22"/>
        </w:rPr>
        <w:t xml:space="preserve">The platform prioritizes clear summaries and meaningful updates rather than exhaustive financial data.</w:t>
      </w:r>
    </w:p>
    <w:p>
      <w:pPr>
        <w:pBdr>
          <w:bottom w:val="single" w:color="DBEAFE" w:sz="3" w:space="1"/>
        </w:pBdr>
        <w:spacing w:after="200" w:before="200"/>
      </w:pPr>
      <w:r>
        <w:t xml:space="preserve"/>
      </w:r>
    </w:p>
    <w:p>
      <w:pPr>
        <w:pStyle w:val="Heading1"/>
        <w:spacing w:after="120" w:before="400"/>
      </w:pPr>
      <w:r>
        <w:rPr>
          <w:rFonts w:ascii="Arial" w:cs="Arial" w:eastAsia="Arial" w:hAnsi="Arial"/>
          <w:b/>
          <w:bCs/>
          <w:color w:val="111827"/>
          <w:sz w:val="30"/>
          <w:szCs w:val="30"/>
        </w:rPr>
        <w:t xml:space="preserve">Product Principles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BEAFE" w:sz="1"/>
              <w:left w:val="single" w:color="DBEAFE" w:sz="1"/>
              <w:bottom w:val="single" w:color="DBEAFE" w:sz="1"/>
              <w:right w:val="single" w:color="DBEAFE" w:sz="1"/>
            </w:tcBorders>
            <w:shd w:fill="EFF6FF" w:val="clear"/>
            <w:tcMar>
              <w:top w:type="dxa" w:w="100"/>
              <w:left w:type="dxa" w:w="150"/>
              <w:bottom w:type="dxa" w:w="100"/>
              <w:right w:type="dxa" w:w="150"/>
            </w:tcMar>
          </w:tcPr>
          <w:p>
            <w:r>
              <w:rPr>
                <w:rFonts w:ascii="Arial" w:cs="Arial" w:eastAsia="Arial" w:hAnsi="Arial"/>
                <w:b/>
                <w:bCs/>
                <w:color w:val="1A56DB"/>
                <w:sz w:val="20"/>
                <w:szCs w:val="20"/>
              </w:rPr>
              <w:t xml:space="preserve">Clarity over completeness</w:t>
            </w:r>
          </w:p>
        </w:tc>
        <w:tc>
          <w:tcPr>
            <w:tcW w:type="dxa" w:w="6760"/>
            <w:tcBorders>
              <w:top w:val="single" w:color="DBEAFE" w:sz="1"/>
              <w:left w:val="single" w:color="DBEAFE" w:sz="1"/>
              <w:bottom w:val="single" w:color="DBEAFE" w:sz="1"/>
              <w:right w:val="single" w:color="DBEAFE" w:sz="1"/>
            </w:tcBorders>
            <w:shd w:fill="FFFFFF" w:val="clear"/>
            <w:tcMar>
              <w:top w:type="dxa" w:w="100"/>
              <w:left w:type="dxa" w:w="150"/>
              <w:bottom w:type="dxa" w:w="100"/>
              <w:right w:type="dxa" w:w="150"/>
            </w:tcMar>
          </w:tcPr>
          <w:p>
            <w:r>
              <w:rPr>
                <w:rFonts w:ascii="Arial" w:cs="Arial" w:eastAsia="Arial" w:hAnsi="Arial"/>
                <w:color w:val="111827"/>
                <w:sz w:val="20"/>
                <w:szCs w:val="20"/>
              </w:rPr>
              <w:t xml:space="preserve">Users should see the most relevant information first, not every available data point.</w:t>
            </w:r>
          </w:p>
        </w:tc>
      </w:tr>
      <w:tr>
        <w:tc>
          <w:tcPr>
            <w:tcW w:type="dxa" w:w="2600"/>
            <w:tcBorders>
              <w:top w:val="single" w:color="DBEAFE" w:sz="1"/>
              <w:left w:val="single" w:color="DBEAFE" w:sz="1"/>
              <w:bottom w:val="single" w:color="DBEAFE" w:sz="1"/>
              <w:right w:val="single" w:color="DBEAFE" w:sz="1"/>
            </w:tcBorders>
            <w:shd w:fill="EFF6FF" w:val="clear"/>
            <w:tcMar>
              <w:top w:type="dxa" w:w="100"/>
              <w:left w:type="dxa" w:w="150"/>
              <w:bottom w:type="dxa" w:w="100"/>
              <w:right w:type="dxa" w:w="150"/>
            </w:tcMar>
          </w:tcPr>
          <w:p>
            <w:r>
              <w:rPr>
                <w:rFonts w:ascii="Arial" w:cs="Arial" w:eastAsia="Arial" w:hAnsi="Arial"/>
                <w:b/>
                <w:bCs/>
                <w:color w:val="1A56DB"/>
                <w:sz w:val="20"/>
                <w:szCs w:val="20"/>
              </w:rPr>
              <w:t xml:space="preserve">Plain language first</w:t>
            </w:r>
          </w:p>
        </w:tc>
        <w:tc>
          <w:tcPr>
            <w:tcW w:type="dxa" w:w="6760"/>
            <w:tcBorders>
              <w:top w:val="single" w:color="DBEAFE" w:sz="1"/>
              <w:left w:val="single" w:color="DBEAFE" w:sz="1"/>
              <w:bottom w:val="single" w:color="DBEAFE" w:sz="1"/>
              <w:right w:val="single" w:color="DBEAFE" w:sz="1"/>
            </w:tcBorders>
            <w:shd w:fill="FFFFFF" w:val="clear"/>
            <w:tcMar>
              <w:top w:type="dxa" w:w="100"/>
              <w:left w:type="dxa" w:w="150"/>
              <w:bottom w:type="dxa" w:w="100"/>
              <w:right w:type="dxa" w:w="150"/>
            </w:tcMar>
          </w:tcPr>
          <w:p>
            <w:r>
              <w:rPr>
                <w:rFonts w:ascii="Arial" w:cs="Arial" w:eastAsia="Arial" w:hAnsi="Arial"/>
                <w:color w:val="111827"/>
                <w:sz w:val="20"/>
                <w:szCs w:val="20"/>
              </w:rPr>
              <w:t xml:space="preserve">Updates should be understandable without specialized financial knowledge.</w:t>
            </w:r>
          </w:p>
        </w:tc>
      </w:tr>
      <w:tr>
        <w:tc>
          <w:tcPr>
            <w:tcW w:type="dxa" w:w="2600"/>
            <w:tcBorders>
              <w:top w:val="single" w:color="DBEAFE" w:sz="1"/>
              <w:left w:val="single" w:color="DBEAFE" w:sz="1"/>
              <w:bottom w:val="single" w:color="DBEAFE" w:sz="1"/>
              <w:right w:val="single" w:color="DBEAFE" w:sz="1"/>
            </w:tcBorders>
            <w:shd w:fill="EFF6FF" w:val="clear"/>
            <w:tcMar>
              <w:top w:type="dxa" w:w="100"/>
              <w:left w:type="dxa" w:w="150"/>
              <w:bottom w:type="dxa" w:w="100"/>
              <w:right w:type="dxa" w:w="150"/>
            </w:tcMar>
          </w:tcPr>
          <w:p>
            <w:r>
              <w:rPr>
                <w:rFonts w:ascii="Arial" w:cs="Arial" w:eastAsia="Arial" w:hAnsi="Arial"/>
                <w:b/>
                <w:bCs/>
                <w:color w:val="1A56DB"/>
                <w:sz w:val="20"/>
                <w:szCs w:val="20"/>
              </w:rPr>
              <w:t xml:space="preserve">Watchlist relevance</w:t>
            </w:r>
          </w:p>
        </w:tc>
        <w:tc>
          <w:tcPr>
            <w:tcW w:type="dxa" w:w="6760"/>
            <w:tcBorders>
              <w:top w:val="single" w:color="DBEAFE" w:sz="1"/>
              <w:left w:val="single" w:color="DBEAFE" w:sz="1"/>
              <w:bottom w:val="single" w:color="DBEAFE" w:sz="1"/>
              <w:right w:val="single" w:color="DBEAFE" w:sz="1"/>
            </w:tcBorders>
            <w:shd w:fill="FFFFFF" w:val="clear"/>
            <w:tcMar>
              <w:top w:type="dxa" w:w="100"/>
              <w:left w:type="dxa" w:w="150"/>
              <w:bottom w:type="dxa" w:w="100"/>
              <w:right w:type="dxa" w:w="150"/>
            </w:tcMar>
          </w:tcPr>
          <w:p>
            <w:r>
              <w:rPr>
                <w:rFonts w:ascii="Arial" w:cs="Arial" w:eastAsia="Arial" w:hAnsi="Arial"/>
                <w:color w:val="111827"/>
                <w:sz w:val="20"/>
                <w:szCs w:val="20"/>
              </w:rPr>
              <w:t xml:space="preserve">All insights should relate directly to the companies the user has chosen to follow.</w:t>
            </w:r>
          </w:p>
        </w:tc>
      </w:tr>
      <w:tr>
        <w:tc>
          <w:tcPr>
            <w:tcW w:type="dxa" w:w="2600"/>
            <w:tcBorders>
              <w:top w:val="single" w:color="DBEAFE" w:sz="1"/>
              <w:left w:val="single" w:color="DBEAFE" w:sz="1"/>
              <w:bottom w:val="single" w:color="DBEAFE" w:sz="1"/>
              <w:right w:val="single" w:color="DBEAFE" w:sz="1"/>
            </w:tcBorders>
            <w:shd w:fill="EFF6FF" w:val="clear"/>
            <w:tcMar>
              <w:top w:type="dxa" w:w="100"/>
              <w:left w:type="dxa" w:w="150"/>
              <w:bottom w:type="dxa" w:w="100"/>
              <w:right w:type="dxa" w:w="150"/>
            </w:tcMar>
          </w:tcPr>
          <w:p>
            <w:r>
              <w:rPr>
                <w:rFonts w:ascii="Arial" w:cs="Arial" w:eastAsia="Arial" w:hAnsi="Arial"/>
                <w:b/>
                <w:bCs/>
                <w:color w:val="1A56DB"/>
                <w:sz w:val="20"/>
                <w:szCs w:val="20"/>
              </w:rPr>
              <w:t xml:space="preserve">Minimal cognitive load</w:t>
            </w:r>
          </w:p>
        </w:tc>
        <w:tc>
          <w:tcPr>
            <w:tcW w:type="dxa" w:w="6760"/>
            <w:tcBorders>
              <w:top w:val="single" w:color="DBEAFE" w:sz="1"/>
              <w:left w:val="single" w:color="DBEAFE" w:sz="1"/>
              <w:bottom w:val="single" w:color="DBEAFE" w:sz="1"/>
              <w:right w:val="single" w:color="DBEAFE" w:sz="1"/>
            </w:tcBorders>
            <w:shd w:fill="FFFFFF" w:val="clear"/>
            <w:tcMar>
              <w:top w:type="dxa" w:w="100"/>
              <w:left w:type="dxa" w:w="150"/>
              <w:bottom w:type="dxa" w:w="100"/>
              <w:right w:type="dxa" w:w="150"/>
            </w:tcMar>
          </w:tcPr>
          <w:p>
            <w:r>
              <w:rPr>
                <w:rFonts w:ascii="Arial" w:cs="Arial" w:eastAsia="Arial" w:hAnsi="Arial"/>
                <w:color w:val="111827"/>
                <w:sz w:val="20"/>
                <w:szCs w:val="20"/>
              </w:rPr>
              <w:t xml:space="preserve">The platform should help users stay informed quickly, without extended reading or complex analysis.</w:t>
            </w:r>
          </w:p>
        </w:tc>
      </w:tr>
    </w:tbl>
    <w:p>
      <w:pPr>
        <w:pBdr>
          <w:bottom w:val="single" w:color="DBEAFE" w:sz="3" w:space="1"/>
        </w:pBdr>
        <w:spacing w:after="200" w:before="200"/>
      </w:pPr>
      <w:r>
        <w:t xml:space="preserve"/>
      </w:r>
    </w:p>
    <w:p>
      <w:pPr>
        <w:pStyle w:val="Heading1"/>
        <w:spacing w:after="120" w:before="400"/>
      </w:pPr>
      <w:r>
        <w:rPr>
          <w:rFonts w:ascii="Arial" w:cs="Arial" w:eastAsia="Arial" w:hAnsi="Arial"/>
          <w:b/>
          <w:bCs/>
          <w:color w:val="111827"/>
          <w:sz w:val="30"/>
          <w:szCs w:val="30"/>
        </w:rPr>
        <w:t xml:space="preserve">Business Model</w:t>
      </w:r>
    </w:p>
    <w:p>
      <w:pPr>
        <w:spacing w:after="120" w:before="80"/>
      </w:pPr>
      <w:r>
        <w:rPr>
          <w:rFonts w:ascii="Arial" w:cs="Arial" w:eastAsia="Arial" w:hAnsi="Arial"/>
          <w:color w:val="111827"/>
          <w:sz w:val="22"/>
          <w:szCs w:val="22"/>
        </w:rPr>
        <w:t xml:space="preserve">StockClarify will operate on a freemium model:</w:t>
      </w:r>
    </w:p>
    <w:p>
      <w:pPr>
        <w:spacing w:after="80" w:before="0"/>
      </w:pPr>
      <w:r>
        <w:t xml:space="preserve"/>
      </w:r>
    </w:p>
    <w:p>
      <w:pPr>
        <w:pStyle w:val="ListParagraph"/>
        <w:numPr>
          <w:ilvl w:val="0"/>
          <w:numId w:val="2"/>
        </w:numPr>
        <w:spacing w:after="60" w:before="60"/>
      </w:pPr>
      <w:r>
        <w:rPr>
          <w:rFonts w:ascii="Arial" w:cs="Arial" w:eastAsia="Arial" w:hAnsi="Arial"/>
          <w:b/>
          <w:bCs/>
          <w:color w:val="111827"/>
          <w:sz w:val="22"/>
          <w:szCs w:val="22"/>
        </w:rPr>
        <w:t xml:space="preserve">Free tier: </w:t>
      </w:r>
      <w:r>
        <w:rPr>
          <w:rFonts w:ascii="Arial" w:cs="Arial" w:eastAsia="Arial" w:hAnsi="Arial"/>
          <w:color w:val="111827"/>
          <w:sz w:val="22"/>
          <w:szCs w:val="22"/>
        </w:rPr>
        <w:t xml:space="preserve">Free tier: Watchlist of up to 5 stocks, daily digest, and standard event summaries.</w:t>
      </w:r>
    </w:p>
    <w:p>
      <w:pPr>
        <w:pStyle w:val="ListParagraph"/>
        <w:numPr>
          <w:ilvl w:val="0"/>
          <w:numId w:val="2"/>
        </w:numPr>
        <w:spacing w:after="60" w:before="60"/>
      </w:pPr>
      <w:r>
        <w:rPr>
          <w:rFonts w:ascii="Arial" w:cs="Arial" w:eastAsia="Arial" w:hAnsi="Arial"/>
          <w:b/>
          <w:bCs/>
          <w:color w:val="111827"/>
          <w:sz w:val="22"/>
          <w:szCs w:val="22"/>
        </w:rPr>
        <w:t xml:space="preserve">Premium tier: </w:t>
      </w:r>
      <w:r>
        <w:rPr>
          <w:rFonts w:ascii="Arial" w:cs="Arial" w:eastAsia="Arial" w:hAnsi="Arial"/>
          <w:color w:val="111827"/>
          <w:sz w:val="22"/>
          <w:szCs w:val="22"/>
        </w:rPr>
        <w:t xml:space="preserve">Premium tier: Unlimited watchlists, real-time selective alerts with AI explanations, deeper historical context, and brokerage integration — available at a flat monthly or annual subscription.</w:t>
      </w:r>
    </w:p>
    <w:p>
      <w:pPr>
        <w:spacing w:after="80" w:before="0"/>
      </w:pPr>
      <w:r>
        <w:t xml:space="preserve"/>
      </w:r>
    </w:p>
    <w:p>
      <w:pPr>
        <w:spacing w:after="120" w:before="80"/>
      </w:pPr>
      <w:r>
        <w:rPr>
          <w:rFonts w:ascii="Arial" w:cs="Arial" w:eastAsia="Arial" w:hAnsi="Arial"/>
          <w:color w:val="111827"/>
          <w:sz w:val="22"/>
          <w:szCs w:val="22"/>
        </w:rPr>
        <w:t xml:space="preserve">The daily digest is designed to demonstrate value quickly and establish a daily habit, making the upgrade to premium a natural step for engaged users.</w:t>
      </w:r>
    </w:p>
    <w:p>
      <w:pPr>
        <w:pBdr>
          <w:bottom w:val="single" w:color="DBEAFE" w:sz="3" w:space="1"/>
        </w:pBdr>
        <w:spacing w:after="200" w:before="200"/>
      </w:pPr>
      <w:r>
        <w:t xml:space="preserve"/>
      </w:r>
    </w:p>
    <w:p>
      <w:pPr>
        <w:pStyle w:val="Heading1"/>
        <w:spacing w:after="120" w:before="400"/>
      </w:pPr>
      <w:r>
        <w:rPr>
          <w:rFonts w:ascii="Arial" w:cs="Arial" w:eastAsia="Arial" w:hAnsi="Arial"/>
          <w:b/>
          <w:bCs/>
          <w:color w:val="111827"/>
          <w:sz w:val="30"/>
          <w:szCs w:val="30"/>
        </w:rPr>
        <w:t xml:space="preserve">Long-Term Direction</w:t>
      </w:r>
    </w:p>
    <w:p>
      <w:pPr>
        <w:spacing w:after="120" w:before="80"/>
      </w:pPr>
      <w:r>
        <w:rPr>
          <w:rFonts w:ascii="Arial" w:cs="Arial" w:eastAsia="Arial" w:hAnsi="Arial"/>
          <w:color w:val="111827"/>
          <w:sz w:val="22"/>
          <w:szCs w:val="22"/>
        </w:rPr>
        <w:t xml:space="preserve">While the initial version focuses on watchlist monitoring and information summarization, the platform is designed to evolve. Potential future developments include:</w:t>
      </w:r>
    </w:p>
    <w:p>
      <w:pPr>
        <w:spacing w:after="80" w:before="0"/>
      </w:pPr>
      <w:r>
        <w:t xml:space="preserve"/>
      </w:r>
    </w:p>
    <w:p>
      <w:pPr>
        <w:pStyle w:val="ListParagraph"/>
        <w:numPr>
          <w:ilvl w:val="0"/>
          <w:numId w:val="2"/>
        </w:numPr>
        <w:spacing w:after="60" w:before="60"/>
      </w:pPr>
      <w:r>
        <w:rPr>
          <w:rFonts w:ascii="Arial" w:cs="Arial" w:eastAsia="Arial" w:hAnsi="Arial"/>
          <w:color w:val="111827"/>
          <w:sz w:val="22"/>
          <w:szCs w:val="22"/>
        </w:rPr>
        <w:t xml:space="preserve">Portfolio-aware insights based on owned positions rather than only watched stocks</w:t>
      </w:r>
    </w:p>
    <w:p>
      <w:pPr>
        <w:pStyle w:val="ListParagraph"/>
        <w:numPr>
          <w:ilvl w:val="0"/>
          <w:numId w:val="2"/>
        </w:numPr>
        <w:spacing w:after="60" w:before="60"/>
      </w:pPr>
      <w:r>
        <w:rPr>
          <w:rFonts w:ascii="Arial" w:cs="Arial" w:eastAsia="Arial" w:hAnsi="Arial"/>
          <w:color w:val="111827"/>
          <w:sz w:val="22"/>
          <w:szCs w:val="22"/>
        </w:rPr>
        <w:t xml:space="preserve">Expanded historical context and deeper trend analysis</w:t>
      </w:r>
    </w:p>
    <w:p>
      <w:pPr>
        <w:pStyle w:val="ListParagraph"/>
        <w:numPr>
          <w:ilvl w:val="0"/>
          <w:numId w:val="2"/>
        </w:numPr>
        <w:spacing w:after="60" w:before="60"/>
      </w:pPr>
      <w:r>
        <w:rPr>
          <w:rFonts w:ascii="Arial" w:cs="Arial" w:eastAsia="Arial" w:hAnsi="Arial"/>
          <w:color w:val="111827"/>
          <w:sz w:val="22"/>
          <w:szCs w:val="22"/>
        </w:rPr>
        <w:t xml:space="preserve">Brokerage integration to allow users to act on insights without switching apps</w:t>
      </w:r>
    </w:p>
    <w:p>
      <w:pPr>
        <w:spacing w:after="80" w:before="0"/>
      </w:pPr>
      <w:r>
        <w:t xml:space="preserve"/>
      </w:r>
    </w:p>
    <w:p>
      <w:pPr>
        <w:spacing w:after="120" w:before="80"/>
      </w:pPr>
      <w:r>
        <w:rPr>
          <w:rFonts w:ascii="Arial" w:cs="Arial" w:eastAsia="Arial" w:hAnsi="Arial"/>
          <w:color w:val="111827"/>
          <w:sz w:val="22"/>
          <w:szCs w:val="22"/>
        </w:rPr>
        <w:t xml:space="preserve">Brokerage integration is particularly significant. It closes the loop between insight and action, and creates a compounding feedback cycle as the platform learns each user's behavior and sharpens its relevance filtering over time. It is the primary long-term retention and monetization moat.</w:t>
      </w:r>
    </w:p>
    <w:p>
      <w:pPr>
        <w:pBdr>
          <w:bottom w:val="single" w:color="DBEAFE" w:sz="3" w:space="1"/>
        </w:pBdr>
        <w:spacing w:after="200" w:before="200"/>
      </w:pPr>
      <w:r>
        <w:t xml:space="preserve"/>
      </w:r>
    </w:p>
    <w:p>
      <w:pPr>
        <w:pStyle w:val="Heading1"/>
        <w:spacing w:after="120" w:before="400"/>
      </w:pPr>
      <w:r>
        <w:rPr>
          <w:rFonts w:ascii="Arial" w:cs="Arial" w:eastAsia="Arial" w:hAnsi="Arial"/>
          <w:b/>
          <w:bCs/>
          <w:color w:val="111827"/>
          <w:sz w:val="30"/>
          <w:szCs w:val="30"/>
        </w:rPr>
        <w:t xml:space="preserve">Vision</w:t>
      </w:r>
    </w:p>
    <w:p>
      <w:pPr>
        <w:spacing w:after="120" w:before="80"/>
      </w:pPr>
      <w:r>
        <w:rPr>
          <w:rFonts w:ascii="Arial" w:cs="Arial" w:eastAsia="Arial" w:hAnsi="Arial"/>
          <w:color w:val="111827"/>
          <w:sz w:val="22"/>
          <w:szCs w:val="22"/>
        </w:rPr>
        <w:t xml:space="preserve">StockClarify aims to become a trusted companion for everyday investors — one that learns each user's investment style and proactively surfaces the one or two developments each week that genuinely matter to them.</w:t>
      </w:r>
    </w:p>
    <w:p>
      <w:pPr>
        <w:spacing w:after="80" w:before="0"/>
      </w:pPr>
      <w:r>
        <w:t xml:space="preserve"/>
      </w:r>
    </w:p>
    <w:p>
      <w:pPr>
        <w:spacing w:after="120" w:before="80"/>
      </w:pPr>
      <w:r>
        <w:rPr>
          <w:rFonts w:ascii="Arial" w:cs="Arial" w:eastAsia="Arial" w:hAnsi="Arial"/>
          <w:color w:val="111827"/>
          <w:sz w:val="22"/>
          <w:szCs w:val="22"/>
        </w:rPr>
        <w:t xml:space="preserve">In this future state, the platform does not wait for users to check in. It reaches out when something important happens, explains it clearly, and allows users to act on it immediately.</w:t>
      </w:r>
    </w:p>
    <w:p>
      <w:pPr>
        <w:spacing w:after="80" w:before="0"/>
      </w:pPr>
      <w:r>
        <w:t xml:space="preserve"/>
      </w:r>
    </w:p>
    <w:p>
      <w:pPr>
        <w:spacing w:after="120" w:before="80"/>
      </w:pPr>
      <w:r>
        <w:rPr>
          <w:rFonts w:ascii="Arial" w:cs="Arial" w:eastAsia="Arial" w:hAnsi="Arial"/>
          <w:color w:val="111827"/>
          <w:sz w:val="22"/>
          <w:szCs w:val="22"/>
        </w:rPr>
        <w:t xml:space="preserve">The goal is not to replace investment judgment. It is to make good judgment easier by ensuring users are always working from a clear, accurate, and relevant picture of their investments.</w:t>
      </w:r>
    </w:p>
    <w:p>
      <w:pPr>
        <w:spacing w:after="80" w:before="0"/>
      </w:pPr>
      <w:r>
        <w:t xml:space="preserve"/>
      </w:r>
    </w:p>
    <w:p>
      <w:pPr>
        <w:pBdr>
          <w:left w:val="single" w:color="1A56DB" w:sz="6" w:space="10"/>
        </w:pBdr>
        <w:spacing w:after="100" w:before="100"/>
        <w:ind w:left="720"/>
      </w:pPr>
      <w:r>
        <w:rPr>
          <w:rFonts w:ascii="Arial" w:cs="Arial" w:eastAsia="Arial" w:hAnsi="Arial"/>
          <w:i/>
          <w:iCs/>
          <w:color w:val="6B7280"/>
          <w:sz w:val="22"/>
          <w:szCs w:val="22"/>
        </w:rPr>
        <w:t xml:space="preserve">StockClarify turns complex market information into meaningful clarity — and clarity into confident action.</w:t>
      </w:r>
    </w:p>
    <w:p>
      <w:pPr>
        <w:spacing w:after="80" w:before="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111827"/>
      <w:sz w:val="30"/>
      <w:szCs w:val="30"/>
    </w:rPr>
  </w:style>
  <w:style w:type="paragraph" w:styleId="Heading2">
    <w:name w:val="Heading 2"/>
    <w:basedOn w:val="Normal"/>
    <w:next w:val="Normal"/>
    <w:qFormat/>
    <w:pPr>
      <w:spacing w:after="80" w:before="240"/>
      <w:outlineLvl w:val="1"/>
    </w:pPr>
    <w:rPr>
      <w:rFonts w:ascii="Arial" w:cs="Arial" w:eastAsia="Arial" w:hAnsi="Arial"/>
      <w:b/>
      <w:bCs/>
      <w:color w:val="1A56D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2026-04-12T22:58:26.210Z</dcterms:created>
  <dcterms:modified xsi:type="dcterms:W3CDTF">2026-04-12T22:58:26.211Z</dcterms:modified>
</cp:coreProperties>
</file>

<file path=docProps/custom.xml><?xml version="1.0" encoding="utf-8"?>
<Properties xmlns="http://schemas.openxmlformats.org/officeDocument/2006/custom-properties" xmlns:vt="http://schemas.openxmlformats.org/officeDocument/2006/docPropsVTypes"/>
</file>