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rId27.jpg" ContentType="image/jpeg"/>
  <Override PartName="/word/media/rId31.jpg" ContentType="image/jpeg"/>
  <Override PartName="/word/media/rId24.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vacancy-report"/>
    <w:p>
      <w:pPr>
        <w:pStyle w:val="Heading1"/>
      </w:pPr>
      <w:r>
        <w:t xml:space="preserve">Vacancy Report</w:t>
      </w:r>
    </w:p>
    <w:bookmarkStart w:id="36" w:name="october-2025"/>
    <w:p>
      <w:pPr>
        <w:pStyle w:val="Heading2"/>
      </w:pPr>
      <w:r>
        <w:rPr>
          <w:b/>
          <w:bCs/>
        </w:rPr>
        <w:t xml:space="preserve">October 2025</w:t>
      </w:r>
    </w:p>
    <w:bookmarkStart w:id="35" w:name="released-12-november-2025"/>
    <w:p>
      <w:pPr>
        <w:pStyle w:val="Heading3"/>
      </w:pPr>
      <w:r>
        <w:t xml:space="preserve">Released</w:t>
      </w:r>
      <w:r>
        <w:t xml:space="preserve"> </w:t>
      </w:r>
      <w:r>
        <w:rPr>
          <w:b/>
          <w:bCs/>
        </w:rPr>
        <w:t xml:space="preserve">12 November 2025</w:t>
      </w:r>
    </w:p>
    <w:bookmarkStart w:id="23" w:name="job-ads-up-0.2-nationally-in-october"/>
    <w:p>
      <w:pPr>
        <w:pStyle w:val="Heading4"/>
      </w:pPr>
      <w:r>
        <w:t xml:space="preserve">Job ads</w:t>
      </w:r>
      <w:r>
        <w:t xml:space="preserve"> </w:t>
      </w:r>
      <w:r>
        <w:rPr>
          <w:b/>
          <w:bCs/>
        </w:rPr>
        <w:t xml:space="preserve">up</w:t>
      </w:r>
      <w:r>
        <w:t xml:space="preserve"> </w:t>
      </w:r>
      <w:r>
        <w:rPr>
          <w:b/>
          <w:bCs/>
        </w:rPr>
        <w:t xml:space="preserve">0.2%</w:t>
      </w:r>
      <w:r>
        <w:t xml:space="preserve"> </w:t>
      </w:r>
      <w:r>
        <w:t xml:space="preserve">nationally in</w:t>
      </w:r>
      <w:r>
        <w:t xml:space="preserve"> </w:t>
      </w:r>
      <w:r>
        <w:rPr>
          <w:b/>
          <w:bCs/>
        </w:rPr>
        <w:t xml:space="preserve">October</w:t>
      </w:r>
    </w:p>
    <w:p>
      <w:pPr>
        <w:pStyle w:val="KeyPoints"/>
      </w:pPr>
      <w:r>
        <w:t xml:space="preserve">This month’s report shows the period of record growth in advertisements following the COVID-19 pandemic is ending, with vacancy numbers having</w:t>
      </w:r>
      <w:r>
        <w:t xml:space="preserve"> </w:t>
      </w:r>
      <w:r>
        <w:rPr>
          <w:b/>
          <w:bCs/>
        </w:rPr>
        <w:t xml:space="preserve">decreased</w:t>
      </w:r>
      <w:r>
        <w:t xml:space="preserve"> </w:t>
      </w:r>
      <w:r>
        <w:t xml:space="preserve">in</w:t>
      </w:r>
      <w:r>
        <w:t xml:space="preserve"> </w:t>
      </w:r>
      <w:r>
        <w:rPr>
          <w:b/>
          <w:bCs/>
        </w:rPr>
        <w:t xml:space="preserve">7</w:t>
      </w:r>
      <w:r>
        <w:t xml:space="preserve"> </w:t>
      </w:r>
      <w:r>
        <w:t xml:space="preserve">of the past 12 months. Despite this, vacancy numbers remain at elevated levels, with around</w:t>
      </w:r>
      <w:r>
        <w:t xml:space="preserve"> </w:t>
      </w:r>
      <w:r>
        <w:rPr>
          <w:b/>
          <w:bCs/>
        </w:rPr>
        <w:t xml:space="preserve">21%</w:t>
      </w:r>
      <w:r>
        <w:t xml:space="preserve"> </w:t>
      </w:r>
      <w:r>
        <w:rPr>
          <w:b/>
          <w:bCs/>
        </w:rPr>
        <w:t xml:space="preserve">more</w:t>
      </w:r>
      <w:r>
        <w:t xml:space="preserve"> </w:t>
      </w:r>
      <w:r>
        <w:t xml:space="preserve">advertisements in the labour market presently than compared with the monthly average for 2019.</w:t>
      </w:r>
    </w:p>
    <w:p>
      <w:pPr>
        <w:pStyle w:val="KeyPointsBullet1"/>
      </w:pPr>
      <w:r>
        <w:t xml:space="preserve">Online job advertisements at the national level</w:t>
      </w:r>
      <w:r>
        <w:t xml:space="preserve"> </w:t>
      </w:r>
      <w:r>
        <w:rPr>
          <w:b/>
          <w:bCs/>
        </w:rPr>
        <w:t xml:space="preserve">increased</w:t>
      </w:r>
      <w:r>
        <w:t xml:space="preserve"> </w:t>
      </w:r>
      <w:r>
        <w:t xml:space="preserve">in</w:t>
      </w:r>
      <w:r>
        <w:t xml:space="preserve"> </w:t>
      </w:r>
      <w:r>
        <w:rPr>
          <w:b/>
          <w:bCs/>
        </w:rPr>
        <w:t xml:space="preserve">October 2025</w:t>
      </w:r>
      <w:r>
        <w:t xml:space="preserve"> </w:t>
      </w:r>
      <w:r>
        <w:t xml:space="preserve">(</w:t>
      </w:r>
      <w:r>
        <w:rPr>
          <w:b/>
          <w:bCs/>
        </w:rPr>
        <w:t xml:space="preserve">up</w:t>
      </w:r>
      <w:r>
        <w:t xml:space="preserve"> </w:t>
      </w:r>
      <w:r>
        <w:t xml:space="preserve">by</w:t>
      </w:r>
      <w:r>
        <w:t xml:space="preserve"> </w:t>
      </w:r>
      <w:r>
        <w:rPr>
          <w:b/>
          <w:bCs/>
        </w:rPr>
        <w:t xml:space="preserve">0.2%</w:t>
      </w:r>
      <w:r>
        <w:t xml:space="preserve"> </w:t>
      </w:r>
      <w:r>
        <w:t xml:space="preserve">or</w:t>
      </w:r>
      <w:r>
        <w:t xml:space="preserve"> </w:t>
      </w:r>
      <w:r>
        <w:rPr>
          <w:b/>
          <w:bCs/>
        </w:rPr>
        <w:t xml:space="preserve">350</w:t>
      </w:r>
      <w:r>
        <w:t xml:space="preserve">) to stand at</w:t>
      </w:r>
      <w:r>
        <w:t xml:space="preserve"> </w:t>
      </w:r>
      <w:r>
        <w:rPr>
          <w:b/>
          <w:bCs/>
        </w:rPr>
        <w:t xml:space="preserve">208,000</w:t>
      </w:r>
      <w:r>
        <w:t xml:space="preserve">.</w:t>
      </w:r>
    </w:p>
    <w:p>
      <w:pPr>
        <w:pStyle w:val="KeyPointsBullet2"/>
      </w:pPr>
      <w:r>
        <w:t xml:space="preserve">Over the year to</w:t>
      </w:r>
      <w:r>
        <w:t xml:space="preserve"> </w:t>
      </w:r>
      <w:r>
        <w:rPr>
          <w:b/>
          <w:bCs/>
        </w:rPr>
        <w:t xml:space="preserve">October 2025</w:t>
      </w:r>
      <w:r>
        <w:t xml:space="preserve">, online job advertisements</w:t>
      </w:r>
      <w:r>
        <w:t xml:space="preserve"> </w:t>
      </w:r>
      <w:r>
        <w:rPr>
          <w:b/>
          <w:bCs/>
        </w:rPr>
        <w:t xml:space="preserve">decreased</w:t>
      </w:r>
      <w:r>
        <w:t xml:space="preserve"> </w:t>
      </w:r>
      <w:r>
        <w:t xml:space="preserve">by</w:t>
      </w:r>
      <w:r>
        <w:t xml:space="preserve"> </w:t>
      </w:r>
      <w:r>
        <w:rPr>
          <w:b/>
          <w:bCs/>
        </w:rPr>
        <w:t xml:space="preserve">7.3%</w:t>
      </w:r>
      <w:r>
        <w:t xml:space="preserve"> </w:t>
      </w:r>
      <w:r>
        <w:t xml:space="preserve">(or</w:t>
      </w:r>
      <w:r>
        <w:t xml:space="preserve"> </w:t>
      </w:r>
      <w:r>
        <w:rPr>
          <w:b/>
          <w:bCs/>
        </w:rPr>
        <w:t xml:space="preserve">16,500</w:t>
      </w:r>
      <w:r>
        <w:t xml:space="preserve">). Vacancy numbers, though, are at high levels historically.</w:t>
      </w:r>
    </w:p>
    <w:p>
      <w:pPr>
        <w:pStyle w:val="KeyPointsBullet2"/>
      </w:pPr>
      <w:r>
        <w:t xml:space="preserve">This</w:t>
      </w:r>
      <w:r>
        <w:t xml:space="preserve"> </w:t>
      </w:r>
      <w:r>
        <w:rPr>
          <w:b/>
          <w:bCs/>
        </w:rPr>
        <w:t xml:space="preserve">downward</w:t>
      </w:r>
      <w:r>
        <w:t xml:space="preserve"> </w:t>
      </w:r>
      <w:r>
        <w:t xml:space="preserve">trend is present in other demand indicators, with the Australian Bureau of Statistics’</w:t>
      </w:r>
      <w:r>
        <w:t xml:space="preserve"> </w:t>
      </w:r>
      <w:hyperlink r:id="rId20">
        <w:r>
          <w:rPr>
            <w:rStyle w:val="Hyperlink"/>
            <w:i/>
            <w:iCs/>
          </w:rPr>
          <w:t xml:space="preserve">Job Vacancies, Australia</w:t>
        </w:r>
      </w:hyperlink>
      <w:r>
        <w:t xml:space="preserve"> </w:t>
      </w:r>
      <w:r>
        <w:t xml:space="preserve">series showing a</w:t>
      </w:r>
      <w:r>
        <w:t xml:space="preserve"> </w:t>
      </w:r>
      <w:r>
        <w:rPr>
          <w:b/>
          <w:bCs/>
        </w:rPr>
        <w:t xml:space="preserve">[INSERT YEARLY CHANGE (%)] increase/decrease</w:t>
      </w:r>
      <w:r>
        <w:t xml:space="preserve"> </w:t>
      </w:r>
      <w:r>
        <w:t xml:space="preserve">in vacancies over the year to</w:t>
      </w:r>
      <w:r>
        <w:t xml:space="preserve"> </w:t>
      </w:r>
      <w:r>
        <w:rPr>
          <w:b/>
          <w:bCs/>
        </w:rPr>
        <w:t xml:space="preserve">August 2025</w:t>
      </w:r>
      <w:r>
        <w:t xml:space="preserve">.</w:t>
      </w:r>
      <w:r>
        <w:rPr>
          <w:rStyle w:val="FootnoteReference"/>
        </w:rPr>
        <w:footnoteReference w:id="21"/>
      </w:r>
    </w:p>
    <w:p>
      <w:pPr>
        <w:pStyle w:val="KeyPointsBullet1"/>
      </w:pPr>
      <w:r>
        <w:t xml:space="preserve">Recruitment activity</w:t>
      </w:r>
      <w:r>
        <w:t xml:space="preserve"> </w:t>
      </w:r>
      <w:r>
        <w:rPr>
          <w:b/>
          <w:bCs/>
        </w:rPr>
        <w:t xml:space="preserve">decreased</w:t>
      </w:r>
      <w:r>
        <w:t xml:space="preserve"> </w:t>
      </w:r>
      <w:r>
        <w:t xml:space="preserve">across</w:t>
      </w:r>
      <w:r>
        <w:t xml:space="preserve"> </w:t>
      </w:r>
      <w:r>
        <w:rPr>
          <w:b/>
          <w:bCs/>
        </w:rPr>
        <w:t xml:space="preserve">half of the</w:t>
      </w:r>
      <w:r>
        <w:t xml:space="preserve"> </w:t>
      </w:r>
      <w:r>
        <w:t xml:space="preserve">states and territories over the month. The largest percentage changes were recorded in</w:t>
      </w:r>
      <w:r>
        <w:t xml:space="preserve"> </w:t>
      </w:r>
      <w:r>
        <w:rPr>
          <w:b/>
          <w:bCs/>
        </w:rPr>
        <w:t xml:space="preserve">Australian Capital Territory</w:t>
      </w:r>
      <w:r>
        <w:t xml:space="preserve"> </w:t>
      </w:r>
      <w:r>
        <w:t xml:space="preserve">(</w:t>
      </w:r>
      <w:r>
        <w:rPr>
          <w:b/>
          <w:bCs/>
        </w:rPr>
        <w:t xml:space="preserve">down</w:t>
      </w:r>
      <w:r>
        <w:t xml:space="preserve"> </w:t>
      </w:r>
      <w:r>
        <w:t xml:space="preserve">by</w:t>
      </w:r>
      <w:r>
        <w:t xml:space="preserve"> </w:t>
      </w:r>
      <w:r>
        <w:rPr>
          <w:b/>
          <w:bCs/>
        </w:rPr>
        <w:t xml:space="preserve">11.2%</w:t>
      </w:r>
      <w:r>
        <w:t xml:space="preserve"> </w:t>
      </w:r>
      <w:r>
        <w:t xml:space="preserve">or</w:t>
      </w:r>
      <w:r>
        <w:t xml:space="preserve"> </w:t>
      </w:r>
      <w:r>
        <w:rPr>
          <w:b/>
          <w:bCs/>
        </w:rPr>
        <w:t xml:space="preserve">560</w:t>
      </w:r>
      <w:r>
        <w:t xml:space="preserve"> </w:t>
      </w:r>
      <w:r>
        <w:t xml:space="preserve">job advertisements) followed by</w:t>
      </w:r>
      <w:r>
        <w:t xml:space="preserve"> </w:t>
      </w:r>
      <w:r>
        <w:rPr>
          <w:b/>
          <w:bCs/>
        </w:rPr>
        <w:t xml:space="preserve">Northern Territory</w:t>
      </w:r>
      <w:r>
        <w:t xml:space="preserve"> </w:t>
      </w:r>
      <w:r>
        <w:t xml:space="preserve">(</w:t>
      </w:r>
      <w:r>
        <w:rPr>
          <w:b/>
          <w:bCs/>
        </w:rPr>
        <w:t xml:space="preserve">up</w:t>
      </w:r>
      <w:r>
        <w:t xml:space="preserve"> </w:t>
      </w:r>
      <w:r>
        <w:t xml:space="preserve">by</w:t>
      </w:r>
      <w:r>
        <w:t xml:space="preserve"> </w:t>
      </w:r>
      <w:r>
        <w:rPr>
          <w:b/>
          <w:bCs/>
        </w:rPr>
        <w:t xml:space="preserve">3.3%</w:t>
      </w:r>
      <w:r>
        <w:t xml:space="preserve"> </w:t>
      </w:r>
      <w:r>
        <w:t xml:space="preserve">or</w:t>
      </w:r>
      <w:r>
        <w:t xml:space="preserve"> </w:t>
      </w:r>
      <w:r>
        <w:rPr>
          <w:b/>
          <w:bCs/>
        </w:rPr>
        <w:t xml:space="preserve">90</w:t>
      </w:r>
      <w:r>
        <w:t xml:space="preserve">) and</w:t>
      </w:r>
      <w:r>
        <w:t xml:space="preserve"> </w:t>
      </w:r>
      <w:r>
        <w:rPr>
          <w:b/>
          <w:bCs/>
        </w:rPr>
        <w:t xml:space="preserve">South Australia</w:t>
      </w:r>
      <w:r>
        <w:t xml:space="preserve"> </w:t>
      </w:r>
      <w:r>
        <w:t xml:space="preserve">(</w:t>
      </w:r>
      <w:r>
        <w:rPr>
          <w:b/>
          <w:bCs/>
        </w:rPr>
        <w:t xml:space="preserve">up</w:t>
      </w:r>
      <w:r>
        <w:t xml:space="preserve"> </w:t>
      </w:r>
      <w:r>
        <w:t xml:space="preserve">by</w:t>
      </w:r>
      <w:r>
        <w:t xml:space="preserve"> </w:t>
      </w:r>
      <w:r>
        <w:rPr>
          <w:b/>
          <w:bCs/>
        </w:rPr>
        <w:t xml:space="preserve">2.2%</w:t>
      </w:r>
      <w:r>
        <w:t xml:space="preserve"> </w:t>
      </w:r>
      <w:r>
        <w:t xml:space="preserve">or</w:t>
      </w:r>
      <w:r>
        <w:t xml:space="preserve"> </w:t>
      </w:r>
      <w:r>
        <w:rPr>
          <w:b/>
          <w:bCs/>
        </w:rPr>
        <w:t xml:space="preserve">290</w:t>
      </w:r>
      <w:r>
        <w:t xml:space="preserve">).</w:t>
      </w:r>
    </w:p>
    <w:p>
      <w:pPr>
        <w:pStyle w:val="KeyPointsBullet1"/>
      </w:pPr>
      <w:r>
        <w:t xml:space="preserve">Over the month, advertisements</w:t>
      </w:r>
      <w:r>
        <w:t xml:space="preserve"> </w:t>
      </w:r>
      <w:r>
        <w:rPr>
          <w:b/>
          <w:bCs/>
        </w:rPr>
        <w:t xml:space="preserve">decreased</w:t>
      </w:r>
      <w:r>
        <w:t xml:space="preserve"> </w:t>
      </w:r>
      <w:r>
        <w:t xml:space="preserve">across</w:t>
      </w:r>
      <w:r>
        <w:t xml:space="preserve"> </w:t>
      </w:r>
      <w:r>
        <w:rPr>
          <w:b/>
          <w:bCs/>
        </w:rPr>
        <w:t xml:space="preserve">3</w:t>
      </w:r>
      <w:r>
        <w:t xml:space="preserve"> </w:t>
      </w:r>
      <w:r>
        <w:t xml:space="preserve">Skill Level groups. The largest percentage changes were recorded for</w:t>
      </w:r>
      <w:r>
        <w:t xml:space="preserve"> </w:t>
      </w:r>
      <w:r>
        <w:rPr>
          <w:b/>
          <w:bCs/>
        </w:rPr>
        <w:t xml:space="preserve">Skill Level 3 (commensurate with Certificate IV or III)</w:t>
      </w:r>
      <w:r>
        <w:t xml:space="preserve"> </w:t>
      </w:r>
      <w:r>
        <w:t xml:space="preserve">occupations (</w:t>
      </w:r>
      <w:r>
        <w:rPr>
          <w:b/>
          <w:bCs/>
        </w:rPr>
        <w:t xml:space="preserve">up</w:t>
      </w:r>
      <w:r>
        <w:t xml:space="preserve"> </w:t>
      </w:r>
      <w:r>
        <w:t xml:space="preserve">by</w:t>
      </w:r>
      <w:r>
        <w:t xml:space="preserve"> </w:t>
      </w:r>
      <w:r>
        <w:rPr>
          <w:b/>
          <w:bCs/>
        </w:rPr>
        <w:t xml:space="preserve">1.8%</w:t>
      </w:r>
      <w:r>
        <w:t xml:space="preserve"> </w:t>
      </w:r>
      <w:r>
        <w:t xml:space="preserve">or</w:t>
      </w:r>
      <w:r>
        <w:t xml:space="preserve"> </w:t>
      </w:r>
      <w:r>
        <w:rPr>
          <w:b/>
          <w:bCs/>
        </w:rPr>
        <w:t xml:space="preserve">580</w:t>
      </w:r>
      <w:r>
        <w:t xml:space="preserve"> </w:t>
      </w:r>
      <w:r>
        <w:t xml:space="preserve">job advertisements) followed by</w:t>
      </w:r>
      <w:r>
        <w:t xml:space="preserve"> </w:t>
      </w:r>
      <w:r>
        <w:rPr>
          <w:b/>
          <w:bCs/>
        </w:rPr>
        <w:t xml:space="preserve">Skill Level 5 (commensurate with Certificate I or secondary education)</w:t>
      </w:r>
      <w:r>
        <w:t xml:space="preserve"> </w:t>
      </w:r>
      <w:r>
        <w:t xml:space="preserve">occupations (</w:t>
      </w:r>
      <w:r>
        <w:rPr>
          <w:b/>
          <w:bCs/>
        </w:rPr>
        <w:t xml:space="preserve">up</w:t>
      </w:r>
      <w:r>
        <w:t xml:space="preserve"> </w:t>
      </w:r>
      <w:r>
        <w:t xml:space="preserve">by</w:t>
      </w:r>
      <w:r>
        <w:t xml:space="preserve"> </w:t>
      </w:r>
      <w:r>
        <w:rPr>
          <w:b/>
          <w:bCs/>
        </w:rPr>
        <w:t xml:space="preserve">1.1%</w:t>
      </w:r>
      <w:r>
        <w:t xml:space="preserve"> </w:t>
      </w:r>
      <w:r>
        <w:t xml:space="preserve">or</w:t>
      </w:r>
      <w:r>
        <w:t xml:space="preserve"> </w:t>
      </w:r>
      <w:r>
        <w:rPr>
          <w:b/>
          <w:bCs/>
        </w:rPr>
        <w:t xml:space="preserve">260</w:t>
      </w:r>
      <w:r>
        <w:t xml:space="preserve">).</w:t>
      </w:r>
    </w:p>
    <w:p>
      <w:pPr>
        <w:pStyle w:val="KeyPointsBullet1"/>
      </w:pPr>
      <w:r>
        <w:t xml:space="preserve">Advertisements</w:t>
      </w:r>
      <w:r>
        <w:t xml:space="preserve"> </w:t>
      </w:r>
      <w:r>
        <w:rPr>
          <w:b/>
          <w:bCs/>
        </w:rPr>
        <w:t xml:space="preserve">increased</w:t>
      </w:r>
      <w:r>
        <w:t xml:space="preserve"> </w:t>
      </w:r>
      <w:r>
        <w:t xml:space="preserve">across</w:t>
      </w:r>
      <w:r>
        <w:t xml:space="preserve"> </w:t>
      </w:r>
      <w:r>
        <w:rPr>
          <w:b/>
          <w:bCs/>
        </w:rPr>
        <w:t xml:space="preserve">5</w:t>
      </w:r>
      <w:r>
        <w:t xml:space="preserve"> </w:t>
      </w:r>
      <w:r>
        <w:t xml:space="preserve">Major Occupation groups over the month. The largest percentage change was for</w:t>
      </w:r>
      <w:r>
        <w:t xml:space="preserve"> </w:t>
      </w:r>
      <w:r>
        <w:rPr>
          <w:b/>
          <w:bCs/>
        </w:rPr>
        <w:t xml:space="preserve">Labourers</w:t>
      </w:r>
      <w:r>
        <w:t xml:space="preserve"> </w:t>
      </w:r>
      <w:r>
        <w:t xml:space="preserve">(</w:t>
      </w:r>
      <w:r>
        <w:rPr>
          <w:b/>
          <w:bCs/>
        </w:rPr>
        <w:t xml:space="preserve">up</w:t>
      </w:r>
      <w:r>
        <w:t xml:space="preserve"> </w:t>
      </w:r>
      <w:r>
        <w:t xml:space="preserve">by</w:t>
      </w:r>
      <w:r>
        <w:t xml:space="preserve"> </w:t>
      </w:r>
      <w:r>
        <w:rPr>
          <w:b/>
          <w:bCs/>
        </w:rPr>
        <w:t xml:space="preserve">2.0%</w:t>
      </w:r>
      <w:r>
        <w:t xml:space="preserve"> </w:t>
      </w:r>
      <w:r>
        <w:t xml:space="preserve">or</w:t>
      </w:r>
      <w:r>
        <w:t xml:space="preserve"> </w:t>
      </w:r>
      <w:r>
        <w:rPr>
          <w:b/>
          <w:bCs/>
        </w:rPr>
        <w:t xml:space="preserve">280</w:t>
      </w:r>
      <w:r>
        <w:t xml:space="preserve"> </w:t>
      </w:r>
      <w:r>
        <w:t xml:space="preserve">job advertisements) followed by</w:t>
      </w:r>
      <w:r>
        <w:t xml:space="preserve"> </w:t>
      </w:r>
      <w:r>
        <w:rPr>
          <w:b/>
          <w:bCs/>
        </w:rPr>
        <w:t xml:space="preserve">Machinery Operators and Drivers</w:t>
      </w:r>
      <w:r>
        <w:t xml:space="preserve"> </w:t>
      </w:r>
      <w:r>
        <w:t xml:space="preserve">(</w:t>
      </w:r>
      <w:r>
        <w:rPr>
          <w:b/>
          <w:bCs/>
        </w:rPr>
        <w:t xml:space="preserve">up</w:t>
      </w:r>
      <w:r>
        <w:t xml:space="preserve"> </w:t>
      </w:r>
      <w:r>
        <w:t xml:space="preserve">by</w:t>
      </w:r>
      <w:r>
        <w:t xml:space="preserve"> </w:t>
      </w:r>
      <w:r>
        <w:rPr>
          <w:b/>
          <w:bCs/>
        </w:rPr>
        <w:t xml:space="preserve">2.0%</w:t>
      </w:r>
      <w:r>
        <w:t xml:space="preserve"> </w:t>
      </w:r>
      <w:r>
        <w:t xml:space="preserve">or</w:t>
      </w:r>
      <w:r>
        <w:t xml:space="preserve"> </w:t>
      </w:r>
      <w:r>
        <w:rPr>
          <w:b/>
          <w:bCs/>
        </w:rPr>
        <w:t xml:space="preserve">250</w:t>
      </w:r>
      <w:r>
        <w:t xml:space="preserve">). The smallest percentage change was recorded for</w:t>
      </w:r>
      <w:r>
        <w:t xml:space="preserve"> </w:t>
      </w:r>
      <w:r>
        <w:rPr>
          <w:b/>
          <w:bCs/>
        </w:rPr>
        <w:t xml:space="preserve">Community and Personal Service Workers</w:t>
      </w:r>
      <w:r>
        <w:t xml:space="preserve"> </w:t>
      </w:r>
      <w:r>
        <w:t xml:space="preserve">(</w:t>
      </w:r>
      <w:r>
        <w:rPr>
          <w:b/>
          <w:bCs/>
        </w:rPr>
        <w:t xml:space="preserve">down</w:t>
      </w:r>
      <w:r>
        <w:t xml:space="preserve"> </w:t>
      </w:r>
      <w:r>
        <w:t xml:space="preserve">by</w:t>
      </w:r>
      <w:r>
        <w:t xml:space="preserve"> </w:t>
      </w:r>
      <w:r>
        <w:rPr>
          <w:b/>
          <w:bCs/>
        </w:rPr>
        <w:t xml:space="preserve">0.3%</w:t>
      </w:r>
      <w:r>
        <w:t xml:space="preserve"> </w:t>
      </w:r>
      <w:r>
        <w:t xml:space="preserve">or</w:t>
      </w:r>
      <w:r>
        <w:t xml:space="preserve"> </w:t>
      </w:r>
      <w:r>
        <w:rPr>
          <w:b/>
          <w:bCs/>
        </w:rPr>
        <w:t xml:space="preserve">60</w:t>
      </w:r>
      <w:r>
        <w:t xml:space="preserve">).</w:t>
      </w:r>
    </w:p>
    <w:p>
      <w:pPr>
        <w:pStyle w:val="KeyPointsBullet1"/>
      </w:pPr>
      <w:r>
        <w:t xml:space="preserve">Recruitment activity was concentrated in</w:t>
      </w:r>
      <w:r>
        <w:t xml:space="preserve"> </w:t>
      </w:r>
      <w:r>
        <w:rPr>
          <w:b/>
          <w:bCs/>
        </w:rPr>
        <w:t xml:space="preserve">metropolitan</w:t>
      </w:r>
      <w:r>
        <w:t xml:space="preserve"> </w:t>
      </w:r>
      <w:r>
        <w:t xml:space="preserve">Australia, with</w:t>
      </w:r>
      <w:r>
        <w:t xml:space="preserve"> </w:t>
      </w:r>
      <w:r>
        <w:rPr>
          <w:b/>
          <w:bCs/>
        </w:rPr>
        <w:t xml:space="preserve">70.2%</w:t>
      </w:r>
      <w:r>
        <w:t xml:space="preserve"> </w:t>
      </w:r>
      <w:r>
        <w:t xml:space="preserve">of job advertisements in</w:t>
      </w:r>
      <w:r>
        <w:t xml:space="preserve"> </w:t>
      </w:r>
      <w:r>
        <w:rPr>
          <w:b/>
          <w:bCs/>
        </w:rPr>
        <w:t xml:space="preserve">October 2025</w:t>
      </w:r>
      <w:r>
        <w:t xml:space="preserve"> </w:t>
      </w:r>
      <w:r>
        <w:t xml:space="preserve">found in Australia’s</w:t>
      </w:r>
      <w:r>
        <w:t xml:space="preserve"> </w:t>
      </w:r>
      <w:r>
        <w:rPr>
          <w:b/>
          <w:bCs/>
        </w:rPr>
        <w:t xml:space="preserve">capital cities</w:t>
      </w:r>
      <w:r>
        <w:t xml:space="preserve">. Over the last 12 months, job advertisements have</w:t>
      </w:r>
      <w:r>
        <w:t xml:space="preserve"> </w:t>
      </w:r>
      <w:r>
        <w:rPr>
          <w:b/>
          <w:bCs/>
        </w:rPr>
        <w:t xml:space="preserve">decreased</w:t>
      </w:r>
      <w:r>
        <w:t xml:space="preserve"> </w:t>
      </w:r>
      <w:r>
        <w:t xml:space="preserve">in regional areas (</w:t>
      </w:r>
      <w:r>
        <w:rPr>
          <w:b/>
          <w:bCs/>
        </w:rPr>
        <w:t xml:space="preserve">down</w:t>
      </w:r>
      <w:r>
        <w:t xml:space="preserve"> </w:t>
      </w:r>
      <w:r>
        <w:t xml:space="preserve">by</w:t>
      </w:r>
      <w:r>
        <w:t xml:space="preserve"> </w:t>
      </w:r>
      <w:r>
        <w:rPr>
          <w:b/>
          <w:bCs/>
        </w:rPr>
        <w:t xml:space="preserve">4.2%</w:t>
      </w:r>
      <w:r>
        <w:t xml:space="preserve">); however, a</w:t>
      </w:r>
      <w:r>
        <w:t xml:space="preserve"> </w:t>
      </w:r>
      <w:r>
        <w:rPr>
          <w:b/>
          <w:bCs/>
        </w:rPr>
        <w:t xml:space="preserve">larger</w:t>
      </w:r>
      <w:r>
        <w:t xml:space="preserve"> </w:t>
      </w:r>
      <w:r>
        <w:rPr>
          <w:b/>
          <w:bCs/>
        </w:rPr>
        <w:t xml:space="preserve">decrease</w:t>
      </w:r>
      <w:r>
        <w:t xml:space="preserve"> </w:t>
      </w:r>
      <w:r>
        <w:t xml:space="preserve">was recorded for capital cities (</w:t>
      </w:r>
      <w:r>
        <w:rPr>
          <w:b/>
          <w:bCs/>
        </w:rPr>
        <w:t xml:space="preserve">down</w:t>
      </w:r>
      <w:r>
        <w:t xml:space="preserve"> </w:t>
      </w:r>
      <w:r>
        <w:t xml:space="preserve">by</w:t>
      </w:r>
      <w:r>
        <w:t xml:space="preserve"> </w:t>
      </w:r>
      <w:r>
        <w:rPr>
          <w:b/>
          <w:bCs/>
        </w:rPr>
        <w:t xml:space="preserve">10.6%</w:t>
      </w:r>
      <w:r>
        <w:t xml:space="preserve">).</w:t>
      </w:r>
    </w:p>
    <w:p>
      <w:pPr>
        <w:pStyle w:val="BodyText"/>
      </w:pPr>
      <w:r>
        <w:t xml:space="preserve">Each month the IVI report provides a more detailed analysis of a particular labour market segment. This month’s report spotlights</w:t>
      </w:r>
      <w:r>
        <w:t xml:space="preserve"> </w:t>
      </w:r>
      <w:r>
        <w:rPr>
          <w:b/>
          <w:bCs/>
        </w:rPr>
        <w:t xml:space="preserve">Aircraft Maintenance Engineers</w:t>
      </w:r>
      <w:r>
        <w:t xml:space="preserve">.</w:t>
      </w:r>
    </w:p>
    <w:p>
      <w:r>
        <w:br w:type="page"/>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24"/>
        <w:gridCol w:w="1361"/>
        <w:gridCol w:w="907"/>
      </w:tblGrid>
      <w:tr>
        <w:trPr>
          <w:trHeight w:val="850" w:hRule="exact"/>
        </w:trPr>
        body1
        <w:tc>
          <w:tcPr>
            <w:gridSpan w:val="3"/>
            <w:tcBorders>
              <w:bottom w:val="none" w:sz="0" w:space="0" w:color="000000"/>
              <w:top w:val="none" w:sz="0" w:space="0" w:color="000000"/>
              <w:left w:val="none" w:sz="0" w:space="0" w:color="000000"/>
              <w:right w:val="none" w:sz="0" w:space="0" w:color="000000"/>
            </w:tcBorders>
            <w:shd w:val="clear" w:color="auto" w:fill="2F005F"/>
            <w:tcMar>
              <w:top w:w="0" w:type="dxa"/>
              <w:bottom w:w="0" w:type="dxa"/>
              <w:left w:w="0" w:type="dxa"/>
              <w:right w:w="0" w:type="dxa"/>
            </w:tcMar>
            <w:vAlign w:val="bottom"/>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true"/>
                <w:u w:val="none"/>
                <w:strike w:val="false"/>
                <w:sz w:val="44"/>
                <w:szCs w:val="44"/>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44"/>
                <w:szCs w:val="44"/>
                <w:color w:val="FFFFFF"/>
              </w:rPr>
              <w:t xml:space="preserve">208,000</w:t>
            </w:r>
          </w:p>
        </w:tc>
      </w:tr>
      <w:tr>
        <w:trPr>
          <w:trHeight w:val="567" w:hRule="exact"/>
        </w:trPr>
        body2
        <w:tc>
          <w:tcPr>
            <w:gridSpan w:val="3"/>
            <w:tcBorders>
              <w:bottom w:val="none" w:sz="0" w:space="0" w:color="000000"/>
              <w:top w:val="none" w:sz="0" w:space="0" w:color="000000"/>
              <w:left w:val="none" w:sz="0" w:space="0" w:color="000000"/>
              <w:right w:val="none" w:sz="0" w:space="0" w:color="000000"/>
            </w:tcBorders>
            <w:shd w:val="clear" w:color="auto" w:fill="2F005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true"/>
                <w:u w:val="none"/>
                <w:strike w:val="false"/>
                <w:sz w:val="20"/>
                <w:szCs w:val="20"/>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20"/>
                <w:szCs w:val="20"/>
                <w:color w:val="FFFFFF"/>
              </w:rPr>
              <w:t xml:space="preserve">Online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20"/>
                <w:szCs w:val="20"/>
                <w:color w:val="FFFFFF"/>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20"/>
                <w:szCs w:val="20"/>
                <w:color w:val="FFFFFF"/>
              </w:rPr>
              <w:t xml:space="preserve">Job Advertisements</w:t>
            </w:r>
          </w:p>
        </w:tc>
      </w:tr>
      <w:tr>
        <w:trPr>
          <w:trHeight w:val="283" w:hRule="exact"/>
        </w:trPr>
        body3
        <w:tc>
          <w:tcPr>
            <w:gridSpan w:val="3"/>
            <w:tcBorders>
              <w:bottom w:val="none" w:sz="0" w:space="0" w:color="000000"/>
              <w:top w:val="none" w:sz="0" w:space="0" w:color="000000"/>
              <w:left w:val="none" w:sz="0" w:space="0" w:color="000000"/>
              <w:right w:val="none" w:sz="0" w:space="0" w:color="000000"/>
            </w:tcBorders>
            <w:shd w:val="clear" w:color="auto" w:fill="2F005F"/>
            <w:tcMar>
              <w:top w:w="0" w:type="dxa"/>
              <w:bottom w:w="0" w:type="dxa"/>
              <w:left w:w="0" w:type="dxa"/>
              <w:right w:w="0" w:type="dxa"/>
            </w:tcMar>
            <w:vAlign w:val="top"/>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true"/>
                <w:u w:val="none"/>
                <w:strike w:val="false"/>
                <w:sz w:val="12"/>
                <w:szCs w:val="1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12"/>
                <w:szCs w:val="12"/>
                <w:color w:val="FFFFFF"/>
              </w:rPr>
              <w:t xml:space="preserve">(seasonally adjusted)</w:t>
            </w:r>
          </w:p>
        </w:tc>
      </w:tr>
      <w:tr>
        <w:trPr>
          <w:trHeight w:val="1020" w:hRule="exact"/>
        </w:trPr>
        body4
        <w:tc>
          <w:tcPr>
            <w:tcBorders>
              <w:bottom w:val="none" w:sz="0" w:space="0" w:color="000000"/>
              <w:top w:val="none" w:sz="0" w:space="0" w:color="000000"/>
              <w:left w:val="none" w:sz="0" w:space="0" w:color="000000"/>
              <w:right w:val="none" w:sz="0" w:space="0" w:color="000000"/>
            </w:tcBorders>
            <w:shd w:val="clear" w:color="auto" w:fill="F6E8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true"/>
                <w:u w:val="none"/>
                <w:strike w:val="false"/>
                <w:sz w:val="40"/>
                <w:szCs w:val="40"/>
                <w:color w:val="047817"/>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40"/>
                <w:szCs w:val="40"/>
                <w:color w:val="047817"/>
              </w:rPr>
              <w:t xml:space="preserve">▲</w:t>
            </w:r>
          </w:p>
        </w:tc>
        <w:tc>
          <w:tcPr>
            <w:tcBorders>
              <w:bottom w:val="none" w:sz="0" w:space="0" w:color="000000"/>
              <w:top w:val="none" w:sz="0" w:space="0" w:color="000000"/>
              <w:left w:val="none" w:sz="0" w:space="0" w:color="000000"/>
              <w:right w:val="none" w:sz="0" w:space="0" w:color="000000"/>
            </w:tcBorders>
            <w:shd w:val="clear" w:color="auto" w:fill="F6E8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true"/>
                <w:u w:val="none"/>
                <w:strike w:val="false"/>
                <w:sz w:val="40"/>
                <w:szCs w:val="4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40"/>
                <w:szCs w:val="40"/>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6E8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Monthly change</w:t>
            </w:r>
          </w:p>
        </w:tc>
      </w:tr>
      <w:tr>
        <w:trPr>
          <w:trHeight w:val="1020" w:hRule="exact"/>
        </w:trPr>
        body5
        <w:tc>
          <w:tcPr>
            <w:tcBorders>
              <w:bottom w:val="none" w:sz="0" w:space="0" w:color="000000"/>
              <w:top w:val="none" w:sz="0" w:space="0" w:color="000000"/>
              <w:left w:val="none" w:sz="0" w:space="0" w:color="000000"/>
              <w:right w:val="none" w:sz="0" w:space="0" w:color="000000"/>
            </w:tcBorders>
            <w:shd w:val="clear" w:color="auto" w:fill="F6E8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true"/>
                <w:u w:val="none"/>
                <w:strike w:val="false"/>
                <w:sz w:val="40"/>
                <w:szCs w:val="40"/>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40"/>
                <w:szCs w:val="40"/>
                <w:color w:val="B80000"/>
              </w:rPr>
              <w:t xml:space="preserve">▼</w:t>
            </w:r>
          </w:p>
        </w:tc>
        <w:tc>
          <w:tcPr>
            <w:tcBorders>
              <w:bottom w:val="none" w:sz="0" w:space="0" w:color="000000"/>
              <w:top w:val="none" w:sz="0" w:space="0" w:color="000000"/>
              <w:left w:val="none" w:sz="0" w:space="0" w:color="000000"/>
              <w:right w:val="none" w:sz="0" w:space="0" w:color="000000"/>
            </w:tcBorders>
            <w:shd w:val="clear" w:color="auto" w:fill="F6E8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true"/>
                <w:u w:val="none"/>
                <w:strike w:val="false"/>
                <w:sz w:val="40"/>
                <w:szCs w:val="4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40"/>
                <w:szCs w:val="40"/>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6E8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Annual change</w:t>
            </w:r>
          </w:p>
        </w:tc>
      </w:tr>
      <w:tr>
        <w:trPr>
          <w:trHeight w:val="1616" w:hRule="exact"/>
        </w:trPr>
        body6
        <w:tc>
          <w:tcPr>
            <w:gridSpan w:val="3"/>
            <w:tcBorders>
              <w:bottom w:val="none" w:sz="0" w:space="0" w:color="000000"/>
              <w:top w:val="none" w:sz="0" w:space="0" w:color="000000"/>
              <w:left w:val="none" w:sz="0" w:space="0" w:color="000000"/>
              <w:right w:val="none" w:sz="0" w:space="0" w:color="000000"/>
            </w:tcBorders>
            <w:shd w:val="clear" w:color="auto" w:fill="F3EFE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76"/>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Online job advertisements increased by 0.2% (or 350 job advertisements) in October 2025 to stand at 208,000.</w:t>
            </w:r>
          </w:p>
        </w:tc>
      </w:tr>
      <w:tr>
        <w:trPr>
          <w:trHeight w:val="1616" w:hRule="exact"/>
        </w:trPr>
        body7
        <w:tc>
          <w:tcPr>
            <w:gridSpan w:val="3"/>
            <w:tcBorders>
              <w:bottom w:val="none" w:sz="0" w:space="0" w:color="000000"/>
              <w:top w:val="none" w:sz="0" w:space="0" w:color="000000"/>
              <w:left w:val="none" w:sz="0" w:space="0" w:color="000000"/>
              <w:right w:val="none" w:sz="0" w:space="0" w:color="000000"/>
            </w:tcBorders>
            <w:shd w:val="clear" w:color="auto" w:fill="F3EFEB"/>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76"/>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Over the year to October 2025, online job advertisements decreased by 7.3% (or 16,500 job advertisements).</w:t>
            </w:r>
          </w:p>
        </w:tc>
      </w:tr>
    </w:tbl>
    <w:p>
      <w:r>
        <w:br w:type="page"/>
      </w:r>
    </w:p>
    <w:bookmarkStart w:id="22" w:name="header-for-ivi-spotlight"/>
    <w:p>
      <w:pPr>
        <w:pStyle w:val="Heading5"/>
      </w:pPr>
      <w:r>
        <w:t xml:space="preserve">[HEADER FOR IVI SPOTLIGHT]</w:t>
      </w:r>
    </w:p>
    <w:p>
      <w:pPr>
        <w:pStyle w:val="FirstParagraph"/>
      </w:pPr>
      <w:r>
        <w:t xml:space="preserve">[LOREM IPSUM…]</w:t>
      </w:r>
    </w:p>
    <w:p>
      <w:r>
        <w:br w:type="page"/>
      </w:r>
    </w:p>
    <w:bookmarkEnd w:id="22"/>
    <w:bookmarkEnd w:id="23"/>
    <w:bookmarkStart w:id="34" w:name="X5bb5d98305534355bbff284ec4b6c046cb3b160"/>
    <w:p>
      <w:pPr>
        <w:pStyle w:val="Heading4"/>
      </w:pPr>
      <w:r>
        <w:t xml:space="preserve">Internet Vacancy Index Summary Sheet -</w:t>
      </w:r>
      <w:r>
        <w:t xml:space="preserve"> </w:t>
      </w:r>
      <w:r>
        <w:rPr>
          <w:b/>
          <w:bCs/>
        </w:rPr>
        <w:t xml:space="preserve">October 2025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85"/>
        <w:gridCol w:w="1191"/>
        <w:gridCol w:w="1134"/>
        <w:gridCol w:w="340"/>
        <w:gridCol w:w="907"/>
        <w:gridCol w:w="1134"/>
        <w:gridCol w:w="340"/>
        <w:gridCol w:w="907"/>
      </w:tblGrid>
      <w:tr>
        <w:trPr>
          <w:trHeight w:val="1134" w:hRule="auto"/>
          <w:tblHeader/>
        </w:trPr>
        header1
        <w:tc>
          <w:tcPr>
            <w:tcBorders>
              <w:bottom w:val="single" w:sz="8" w:space="0" w:color="7F7F7F"/>
              <w:top w:val="none" w:sz="0" w:space="0" w:color="000000"/>
              <w:left w:val="none" w:sz="0" w:space="0" w:color="000000"/>
              <w:right w:val="none" w:sz="0" w:space="0" w:color="000000"/>
            </w:tcBorders>
            <w:shd w:val="clear" w:color="auto" w:fill="2C054E"/>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18"/>
                <w:szCs w:val="18"/>
                <w:color w:val="FFFFFF"/>
              </w:rPr>
              <w:t xml:space="preserve">   </w:t>
            </w:r>
          </w:p>
        </w:tc>
        <w:tc>
          <w:tcPr>
            <w:tcBorders>
              <w:bottom w:val="single" w:sz="8" w:space="0" w:color="7F7F7F"/>
              <w:top w:val="none" w:sz="0" w:space="0" w:color="000000"/>
              <w:left w:val="none" w:sz="0" w:space="0" w:color="000000"/>
              <w:right w:val="none" w:sz="0" w:space="0" w:color="000000"/>
            </w:tcBorders>
            <w:shd w:val="clear" w:color="auto" w:fill="2C054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18"/>
                <w:szCs w:val="18"/>
                <w:color w:val="FFFFFF"/>
              </w:rPr>
              <w:t xml:space="preserve">Number of job ads (no.)</w:t>
            </w:r>
          </w:p>
        </w:tc>
        <w:tc>
          <w:tcPr>
            <w:tcBorders>
              <w:bottom w:val="single" w:sz="8" w:space="0" w:color="7F7F7F"/>
              <w:top w:val="none" w:sz="0" w:space="0" w:color="000000"/>
              <w:left w:val="none" w:sz="0" w:space="0" w:color="000000"/>
              <w:right w:val="none" w:sz="0" w:space="0" w:color="000000"/>
            </w:tcBorders>
            <w:shd w:val="clear" w:color="auto" w:fill="2C054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18"/>
                <w:szCs w:val="18"/>
                <w:color w:val="FFFFFF"/>
              </w:rPr>
              <w:t xml:space="preserve">Monthly change (no.)</w:t>
            </w:r>
          </w:p>
        </w:tc>
        <w:tc>
          <w:tcPr>
            <w:tcBorders>
              <w:bottom w:val="single" w:sz="8" w:space="0" w:color="7F7F7F"/>
              <w:top w:val="none" w:sz="0" w:space="0" w:color="000000"/>
              <w:left w:val="none" w:sz="0" w:space="0" w:color="000000"/>
              <w:right w:val="none" w:sz="0" w:space="0" w:color="000000"/>
            </w:tcBorders>
            <w:shd w:val="clear" w:color="auto" w:fill="2C054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18"/>
                <w:szCs w:val="18"/>
                <w:color w:val="FFFFFF"/>
              </w:rPr>
              <w:t xml:space="preserve">  </w:t>
            </w:r>
          </w:p>
        </w:tc>
        <w:tc>
          <w:tcPr>
            <w:tcBorders>
              <w:bottom w:val="single" w:sz="8" w:space="0" w:color="7F7F7F"/>
              <w:top w:val="none" w:sz="0" w:space="0" w:color="000000"/>
              <w:left w:val="none" w:sz="0" w:space="0" w:color="000000"/>
              <w:right w:val="none" w:sz="0" w:space="0" w:color="000000"/>
            </w:tcBorders>
            <w:shd w:val="clear" w:color="auto" w:fill="2C054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18"/>
                <w:szCs w:val="18"/>
                <w:color w:val="FFFFFF"/>
              </w:rPr>
              <w:t xml:space="preserve">Monthly change (%)</w:t>
            </w:r>
          </w:p>
        </w:tc>
        <w:tc>
          <w:tcPr>
            <w:tcBorders>
              <w:bottom w:val="single" w:sz="8" w:space="0" w:color="7F7F7F"/>
              <w:top w:val="none" w:sz="0" w:space="0" w:color="000000"/>
              <w:left w:val="none" w:sz="0" w:space="0" w:color="000000"/>
              <w:right w:val="none" w:sz="0" w:space="0" w:color="000000"/>
            </w:tcBorders>
            <w:shd w:val="clear" w:color="auto" w:fill="2C054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18"/>
                <w:szCs w:val="18"/>
                <w:color w:val="FFFFFF"/>
              </w:rPr>
              <w:t xml:space="preserve">Annual change (no.)</w:t>
            </w:r>
          </w:p>
        </w:tc>
        <w:tc>
          <w:tcPr>
            <w:tcBorders>
              <w:bottom w:val="single" w:sz="8" w:space="0" w:color="7F7F7F"/>
              <w:top w:val="none" w:sz="0" w:space="0" w:color="000000"/>
              <w:left w:val="none" w:sz="0" w:space="0" w:color="000000"/>
              <w:right w:val="none" w:sz="0" w:space="0" w:color="000000"/>
            </w:tcBorders>
            <w:shd w:val="clear" w:color="auto" w:fill="2C054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18"/>
                <w:szCs w:val="18"/>
                <w:color w:val="FFFFFF"/>
              </w:rPr>
              <w:t xml:space="preserve"> </w:t>
            </w:r>
          </w:p>
        </w:tc>
        <w:tc>
          <w:tcPr>
            <w:tcBorders>
              <w:bottom w:val="single" w:sz="8" w:space="0" w:color="7F7F7F"/>
              <w:top w:val="none" w:sz="0" w:space="0" w:color="000000"/>
              <w:left w:val="none" w:sz="0" w:space="0" w:color="000000"/>
              <w:right w:val="none" w:sz="0" w:space="0" w:color="000000"/>
            </w:tcBorders>
            <w:shd w:val="clear" w:color="auto" w:fill="2C054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true"/>
                <w:u w:val="none"/>
                <w:strike w:val="false"/>
                <w:sz w:val="18"/>
                <w:szCs w:val="18"/>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18"/>
                <w:szCs w:val="18"/>
                <w:color w:val="FFFFFF"/>
              </w:rPr>
              <w:t xml:space="preserve">Annual change (%)</w:t>
            </w:r>
          </w:p>
        </w:tc>
      </w:tr>
      <w:tr>
        <w:trPr>
          <w:trHeight w:val="431" w:hRule="auto"/>
        </w:trPr>
        body1
        <w:tc>
          <w:tcPr>
            <w:tcBorders>
              <w:bottom w:val="none" w:sz="0" w:space="0" w:color="000000"/>
              <w:top w:val="single" w:sz="8" w:space="0" w:color="7F7F7F"/>
              <w:left w:val="single" w:sz="8" w:space="0" w:color="7F7F7F"/>
              <w:right w:val="single" w:sz="8" w:space="0" w:color="7F7F7F"/>
            </w:tcBorders>
            <w:shd w:val="clear" w:color="auto" w:fill="F5E8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18"/>
                <w:szCs w:val="18"/>
                <w:color w:val="000000"/>
              </w:rPr>
              <w:t xml:space="preserve">Australia</w:t>
            </w:r>
          </w:p>
        </w:tc>
        <w:tc>
          <w:tcPr>
            <w:tcBorders>
              <w:bottom w:val="none" w:sz="0" w:space="0" w:color="000000"/>
              <w:top w:val="single" w:sz="8" w:space="0" w:color="7F7F7F"/>
              <w:left w:val="single" w:sz="8" w:space="0" w:color="7F7F7F"/>
              <w:right w:val="single" w:sz="8" w:space="0" w:color="7F7F7F"/>
            </w:tcBorders>
            <w:shd w:val="clear" w:color="auto" w:fill="F5E8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18"/>
                <w:szCs w:val="18"/>
                <w:color w:val="000000"/>
              </w:rPr>
              <w:t xml:space="preserve">208,000</w:t>
            </w:r>
          </w:p>
        </w:tc>
        <w:tc>
          <w:tcPr>
            <w:tcBorders>
              <w:bottom w:val="none" w:sz="0" w:space="0" w:color="000000"/>
              <w:top w:val="single" w:sz="8" w:space="0" w:color="7F7F7F"/>
              <w:left w:val="single" w:sz="8" w:space="0" w:color="7F7F7F"/>
              <w:right w:val="single" w:sz="8" w:space="0" w:color="7F7F7F"/>
            </w:tcBorders>
            <w:shd w:val="clear" w:color="auto" w:fill="F5E8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18"/>
                <w:szCs w:val="18"/>
                <w:color w:val="000000"/>
              </w:rPr>
              <w:t xml:space="preserve">350</w:t>
            </w:r>
          </w:p>
        </w:tc>
        <w:tc>
          <w:tcPr>
            <w:tcBorders>
              <w:bottom w:val="none" w:sz="0" w:space="0" w:color="000000"/>
              <w:top w:val="single" w:sz="8" w:space="0" w:color="7F7F7F"/>
              <w:left w:val="single" w:sz="8" w:space="0" w:color="7F7F7F"/>
              <w:right w:val="none" w:sz="0" w:space="0" w:color="000000"/>
            </w:tcBorders>
            <w:shd w:val="clear" w:color="auto" w:fill="F5E8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true"/>
                <w:u w:val="none"/>
                <w:strike w:val="false"/>
                <w:sz w:val="18"/>
                <w:szCs w:val="18"/>
                <w:color w:val="14CA6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18"/>
                <w:szCs w:val="18"/>
                <w:color w:val="14CA6B"/>
              </w:rPr>
              <w:t xml:space="preserve">▲</w:t>
            </w:r>
          </w:p>
        </w:tc>
        <w:tc>
          <w:tcPr>
            <w:tcBorders>
              <w:bottom w:val="none" w:sz="0" w:space="0" w:color="000000"/>
              <w:top w:val="single" w:sz="8" w:space="0" w:color="7F7F7F"/>
              <w:left w:val="none" w:sz="0" w:space="0" w:color="000000"/>
              <w:right w:val="single" w:sz="8" w:space="0" w:color="7F7F7F"/>
            </w:tcBorders>
            <w:shd w:val="clear" w:color="auto" w:fill="F5E8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18"/>
                <w:szCs w:val="18"/>
                <w:color w:val="000000"/>
              </w:rPr>
              <w:t xml:space="preserve">0.2%</w:t>
            </w:r>
          </w:p>
        </w:tc>
        <w:tc>
          <w:tcPr>
            <w:tcBorders>
              <w:bottom w:val="none" w:sz="0" w:space="0" w:color="000000"/>
              <w:top w:val="single" w:sz="8" w:space="0" w:color="7F7F7F"/>
              <w:left w:val="single" w:sz="8" w:space="0" w:color="7F7F7F"/>
              <w:right w:val="single" w:sz="8" w:space="0" w:color="7F7F7F"/>
            </w:tcBorders>
            <w:shd w:val="clear" w:color="auto" w:fill="F5E8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18"/>
                <w:szCs w:val="18"/>
                <w:color w:val="000000"/>
              </w:rPr>
              <w:t xml:space="preserve">-16,500</w:t>
            </w:r>
          </w:p>
        </w:tc>
        <w:tc>
          <w:tcPr>
            <w:tcBorders>
              <w:bottom w:val="none" w:sz="0" w:space="0" w:color="000000"/>
              <w:top w:val="single" w:sz="8" w:space="0" w:color="7F7F7F"/>
              <w:left w:val="single" w:sz="8" w:space="0" w:color="7F7F7F"/>
              <w:right w:val="none" w:sz="0" w:space="0" w:color="000000"/>
            </w:tcBorders>
            <w:shd w:val="clear" w:color="auto" w:fill="F5E8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tru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18"/>
                <w:szCs w:val="18"/>
                <w:color w:val="B80000"/>
              </w:rPr>
              <w:t xml:space="preserve">▼</w:t>
            </w:r>
          </w:p>
        </w:tc>
        <w:tc>
          <w:tcPr>
            <w:tcBorders>
              <w:bottom w:val="none" w:sz="0" w:space="0" w:color="000000"/>
              <w:top w:val="single" w:sz="8" w:space="0" w:color="7F7F7F"/>
              <w:left w:val="none" w:sz="0" w:space="0" w:color="000000"/>
              <w:right w:val="single" w:sz="8" w:space="0" w:color="7F7F7F"/>
            </w:tcBorders>
            <w:shd w:val="clear" w:color="auto" w:fill="F5E8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tru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true"/>
                <w:u w:val="none"/>
                <w:strike w:val="false"/>
                <w:sz w:val="18"/>
                <w:szCs w:val="18"/>
                <w:color w:val="000000"/>
              </w:rPr>
              <w:t xml:space="preserve">-7.3%</w:t>
            </w:r>
          </w:p>
        </w:tc>
      </w:tr>
      <w:tr>
        <w:trPr>
          <w:trHeight w:val="431" w:hRule="auto"/>
        </w:trPr>
        body2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New South Wales</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62,400</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760</w:t>
            </w:r>
          </w:p>
        </w:tc>
        <w:tc>
          <w:tcPr>
            <w:tcBorders>
              <w:bottom w:val="none" w:sz="0" w:space="0" w:color="000000"/>
              <w:top w:val="none" w:sz="0" w:space="0" w:color="000000"/>
              <w:left w:val="single" w:sz="8" w:space="0" w:color="7F7F7F"/>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14CA6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14CA6B"/>
              </w:rPr>
              <w:t xml:space="preserve">▲</w:t>
            </w:r>
          </w:p>
        </w:tc>
        <w:tc>
          <w:tcPr>
            <w:tcBorders>
              <w:bottom w:val="none" w:sz="0" w:space="0" w:color="000000"/>
              <w:top w:val="none" w:sz="0" w:space="0" w:color="000000"/>
              <w:left w:val="none" w:sz="0" w:space="0" w:color="000000"/>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1.2%</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-2,700</w:t>
            </w:r>
          </w:p>
        </w:tc>
        <w:tc>
          <w:tcPr>
            <w:tcBorders>
              <w:bottom w:val="none" w:sz="0" w:space="0" w:color="000000"/>
              <w:top w:val="none" w:sz="0" w:space="0" w:color="000000"/>
              <w:left w:val="single" w:sz="8" w:space="0" w:color="7F7F7F"/>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none" w:sz="0" w:space="0" w:color="000000"/>
              <w:left w:val="none" w:sz="0" w:space="0" w:color="000000"/>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-4.2%</w:t>
            </w:r>
          </w:p>
        </w:tc>
      </w:tr>
      <w:tr>
        <w:trPr>
          <w:trHeight w:val="431" w:hRule="auto"/>
        </w:trPr>
        body3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Victoria</w:t>
            </w:r>
          </w:p>
        </w:tc>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45,500</w:t>
            </w:r>
          </w:p>
        </w:tc>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-170</w:t>
            </w:r>
          </w:p>
        </w:tc>
        <w:tc>
          <w:tcPr>
            <w:tcBorders>
              <w:bottom w:val="none" w:sz="0" w:space="0" w:color="000000"/>
              <w:top w:val="none" w:sz="0" w:space="0" w:color="000000"/>
              <w:left w:val="single" w:sz="8" w:space="0" w:color="7F7F7F"/>
              <w:right w:val="none" w:sz="0" w:space="0" w:color="000000"/>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none" w:sz="0" w:space="0" w:color="000000"/>
              <w:left w:val="none" w:sz="0" w:space="0" w:color="000000"/>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-0.4%</w:t>
            </w:r>
          </w:p>
        </w:tc>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-5,400</w:t>
            </w:r>
          </w:p>
        </w:tc>
        <w:tc>
          <w:tcPr>
            <w:tcBorders>
              <w:bottom w:val="none" w:sz="0" w:space="0" w:color="000000"/>
              <w:top w:val="none" w:sz="0" w:space="0" w:color="000000"/>
              <w:left w:val="single" w:sz="8" w:space="0" w:color="7F7F7F"/>
              <w:right w:val="none" w:sz="0" w:space="0" w:color="000000"/>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none" w:sz="0" w:space="0" w:color="000000"/>
              <w:left w:val="none" w:sz="0" w:space="0" w:color="000000"/>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-10.6%</w:t>
            </w:r>
          </w:p>
        </w:tc>
      </w:tr>
      <w:tr>
        <w:trPr>
          <w:trHeight w:val="431" w:hRule="auto"/>
        </w:trPr>
        body4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Queensland</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49,800</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290</w:t>
            </w:r>
          </w:p>
        </w:tc>
        <w:tc>
          <w:tcPr>
            <w:tcBorders>
              <w:bottom w:val="none" w:sz="0" w:space="0" w:color="000000"/>
              <w:top w:val="none" w:sz="0" w:space="0" w:color="000000"/>
              <w:left w:val="single" w:sz="8" w:space="0" w:color="7F7F7F"/>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14CA6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14CA6B"/>
              </w:rPr>
              <w:t xml:space="preserve">▲</w:t>
            </w:r>
          </w:p>
        </w:tc>
        <w:tc>
          <w:tcPr>
            <w:tcBorders>
              <w:bottom w:val="none" w:sz="0" w:space="0" w:color="000000"/>
              <w:top w:val="none" w:sz="0" w:space="0" w:color="000000"/>
              <w:left w:val="none" w:sz="0" w:space="0" w:color="000000"/>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0.6%</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-4,600</w:t>
            </w:r>
          </w:p>
        </w:tc>
        <w:tc>
          <w:tcPr>
            <w:tcBorders>
              <w:bottom w:val="none" w:sz="0" w:space="0" w:color="000000"/>
              <w:top w:val="none" w:sz="0" w:space="0" w:color="000000"/>
              <w:left w:val="single" w:sz="8" w:space="0" w:color="7F7F7F"/>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none" w:sz="0" w:space="0" w:color="000000"/>
              <w:left w:val="none" w:sz="0" w:space="0" w:color="000000"/>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-8.5%</w:t>
            </w:r>
          </w:p>
        </w:tc>
      </w:tr>
      <w:tr>
        <w:trPr>
          <w:trHeight w:val="431" w:hRule="auto"/>
        </w:trPr>
        body5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South Australia</w:t>
            </w:r>
          </w:p>
        </w:tc>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13,900</w:t>
            </w:r>
          </w:p>
        </w:tc>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290</w:t>
            </w:r>
          </w:p>
        </w:tc>
        <w:tc>
          <w:tcPr>
            <w:tcBorders>
              <w:bottom w:val="none" w:sz="0" w:space="0" w:color="000000"/>
              <w:top w:val="none" w:sz="0" w:space="0" w:color="000000"/>
              <w:left w:val="single" w:sz="8" w:space="0" w:color="7F7F7F"/>
              <w:right w:val="none" w:sz="0" w:space="0" w:color="000000"/>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14CA6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14CA6B"/>
              </w:rPr>
              <w:t xml:space="preserve">▲</w:t>
            </w:r>
          </w:p>
        </w:tc>
        <w:tc>
          <w:tcPr>
            <w:tcBorders>
              <w:bottom w:val="none" w:sz="0" w:space="0" w:color="000000"/>
              <w:top w:val="none" w:sz="0" w:space="0" w:color="000000"/>
              <w:left w:val="none" w:sz="0" w:space="0" w:color="000000"/>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2.2%</w:t>
            </w:r>
          </w:p>
        </w:tc>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-30</w:t>
            </w:r>
          </w:p>
        </w:tc>
        <w:tc>
          <w:tcPr>
            <w:tcBorders>
              <w:bottom w:val="none" w:sz="0" w:space="0" w:color="000000"/>
              <w:top w:val="none" w:sz="0" w:space="0" w:color="000000"/>
              <w:left w:val="single" w:sz="8" w:space="0" w:color="7F7F7F"/>
              <w:right w:val="none" w:sz="0" w:space="0" w:color="000000"/>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none" w:sz="0" w:space="0" w:color="000000"/>
              <w:left w:val="none" w:sz="0" w:space="0" w:color="000000"/>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-0.2%</w:t>
            </w:r>
          </w:p>
        </w:tc>
      </w:tr>
      <w:tr>
        <w:trPr>
          <w:trHeight w:val="431" w:hRule="auto"/>
        </w:trPr>
        body6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Western Australia</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25,800</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-260</w:t>
            </w:r>
          </w:p>
        </w:tc>
        <w:tc>
          <w:tcPr>
            <w:tcBorders>
              <w:bottom w:val="none" w:sz="0" w:space="0" w:color="000000"/>
              <w:top w:val="none" w:sz="0" w:space="0" w:color="000000"/>
              <w:left w:val="single" w:sz="8" w:space="0" w:color="7F7F7F"/>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none" w:sz="0" w:space="0" w:color="000000"/>
              <w:left w:val="none" w:sz="0" w:space="0" w:color="000000"/>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-1.0%</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-2,000</w:t>
            </w:r>
          </w:p>
        </w:tc>
        <w:tc>
          <w:tcPr>
            <w:tcBorders>
              <w:bottom w:val="none" w:sz="0" w:space="0" w:color="000000"/>
              <w:top w:val="none" w:sz="0" w:space="0" w:color="000000"/>
              <w:left w:val="single" w:sz="8" w:space="0" w:color="7F7F7F"/>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none" w:sz="0" w:space="0" w:color="000000"/>
              <w:left w:val="none" w:sz="0" w:space="0" w:color="000000"/>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-7.1%</w:t>
            </w:r>
          </w:p>
        </w:tc>
      </w:tr>
      <w:tr>
        <w:trPr>
          <w:trHeight w:val="431" w:hRule="auto"/>
        </w:trPr>
        body7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Tasmania</w:t>
            </w:r>
          </w:p>
        </w:tc>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3,300</w:t>
            </w:r>
          </w:p>
        </w:tc>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-10</w:t>
            </w:r>
          </w:p>
        </w:tc>
        <w:tc>
          <w:tcPr>
            <w:tcBorders>
              <w:bottom w:val="none" w:sz="0" w:space="0" w:color="000000"/>
              <w:top w:val="none" w:sz="0" w:space="0" w:color="000000"/>
              <w:left w:val="single" w:sz="8" w:space="0" w:color="7F7F7F"/>
              <w:right w:val="none" w:sz="0" w:space="0" w:color="000000"/>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none" w:sz="0" w:space="0" w:color="000000"/>
              <w:left w:val="none" w:sz="0" w:space="0" w:color="000000"/>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-0.3%</w:t>
            </w:r>
          </w:p>
        </w:tc>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-400</w:t>
            </w:r>
          </w:p>
        </w:tc>
        <w:tc>
          <w:tcPr>
            <w:tcBorders>
              <w:bottom w:val="none" w:sz="0" w:space="0" w:color="000000"/>
              <w:top w:val="none" w:sz="0" w:space="0" w:color="000000"/>
              <w:left w:val="single" w:sz="8" w:space="0" w:color="7F7F7F"/>
              <w:right w:val="none" w:sz="0" w:space="0" w:color="000000"/>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none" w:sz="0" w:space="0" w:color="000000"/>
              <w:left w:val="none" w:sz="0" w:space="0" w:color="000000"/>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-10.8%</w:t>
            </w:r>
          </w:p>
        </w:tc>
      </w:tr>
      <w:tr>
        <w:trPr>
          <w:trHeight w:val="431" w:hRule="auto"/>
        </w:trPr>
        body8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Northern Territory</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2,900</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90</w:t>
            </w:r>
          </w:p>
        </w:tc>
        <w:tc>
          <w:tcPr>
            <w:tcBorders>
              <w:bottom w:val="none" w:sz="0" w:space="0" w:color="000000"/>
              <w:top w:val="none" w:sz="0" w:space="0" w:color="000000"/>
              <w:left w:val="single" w:sz="8" w:space="0" w:color="7F7F7F"/>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14CA6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14CA6B"/>
              </w:rPr>
              <w:t xml:space="preserve">▲</w:t>
            </w:r>
          </w:p>
        </w:tc>
        <w:tc>
          <w:tcPr>
            <w:tcBorders>
              <w:bottom w:val="none" w:sz="0" w:space="0" w:color="000000"/>
              <w:top w:val="none" w:sz="0" w:space="0" w:color="000000"/>
              <w:left w:val="none" w:sz="0" w:space="0" w:color="000000"/>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3.3%</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-290</w:t>
            </w:r>
          </w:p>
        </w:tc>
        <w:tc>
          <w:tcPr>
            <w:tcBorders>
              <w:bottom w:val="none" w:sz="0" w:space="0" w:color="000000"/>
              <w:top w:val="none" w:sz="0" w:space="0" w:color="000000"/>
              <w:left w:val="single" w:sz="8" w:space="0" w:color="7F7F7F"/>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none" w:sz="0" w:space="0" w:color="000000"/>
              <w:left w:val="none" w:sz="0" w:space="0" w:color="000000"/>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-9.0%</w:t>
            </w:r>
          </w:p>
        </w:tc>
      </w:tr>
      <w:tr>
        <w:trPr>
          <w:trHeight w:val="431" w:hRule="auto"/>
        </w:trPr>
        body9
        <w:tc>
          <w:tcPr>
            <w:tcBorders>
              <w:bottom w:val="single" w:sz="8" w:space="0" w:color="7F7F7F"/>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Australian Capital Territory</w:t>
            </w:r>
          </w:p>
        </w:tc>
        <w:tc>
          <w:tcPr>
            <w:tcBorders>
              <w:bottom w:val="single" w:sz="8" w:space="0" w:color="7F7F7F"/>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4,400</w:t>
            </w:r>
          </w:p>
        </w:tc>
        <w:tc>
          <w:tcPr>
            <w:tcBorders>
              <w:bottom w:val="single" w:sz="8" w:space="0" w:color="7F7F7F"/>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-560</w:t>
            </w:r>
          </w:p>
        </w:tc>
        <w:tc>
          <w:tcPr>
            <w:tcBorders>
              <w:bottom w:val="single" w:sz="8" w:space="0" w:color="7F7F7F"/>
              <w:top w:val="none" w:sz="0" w:space="0" w:color="000000"/>
              <w:left w:val="single" w:sz="8" w:space="0" w:color="7F7F7F"/>
              <w:right w:val="none" w:sz="0" w:space="0" w:color="000000"/>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single" w:sz="8" w:space="0" w:color="7F7F7F"/>
              <w:top w:val="none" w:sz="0" w:space="0" w:color="000000"/>
              <w:left w:val="none" w:sz="0" w:space="0" w:color="000000"/>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-11.2%</w:t>
            </w:r>
          </w:p>
        </w:tc>
        <w:tc>
          <w:tcPr>
            <w:tcBorders>
              <w:bottom w:val="single" w:sz="8" w:space="0" w:color="7F7F7F"/>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-1,500</w:t>
            </w:r>
          </w:p>
        </w:tc>
        <w:tc>
          <w:tcPr>
            <w:tcBorders>
              <w:bottom w:val="single" w:sz="8" w:space="0" w:color="7F7F7F"/>
              <w:top w:val="none" w:sz="0" w:space="0" w:color="000000"/>
              <w:left w:val="single" w:sz="8" w:space="0" w:color="7F7F7F"/>
              <w:right w:val="none" w:sz="0" w:space="0" w:color="000000"/>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single" w:sz="8" w:space="0" w:color="7F7F7F"/>
              <w:top w:val="none" w:sz="0" w:space="0" w:color="000000"/>
              <w:left w:val="none" w:sz="0" w:space="0" w:color="000000"/>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-24.8%</w:t>
            </w:r>
          </w:p>
        </w:tc>
      </w:tr>
    </w:tbl>
    <w:p>
      <w:pPr>
        <w:pStyle w:val="FirstParagraph"/>
      </w:pPr>
      <w:r>
        <w:br/>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85"/>
        <w:gridCol w:w="1191"/>
        <w:gridCol w:w="1134"/>
        <w:gridCol w:w="340"/>
        <w:gridCol w:w="907"/>
        <w:gridCol w:w="1134"/>
        <w:gridCol w:w="340"/>
        <w:gridCol w:w="907"/>
      </w:tblGrid>
      <w:tr>
        <w:trPr>
          <w:trHeight w:val="431" w:hRule="auto"/>
        </w:trPr>
        body1
        <w:tc>
          <w:tcPr>
            <w:tcBorders>
              <w:bottom w:val="none" w:sz="0" w:space="0" w:color="000000"/>
              <w:top w:val="single" w:sz="8" w:space="0" w:color="7F7F7F"/>
              <w:left w:val="single" w:sz="8" w:space="0" w:color="7F7F7F"/>
              <w:right w:val="single" w:sz="8" w:space="0" w:color="7F7F7F"/>
            </w:tcBorders>
            <w:shd w:val="clear" w:color="auto" w:fill="F1F4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Managers</w:t>
            </w:r>
          </w:p>
        </w:tc>
        <w:tc>
          <w:tcPr>
            <w:tcBorders>
              <w:bottom w:val="none" w:sz="0" w:space="0" w:color="000000"/>
              <w:top w:val="single" w:sz="8" w:space="0" w:color="7F7F7F"/>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24,500</w:t>
            </w:r>
          </w:p>
        </w:tc>
        <w:tc>
          <w:tcPr>
            <w:tcBorders>
              <w:bottom w:val="none" w:sz="0" w:space="0" w:color="000000"/>
              <w:top w:val="single" w:sz="8" w:space="0" w:color="7F7F7F"/>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160</w:t>
            </w:r>
          </w:p>
        </w:tc>
        <w:tc>
          <w:tcPr>
            <w:tcBorders>
              <w:bottom w:val="none" w:sz="0" w:space="0" w:color="000000"/>
              <w:top w:val="single" w:sz="8" w:space="0" w:color="7F7F7F"/>
              <w:left w:val="single" w:sz="8" w:space="0" w:color="7F7F7F"/>
              <w:right w:val="none" w:sz="0" w:space="0" w:color="000000"/>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14CA6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14CA6B"/>
              </w:rPr>
              <w:t xml:space="preserve">▲</w:t>
            </w:r>
          </w:p>
        </w:tc>
        <w:tc>
          <w:tcPr>
            <w:tcBorders>
              <w:bottom w:val="none" w:sz="0" w:space="0" w:color="000000"/>
              <w:top w:val="single" w:sz="8" w:space="0" w:color="7F7F7F"/>
              <w:left w:val="none" w:sz="0" w:space="0" w:color="000000"/>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0.7%</w:t>
            </w:r>
          </w:p>
        </w:tc>
        <w:tc>
          <w:tcPr>
            <w:tcBorders>
              <w:bottom w:val="none" w:sz="0" w:space="0" w:color="000000"/>
              <w:top w:val="single" w:sz="8" w:space="0" w:color="7F7F7F"/>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-1,900</w:t>
            </w:r>
          </w:p>
        </w:tc>
        <w:tc>
          <w:tcPr>
            <w:tcBorders>
              <w:bottom w:val="none" w:sz="0" w:space="0" w:color="000000"/>
              <w:top w:val="single" w:sz="8" w:space="0" w:color="7F7F7F"/>
              <w:left w:val="single" w:sz="8" w:space="0" w:color="7F7F7F"/>
              <w:right w:val="none" w:sz="0" w:space="0" w:color="000000"/>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single" w:sz="8" w:space="0" w:color="7F7F7F"/>
              <w:left w:val="none" w:sz="0" w:space="0" w:color="000000"/>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-7.3%</w:t>
            </w:r>
          </w:p>
        </w:tc>
      </w:tr>
      <w:tr>
        <w:trPr>
          <w:trHeight w:val="431" w:hRule="auto"/>
        </w:trPr>
        body2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Professionals</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59,000</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-750</w:t>
            </w:r>
          </w:p>
        </w:tc>
        <w:tc>
          <w:tcPr>
            <w:tcBorders>
              <w:bottom w:val="none" w:sz="0" w:space="0" w:color="000000"/>
              <w:top w:val="none" w:sz="0" w:space="0" w:color="000000"/>
              <w:left w:val="single" w:sz="8" w:space="0" w:color="7F7F7F"/>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none" w:sz="0" w:space="0" w:color="000000"/>
              <w:left w:val="none" w:sz="0" w:space="0" w:color="000000"/>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-1.3%</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-5,200</w:t>
            </w:r>
          </w:p>
        </w:tc>
        <w:tc>
          <w:tcPr>
            <w:tcBorders>
              <w:bottom w:val="none" w:sz="0" w:space="0" w:color="000000"/>
              <w:top w:val="none" w:sz="0" w:space="0" w:color="000000"/>
              <w:left w:val="single" w:sz="8" w:space="0" w:color="7F7F7F"/>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none" w:sz="0" w:space="0" w:color="000000"/>
              <w:left w:val="none" w:sz="0" w:space="0" w:color="000000"/>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-8.0%</w:t>
            </w:r>
          </w:p>
        </w:tc>
      </w:tr>
      <w:tr>
        <w:trPr>
          <w:trHeight w:val="431" w:hRule="auto"/>
        </w:trPr>
        body3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Technicians and Trades Workers</w:t>
            </w:r>
          </w:p>
        </w:tc>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29,800</w:t>
            </w:r>
          </w:p>
        </w:tc>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550</w:t>
            </w:r>
          </w:p>
        </w:tc>
        <w:tc>
          <w:tcPr>
            <w:tcBorders>
              <w:bottom w:val="none" w:sz="0" w:space="0" w:color="000000"/>
              <w:top w:val="none" w:sz="0" w:space="0" w:color="000000"/>
              <w:left w:val="single" w:sz="8" w:space="0" w:color="7F7F7F"/>
              <w:right w:val="none" w:sz="0" w:space="0" w:color="000000"/>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14CA6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14CA6B"/>
              </w:rPr>
              <w:t xml:space="preserve">▲</w:t>
            </w:r>
          </w:p>
        </w:tc>
        <w:tc>
          <w:tcPr>
            <w:tcBorders>
              <w:bottom w:val="none" w:sz="0" w:space="0" w:color="000000"/>
              <w:top w:val="none" w:sz="0" w:space="0" w:color="000000"/>
              <w:left w:val="none" w:sz="0" w:space="0" w:color="000000"/>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1.9%</w:t>
            </w:r>
          </w:p>
        </w:tc>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-2,400</w:t>
            </w:r>
          </w:p>
        </w:tc>
        <w:tc>
          <w:tcPr>
            <w:tcBorders>
              <w:bottom w:val="none" w:sz="0" w:space="0" w:color="000000"/>
              <w:top w:val="none" w:sz="0" w:space="0" w:color="000000"/>
              <w:left w:val="single" w:sz="8" w:space="0" w:color="7F7F7F"/>
              <w:right w:val="none" w:sz="0" w:space="0" w:color="000000"/>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none" w:sz="0" w:space="0" w:color="000000"/>
              <w:left w:val="none" w:sz="0" w:space="0" w:color="000000"/>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-7.4%</w:t>
            </w:r>
          </w:p>
        </w:tc>
      </w:tr>
      <w:tr>
        <w:trPr>
          <w:trHeight w:val="431" w:hRule="auto"/>
        </w:trPr>
        body4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Community and Personal Service Workers</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20,500</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-60</w:t>
            </w:r>
          </w:p>
        </w:tc>
        <w:tc>
          <w:tcPr>
            <w:tcBorders>
              <w:bottom w:val="none" w:sz="0" w:space="0" w:color="000000"/>
              <w:top w:val="none" w:sz="0" w:space="0" w:color="000000"/>
              <w:left w:val="single" w:sz="8" w:space="0" w:color="7F7F7F"/>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none" w:sz="0" w:space="0" w:color="000000"/>
              <w:left w:val="none" w:sz="0" w:space="0" w:color="000000"/>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-0.3%</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-3,200</w:t>
            </w:r>
          </w:p>
        </w:tc>
        <w:tc>
          <w:tcPr>
            <w:tcBorders>
              <w:bottom w:val="none" w:sz="0" w:space="0" w:color="000000"/>
              <w:top w:val="none" w:sz="0" w:space="0" w:color="000000"/>
              <w:left w:val="single" w:sz="8" w:space="0" w:color="7F7F7F"/>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none" w:sz="0" w:space="0" w:color="000000"/>
              <w:left w:val="none" w:sz="0" w:space="0" w:color="000000"/>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-13.6%</w:t>
            </w:r>
          </w:p>
        </w:tc>
      </w:tr>
      <w:tr>
        <w:trPr>
          <w:trHeight w:val="431" w:hRule="auto"/>
        </w:trPr>
        body5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Clerical and Administrative Workers</w:t>
            </w:r>
          </w:p>
        </w:tc>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31,100</w:t>
            </w:r>
          </w:p>
        </w:tc>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-120</w:t>
            </w:r>
          </w:p>
        </w:tc>
        <w:tc>
          <w:tcPr>
            <w:tcBorders>
              <w:bottom w:val="none" w:sz="0" w:space="0" w:color="000000"/>
              <w:top w:val="none" w:sz="0" w:space="0" w:color="000000"/>
              <w:left w:val="single" w:sz="8" w:space="0" w:color="7F7F7F"/>
              <w:right w:val="none" w:sz="0" w:space="0" w:color="000000"/>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none" w:sz="0" w:space="0" w:color="000000"/>
              <w:left w:val="none" w:sz="0" w:space="0" w:color="000000"/>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-0.4%</w:t>
            </w:r>
          </w:p>
        </w:tc>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-2,800</w:t>
            </w:r>
          </w:p>
        </w:tc>
        <w:tc>
          <w:tcPr>
            <w:tcBorders>
              <w:bottom w:val="none" w:sz="0" w:space="0" w:color="000000"/>
              <w:top w:val="none" w:sz="0" w:space="0" w:color="000000"/>
              <w:left w:val="single" w:sz="8" w:space="0" w:color="7F7F7F"/>
              <w:right w:val="none" w:sz="0" w:space="0" w:color="000000"/>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none" w:sz="0" w:space="0" w:color="000000"/>
              <w:left w:val="none" w:sz="0" w:space="0" w:color="000000"/>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-8.3%</w:t>
            </w:r>
          </w:p>
        </w:tc>
      </w:tr>
      <w:tr>
        <w:trPr>
          <w:trHeight w:val="431" w:hRule="auto"/>
        </w:trPr>
        body6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Sales Workers</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16,300</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70</w:t>
            </w:r>
          </w:p>
        </w:tc>
        <w:tc>
          <w:tcPr>
            <w:tcBorders>
              <w:bottom w:val="none" w:sz="0" w:space="0" w:color="000000"/>
              <w:top w:val="none" w:sz="0" w:space="0" w:color="000000"/>
              <w:left w:val="single" w:sz="8" w:space="0" w:color="7F7F7F"/>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14CA6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14CA6B"/>
              </w:rPr>
              <w:t xml:space="preserve">▲</w:t>
            </w:r>
          </w:p>
        </w:tc>
        <w:tc>
          <w:tcPr>
            <w:tcBorders>
              <w:bottom w:val="none" w:sz="0" w:space="0" w:color="000000"/>
              <w:top w:val="none" w:sz="0" w:space="0" w:color="000000"/>
              <w:left w:val="none" w:sz="0" w:space="0" w:color="000000"/>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0.4%</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-1,200</w:t>
            </w:r>
          </w:p>
        </w:tc>
        <w:tc>
          <w:tcPr>
            <w:tcBorders>
              <w:bottom w:val="none" w:sz="0" w:space="0" w:color="000000"/>
              <w:top w:val="none" w:sz="0" w:space="0" w:color="000000"/>
              <w:left w:val="single" w:sz="8" w:space="0" w:color="7F7F7F"/>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none" w:sz="0" w:space="0" w:color="000000"/>
              <w:left w:val="none" w:sz="0" w:space="0" w:color="000000"/>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-6.6%</w:t>
            </w:r>
          </w:p>
        </w:tc>
      </w:tr>
      <w:tr>
        <w:trPr>
          <w:trHeight w:val="431" w:hRule="auto"/>
        </w:trPr>
        body7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Machinery Operators and Drivers</w:t>
            </w:r>
          </w:p>
        </w:tc>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12,700</w:t>
            </w:r>
          </w:p>
        </w:tc>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250</w:t>
            </w:r>
          </w:p>
        </w:tc>
        <w:tc>
          <w:tcPr>
            <w:tcBorders>
              <w:bottom w:val="none" w:sz="0" w:space="0" w:color="000000"/>
              <w:top w:val="none" w:sz="0" w:space="0" w:color="000000"/>
              <w:left w:val="single" w:sz="8" w:space="0" w:color="7F7F7F"/>
              <w:right w:val="none" w:sz="0" w:space="0" w:color="000000"/>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14CA6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14CA6B"/>
              </w:rPr>
              <w:t xml:space="preserve">▲</w:t>
            </w:r>
          </w:p>
        </w:tc>
        <w:tc>
          <w:tcPr>
            <w:tcBorders>
              <w:bottom w:val="none" w:sz="0" w:space="0" w:color="000000"/>
              <w:top w:val="none" w:sz="0" w:space="0" w:color="000000"/>
              <w:left w:val="none" w:sz="0" w:space="0" w:color="000000"/>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2.0%</w:t>
            </w:r>
          </w:p>
        </w:tc>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380</w:t>
            </w:r>
          </w:p>
        </w:tc>
        <w:tc>
          <w:tcPr>
            <w:tcBorders>
              <w:bottom w:val="none" w:sz="0" w:space="0" w:color="000000"/>
              <w:top w:val="none" w:sz="0" w:space="0" w:color="000000"/>
              <w:left w:val="single" w:sz="8" w:space="0" w:color="7F7F7F"/>
              <w:right w:val="none" w:sz="0" w:space="0" w:color="000000"/>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14CA6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14CA6B"/>
              </w:rPr>
              <w:t xml:space="preserve">▲</w:t>
            </w:r>
          </w:p>
        </w:tc>
        <w:tc>
          <w:tcPr>
            <w:tcBorders>
              <w:bottom w:val="none" w:sz="0" w:space="0" w:color="000000"/>
              <w:top w:val="none" w:sz="0" w:space="0" w:color="000000"/>
              <w:left w:val="none" w:sz="0" w:space="0" w:color="000000"/>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3.1%</w:t>
            </w:r>
          </w:p>
        </w:tc>
      </w:tr>
      <w:tr>
        <w:trPr>
          <w:trHeight w:val="431" w:hRule="auto"/>
        </w:trPr>
        body8
        <w:tc>
          <w:tcPr>
            <w:tcBorders>
              <w:bottom w:val="single" w:sz="8" w:space="0" w:color="7F7F7F"/>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Labourers</w:t>
            </w:r>
          </w:p>
        </w:tc>
        <w:tc>
          <w:tcPr>
            <w:tcBorders>
              <w:bottom w:val="single" w:sz="8" w:space="0" w:color="7F7F7F"/>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14,100</w:t>
            </w:r>
          </w:p>
        </w:tc>
        <w:tc>
          <w:tcPr>
            <w:tcBorders>
              <w:bottom w:val="single" w:sz="8" w:space="0" w:color="7F7F7F"/>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280</w:t>
            </w:r>
          </w:p>
        </w:tc>
        <w:tc>
          <w:tcPr>
            <w:tcBorders>
              <w:bottom w:val="single" w:sz="8" w:space="0" w:color="7F7F7F"/>
              <w:top w:val="none" w:sz="0" w:space="0" w:color="000000"/>
              <w:left w:val="single" w:sz="8" w:space="0" w:color="7F7F7F"/>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14CA6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14CA6B"/>
              </w:rPr>
              <w:t xml:space="preserve">▲</w:t>
            </w:r>
          </w:p>
        </w:tc>
        <w:tc>
          <w:tcPr>
            <w:tcBorders>
              <w:bottom w:val="single" w:sz="8" w:space="0" w:color="7F7F7F"/>
              <w:top w:val="none" w:sz="0" w:space="0" w:color="000000"/>
              <w:left w:val="none" w:sz="0" w:space="0" w:color="000000"/>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2.0%</w:t>
            </w:r>
          </w:p>
        </w:tc>
        <w:tc>
          <w:tcPr>
            <w:tcBorders>
              <w:bottom w:val="single" w:sz="8" w:space="0" w:color="7F7F7F"/>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-110</w:t>
            </w:r>
          </w:p>
        </w:tc>
        <w:tc>
          <w:tcPr>
            <w:tcBorders>
              <w:bottom w:val="single" w:sz="8" w:space="0" w:color="7F7F7F"/>
              <w:top w:val="none" w:sz="0" w:space="0" w:color="000000"/>
              <w:left w:val="single" w:sz="8" w:space="0" w:color="7F7F7F"/>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single" w:sz="8" w:space="0" w:color="7F7F7F"/>
              <w:top w:val="none" w:sz="0" w:space="0" w:color="000000"/>
              <w:left w:val="none" w:sz="0" w:space="0" w:color="000000"/>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-0.8%</w:t>
            </w:r>
          </w:p>
        </w:tc>
      </w:tr>
    </w:tbl>
    <w:p>
      <w:pPr>
        <w:pStyle w:val="BodyText"/>
      </w:pPr>
      <w:r>
        <w:br/>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685"/>
        <w:gridCol w:w="1191"/>
        <w:gridCol w:w="1134"/>
        <w:gridCol w:w="340"/>
        <w:gridCol w:w="907"/>
        <w:gridCol w:w="1134"/>
        <w:gridCol w:w="340"/>
        <w:gridCol w:w="907"/>
      </w:tblGrid>
      <w:tr>
        <w:trPr>
          <w:trHeight w:val="431" w:hRule="auto"/>
        </w:trPr>
        body1
        <w:tc>
          <w:tcPr>
            <w:tcBorders>
              <w:bottom w:val="none" w:sz="0" w:space="0" w:color="000000"/>
              <w:top w:val="single" w:sz="8" w:space="0" w:color="7F7F7F"/>
              <w:left w:val="single" w:sz="8" w:space="0" w:color="7F7F7F"/>
              <w:right w:val="single" w:sz="8" w:space="0" w:color="7F7F7F"/>
            </w:tcBorders>
            <w:shd w:val="clear" w:color="auto" w:fill="F1F4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Skill Level 1 - Bachelor degree or higher</w:t>
            </w:r>
          </w:p>
        </w:tc>
        <w:tc>
          <w:tcPr>
            <w:tcBorders>
              <w:bottom w:val="none" w:sz="0" w:space="0" w:color="000000"/>
              <w:top w:val="single" w:sz="8" w:space="0" w:color="7F7F7F"/>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75,700</w:t>
            </w:r>
          </w:p>
        </w:tc>
        <w:tc>
          <w:tcPr>
            <w:tcBorders>
              <w:bottom w:val="none" w:sz="0" w:space="0" w:color="000000"/>
              <w:top w:val="single" w:sz="8" w:space="0" w:color="7F7F7F"/>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-680</w:t>
            </w:r>
          </w:p>
        </w:tc>
        <w:tc>
          <w:tcPr>
            <w:tcBorders>
              <w:bottom w:val="none" w:sz="0" w:space="0" w:color="000000"/>
              <w:top w:val="single" w:sz="8" w:space="0" w:color="7F7F7F"/>
              <w:left w:val="single" w:sz="8" w:space="0" w:color="7F7F7F"/>
              <w:right w:val="none" w:sz="0" w:space="0" w:color="000000"/>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single" w:sz="8" w:space="0" w:color="7F7F7F"/>
              <w:left w:val="none" w:sz="0" w:space="0" w:color="000000"/>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-0.9%</w:t>
            </w:r>
          </w:p>
        </w:tc>
        <w:tc>
          <w:tcPr>
            <w:tcBorders>
              <w:bottom w:val="none" w:sz="0" w:space="0" w:color="000000"/>
              <w:top w:val="single" w:sz="8" w:space="0" w:color="7F7F7F"/>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-6,400</w:t>
            </w:r>
          </w:p>
        </w:tc>
        <w:tc>
          <w:tcPr>
            <w:tcBorders>
              <w:bottom w:val="none" w:sz="0" w:space="0" w:color="000000"/>
              <w:top w:val="single" w:sz="8" w:space="0" w:color="7F7F7F"/>
              <w:left w:val="single" w:sz="8" w:space="0" w:color="7F7F7F"/>
              <w:right w:val="none" w:sz="0" w:space="0" w:color="000000"/>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single" w:sz="8" w:space="0" w:color="7F7F7F"/>
              <w:left w:val="none" w:sz="0" w:space="0" w:color="000000"/>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-7.8%</w:t>
            </w:r>
          </w:p>
        </w:tc>
      </w:tr>
      <w:tr>
        <w:trPr>
          <w:trHeight w:val="431" w:hRule="auto"/>
        </w:trPr>
        body2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Skill Level 2 - Advanced Diploma or Diploma</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23,400</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-150</w:t>
            </w:r>
          </w:p>
        </w:tc>
        <w:tc>
          <w:tcPr>
            <w:tcBorders>
              <w:bottom w:val="none" w:sz="0" w:space="0" w:color="000000"/>
              <w:top w:val="none" w:sz="0" w:space="0" w:color="000000"/>
              <w:left w:val="single" w:sz="8" w:space="0" w:color="7F7F7F"/>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none" w:sz="0" w:space="0" w:color="000000"/>
              <w:left w:val="none" w:sz="0" w:space="0" w:color="000000"/>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-0.6%</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-2,600</w:t>
            </w:r>
          </w:p>
        </w:tc>
        <w:tc>
          <w:tcPr>
            <w:tcBorders>
              <w:bottom w:val="none" w:sz="0" w:space="0" w:color="000000"/>
              <w:top w:val="none" w:sz="0" w:space="0" w:color="000000"/>
              <w:left w:val="single" w:sz="8" w:space="0" w:color="7F7F7F"/>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none" w:sz="0" w:space="0" w:color="000000"/>
              <w:left w:val="none" w:sz="0" w:space="0" w:color="000000"/>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-9.9%</w:t>
            </w:r>
          </w:p>
        </w:tc>
      </w:tr>
      <w:tr>
        <w:trPr>
          <w:trHeight w:val="431" w:hRule="auto"/>
        </w:trPr>
        body3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Skill Level 3 - Certificate IV or III* (Skilled VET)</w:t>
            </w:r>
          </w:p>
        </w:tc>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32,900</w:t>
            </w:r>
          </w:p>
        </w:tc>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580</w:t>
            </w:r>
          </w:p>
        </w:tc>
        <w:tc>
          <w:tcPr>
            <w:tcBorders>
              <w:bottom w:val="none" w:sz="0" w:space="0" w:color="000000"/>
              <w:top w:val="none" w:sz="0" w:space="0" w:color="000000"/>
              <w:left w:val="single" w:sz="8" w:space="0" w:color="7F7F7F"/>
              <w:right w:val="none" w:sz="0" w:space="0" w:color="000000"/>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14CA6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14CA6B"/>
              </w:rPr>
              <w:t xml:space="preserve">▲</w:t>
            </w:r>
          </w:p>
        </w:tc>
        <w:tc>
          <w:tcPr>
            <w:tcBorders>
              <w:bottom w:val="none" w:sz="0" w:space="0" w:color="000000"/>
              <w:top w:val="none" w:sz="0" w:space="0" w:color="000000"/>
              <w:left w:val="none" w:sz="0" w:space="0" w:color="000000"/>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1.8%</w:t>
            </w:r>
          </w:p>
        </w:tc>
        <w:tc>
          <w:tcPr>
            <w:tcBorders>
              <w:bottom w:val="none" w:sz="0" w:space="0" w:color="000000"/>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-2,400</w:t>
            </w:r>
          </w:p>
        </w:tc>
        <w:tc>
          <w:tcPr>
            <w:tcBorders>
              <w:bottom w:val="none" w:sz="0" w:space="0" w:color="000000"/>
              <w:top w:val="none" w:sz="0" w:space="0" w:color="000000"/>
              <w:left w:val="single" w:sz="8" w:space="0" w:color="7F7F7F"/>
              <w:right w:val="none" w:sz="0" w:space="0" w:color="000000"/>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none" w:sz="0" w:space="0" w:color="000000"/>
              <w:left w:val="none" w:sz="0" w:space="0" w:color="000000"/>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-6.7%</w:t>
            </w:r>
          </w:p>
        </w:tc>
      </w:tr>
      <w:tr>
        <w:trPr>
          <w:trHeight w:val="431" w:hRule="auto"/>
        </w:trPr>
        body4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Skill Level 4 - Certificate II or III</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52,600</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-60</w:t>
            </w:r>
          </w:p>
        </w:tc>
        <w:tc>
          <w:tcPr>
            <w:tcBorders>
              <w:bottom w:val="none" w:sz="0" w:space="0" w:color="000000"/>
              <w:top w:val="none" w:sz="0" w:space="0" w:color="000000"/>
              <w:left w:val="single" w:sz="8" w:space="0" w:color="7F7F7F"/>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none" w:sz="0" w:space="0" w:color="000000"/>
              <w:left w:val="none" w:sz="0" w:space="0" w:color="000000"/>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-0.1%</w:t>
            </w:r>
          </w:p>
        </w:tc>
        <w:tc>
          <w:tcPr>
            <w:tcBorders>
              <w:bottom w:val="none" w:sz="0" w:space="0" w:color="000000"/>
              <w:top w:val="none" w:sz="0" w:space="0" w:color="000000"/>
              <w:left w:val="single" w:sz="8" w:space="0" w:color="7F7F7F"/>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-4,000</w:t>
            </w:r>
          </w:p>
        </w:tc>
        <w:tc>
          <w:tcPr>
            <w:tcBorders>
              <w:bottom w:val="none" w:sz="0" w:space="0" w:color="000000"/>
              <w:top w:val="none" w:sz="0" w:space="0" w:color="000000"/>
              <w:left w:val="single" w:sz="8" w:space="0" w:color="7F7F7F"/>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none" w:sz="0" w:space="0" w:color="000000"/>
              <w:top w:val="none" w:sz="0" w:space="0" w:color="000000"/>
              <w:left w:val="none" w:sz="0" w:space="0" w:color="000000"/>
              <w:right w:val="single" w:sz="8" w:space="0" w:color="7F7F7F"/>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-7.1%</w:t>
            </w:r>
          </w:p>
        </w:tc>
      </w:tr>
      <w:tr>
        <w:trPr>
          <w:trHeight w:val="431" w:hRule="auto"/>
        </w:trPr>
        body5
        <w:tc>
          <w:tcPr>
            <w:tcBorders>
              <w:bottom w:val="single" w:sz="8" w:space="0" w:color="7F7F7F"/>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Skill Level 5 - Certificate I or secondary education</w:t>
            </w:r>
          </w:p>
        </w:tc>
        <w:tc>
          <w:tcPr>
            <w:tcBorders>
              <w:bottom w:val="single" w:sz="8" w:space="0" w:color="7F7F7F"/>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23,400</w:t>
            </w:r>
          </w:p>
        </w:tc>
        <w:tc>
          <w:tcPr>
            <w:tcBorders>
              <w:bottom w:val="single" w:sz="8" w:space="0" w:color="7F7F7F"/>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260</w:t>
            </w:r>
          </w:p>
        </w:tc>
        <w:tc>
          <w:tcPr>
            <w:tcBorders>
              <w:bottom w:val="single" w:sz="8" w:space="0" w:color="7F7F7F"/>
              <w:top w:val="none" w:sz="0" w:space="0" w:color="000000"/>
              <w:left w:val="single" w:sz="8" w:space="0" w:color="7F7F7F"/>
              <w:right w:val="none" w:sz="0" w:space="0" w:color="000000"/>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14CA6B"/>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14CA6B"/>
              </w:rPr>
              <w:t xml:space="preserve">▲</w:t>
            </w:r>
          </w:p>
        </w:tc>
        <w:tc>
          <w:tcPr>
            <w:tcBorders>
              <w:bottom w:val="single" w:sz="8" w:space="0" w:color="7F7F7F"/>
              <w:top w:val="none" w:sz="0" w:space="0" w:color="000000"/>
              <w:left w:val="none" w:sz="0" w:space="0" w:color="000000"/>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1.1%</w:t>
            </w:r>
          </w:p>
        </w:tc>
        <w:tc>
          <w:tcPr>
            <w:tcBorders>
              <w:bottom w:val="single" w:sz="8" w:space="0" w:color="7F7F7F"/>
              <w:top w:val="none" w:sz="0" w:space="0" w:color="000000"/>
              <w:left w:val="single" w:sz="8" w:space="0" w:color="7F7F7F"/>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-1,100</w:t>
            </w:r>
          </w:p>
        </w:tc>
        <w:tc>
          <w:tcPr>
            <w:tcBorders>
              <w:bottom w:val="single" w:sz="8" w:space="0" w:color="7F7F7F"/>
              <w:top w:val="none" w:sz="0" w:space="0" w:color="000000"/>
              <w:left w:val="single" w:sz="8" w:space="0" w:color="7F7F7F"/>
              <w:right w:val="none" w:sz="0" w:space="0" w:color="000000"/>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B8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B80000"/>
              </w:rPr>
              <w:t xml:space="preserve">▼</w:t>
            </w:r>
          </w:p>
        </w:tc>
        <w:tc>
          <w:tcPr>
            <w:tcBorders>
              <w:bottom w:val="single" w:sz="8" w:space="0" w:color="7F7F7F"/>
              <w:top w:val="none" w:sz="0" w:space="0" w:color="000000"/>
              <w:left w:val="none" w:sz="0" w:space="0" w:color="000000"/>
              <w:right w:val="single" w:sz="8" w:space="0" w:color="7F7F7F"/>
            </w:tcBorders>
            <w:shd w:val="clear" w:color="auto" w:fill="F1F4F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Body)" w:hAnsi="Arial (Body)" w:eastAsia="Arial (Body)" w:cs="Arial (Body)"/>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Body)" w:hAnsi="Arial (Body)" w:eastAsia="Arial (Body)" w:cs="Arial (Body)"/>
                <w:i w:val="false"/>
                <w:b w:val="false"/>
                <w:u w:val="none"/>
                <w:strike w:val="false"/>
                <w:sz w:val="18"/>
                <w:szCs w:val="18"/>
                <w:color w:val="000000"/>
              </w:rPr>
              <w:t xml:space="preserve">-4.5%</w:t>
            </w:r>
          </w:p>
        </w:tc>
      </w:tr>
    </w:tbl>
    <w:p>
      <w:pPr>
        <w:pStyle w:val="Source"/>
      </w:pPr>
      <w:r>
        <w:t xml:space="preserve">*Includes at least two years of on-the-job training.</w:t>
      </w:r>
      <w:r>
        <w:br/>
      </w:r>
      <w:r>
        <w:t xml:space="preserve">Source: Jobs and Skills Australia, Internet Vacancy Index, seasonally adjusted data,</w:t>
      </w:r>
      <w:r>
        <w:t xml:space="preserve"> </w:t>
      </w:r>
      <w:r>
        <w:rPr>
          <w:b/>
          <w:bCs/>
        </w:rPr>
        <w:t xml:space="preserve">October 2025</w:t>
      </w:r>
      <w:r>
        <w:t xml:space="preserve">.</w:t>
      </w:r>
    </w:p>
    <w:p>
      <w:r>
        <w:br w:type="page"/>
      </w:r>
    </w:p>
    <w:p>
      <w:pPr>
        <w:pStyle w:val="BodyText"/>
      </w:pPr>
      <w:r>
        <w:rPr>
          <w:i/>
          <w:iCs/>
        </w:rPr>
        <w:t xml:space="preserve">Line graph showing trends in employment and job advertisements. From January 2006 to October 2025. Vacancies peaked in April 2008 which represents the pre-GFC peak recruitment activity. Vacancies rose again in March 2011, which was the mining boom peak recruitment. Vacancies and employment experienced a downturn in April 2020 due to the COVID-19 pandemic, although both employment and job advertisements have recovered and are presently at record levels.</w:t>
      </w:r>
    </w:p>
    <w:p>
      <w:pPr>
        <w:pStyle w:val="Caption"/>
      </w:pPr>
      <w:r>
        <w:t xml:space="preserve">Figure 1: Job advertisements and unemployment rate, January 2006 to</w:t>
      </w:r>
      <w:r>
        <w:t xml:space="preserve"> </w:t>
      </w:r>
      <w:r>
        <w:rPr>
          <w:b/>
          <w:bCs/>
        </w:rPr>
        <w:t xml:space="preserve">October 2025</w:t>
      </w:r>
    </w:p>
    <w:p>
      <w:pPr>
        <w:pStyle w:val="BodyText"/>
      </w:pPr>
      <w:r>
        <w:drawing>
          <wp:inline>
            <wp:extent cx="6004330" cy="2878412"/>
            <wp:effectExtent b="0" l="0" r="0" t="0"/>
            <wp:docPr descr="" title="" id="25" name="Picture"/>
            <a:graphic>
              <a:graphicData uri="http://schemas.openxmlformats.org/drawingml/2006/picture">
                <pic:pic>
                  <pic:nvPicPr>
                    <pic:cNvPr descr="ivi_report_files/figure-docx/Figure-%20Job%20advertisements%20and%20unemployment%20rate,%20January%202006%20to%20X-1.png" id="26" name="Picture"/>
                    <pic:cNvPicPr>
                      <a:picLocks noChangeArrowheads="1" noChangeAspect="1"/>
                    </pic:cNvPicPr>
                  </pic:nvPicPr>
                  <pic:blipFill>
                    <a:blip r:embed="rId24"/>
                    <a:stretch>
                      <a:fillRect/>
                    </a:stretch>
                  </pic:blipFill>
                  <pic:spPr bwMode="auto">
                    <a:xfrm>
                      <a:off x="0" y="0"/>
                      <a:ext cx="6004330" cy="2878412"/>
                    </a:xfrm>
                    <a:prstGeom prst="rect">
                      <a:avLst/>
                    </a:prstGeom>
                    <a:noFill/>
                    <a:ln w="9525">
                      <a:noFill/>
                      <a:headEnd/>
                      <a:tailEnd/>
                    </a:ln>
                  </pic:spPr>
                </pic:pic>
              </a:graphicData>
            </a:graphic>
          </wp:inline>
        </w:drawing>
      </w:r>
    </w:p>
    <w:p>
      <w:pPr>
        <w:pStyle w:val="BodyText"/>
      </w:pPr>
      <w:r>
        <w:drawing>
          <wp:inline>
            <wp:extent cx="6108700" cy="198942"/>
            <wp:effectExtent b="0" l="0" r="0" t="0"/>
            <wp:docPr descr="" title="" id="28" name="Picture"/>
            <a:graphic>
              <a:graphicData uri="http://schemas.openxmlformats.org/drawingml/2006/picture">
                <pic:pic>
                  <pic:nvPicPr>
                    <pic:cNvPr descr="Images/figure_legend.jpg" id="29" name="Picture"/>
                    <pic:cNvPicPr>
                      <a:picLocks noChangeArrowheads="1" noChangeAspect="1"/>
                    </pic:cNvPicPr>
                  </pic:nvPicPr>
                  <pic:blipFill>
                    <a:blip r:embed="rId27"/>
                    <a:stretch>
                      <a:fillRect/>
                    </a:stretch>
                  </pic:blipFill>
                  <pic:spPr bwMode="auto">
                    <a:xfrm>
                      <a:off x="0" y="0"/>
                      <a:ext cx="6108700" cy="198942"/>
                    </a:xfrm>
                    <a:prstGeom prst="rect">
                      <a:avLst/>
                    </a:prstGeom>
                    <a:noFill/>
                    <a:ln w="9525">
                      <a:noFill/>
                      <a:headEnd/>
                      <a:tailEnd/>
                    </a:ln>
                  </pic:spPr>
                </pic:pic>
              </a:graphicData>
            </a:graphic>
          </wp:inline>
        </w:drawing>
      </w:r>
    </w:p>
    <w:p>
      <w:pPr>
        <w:pStyle w:val="Source"/>
      </w:pPr>
      <w:r>
        <w:t xml:space="preserve">Source: Australian Bureau of Statistics, Labour Force, Australia, seasonally adjusted data,</w:t>
      </w:r>
      <w:r>
        <w:t xml:space="preserve"> </w:t>
      </w:r>
      <w:r>
        <w:rPr>
          <w:b/>
          <w:bCs/>
        </w:rPr>
        <w:t xml:space="preserve">September 2025</w:t>
      </w:r>
      <w:r>
        <w:t xml:space="preserve">; Jobs and Skills Australia, Internet Vacancy Index, seasonally adjusted data,</w:t>
      </w:r>
      <w:r>
        <w:t xml:space="preserve"> </w:t>
      </w:r>
      <w:r>
        <w:rPr>
          <w:b/>
          <w:bCs/>
        </w:rPr>
        <w:t xml:space="preserve">October 2025</w:t>
      </w:r>
      <w:r>
        <w:t xml:space="preserve">.</w:t>
      </w:r>
    </w:p>
    <w:p>
      <w:pPr>
        <w:pStyle w:val="BodyText"/>
      </w:pPr>
      <w:r>
        <w:br/>
      </w:r>
      <w:r>
        <w:br/>
      </w:r>
      <w:r>
        <w:br/>
      </w:r>
      <w:r>
        <w:br/>
      </w:r>
      <w:r>
        <w:br/>
      </w:r>
      <w:r>
        <w:br/>
      </w:r>
      <w:r>
        <w:br/>
      </w:r>
      <w:r>
        <w:br/>
      </w:r>
      <w:r>
        <w:br/>
      </w:r>
      <w:r>
        <w:br/>
      </w:r>
    </w:p>
    <w:p>
      <w:pPr>
        <w:pStyle w:val="FooterText"/>
      </w:pPr>
      <w:r>
        <w:t xml:space="preserve">The next IVI release is scheduled for</w:t>
      </w:r>
      <w:r>
        <w:t xml:space="preserve"> </w:t>
      </w:r>
      <w:r>
        <w:rPr>
          <w:b/>
          <w:bCs/>
        </w:rPr>
        <w:t xml:space="preserve">10 December 2025</w:t>
      </w:r>
      <w:r>
        <w:t xml:space="preserve">. The IVI is published on the JSA website at</w:t>
      </w:r>
      <w:r>
        <w:t xml:space="preserve"> </w:t>
      </w:r>
      <w:hyperlink r:id="rId30">
        <w:r>
          <w:rPr>
            <w:rStyle w:val="Hyperlink"/>
          </w:rPr>
          <w:t xml:space="preserve">jobsandskills.gov.au/data/internet-vacancy-index</w:t>
        </w:r>
      </w:hyperlink>
      <w:r>
        <w:t xml:space="preserve">.</w:t>
      </w:r>
    </w:p>
    <w:p>
      <w:pPr>
        <w:pStyle w:val="BodyText"/>
      </w:pPr>
      <w:r>
        <w:br/>
      </w:r>
      <w:r>
        <w:br/>
      </w:r>
      <w:r>
        <w:br/>
      </w:r>
    </w:p>
    <w:p>
      <w:pPr>
        <w:pStyle w:val="BodyText"/>
      </w:pPr>
      <w:r>
        <w:t xml:space="preserve">The Internet Vacancy Index (IVI) is a monthly data series measuring online job advertisements, compiled by Jobs and Skills Australia (JSA). The IVI counts job advertisements newly lodged on the SEEK, CareerOne and Workforce Australia online job boards. Commencing in 2006, the IVI is the longest continuous time series for vacancy data in Australia. JSA research indicates the proportion of all vacancies covered by IVI has increased from 38% in 2016 to 57% in 2024. More detail on the IVI is available at</w:t>
      </w:r>
      <w:r>
        <w:t xml:space="preserve"> </w:t>
      </w:r>
      <w:hyperlink r:id="rId30">
        <w:r>
          <w:rPr>
            <w:rStyle w:val="Hyperlink"/>
          </w:rPr>
          <w:t xml:space="preserve">jobsandskills.gov.au/data/internet-vacancy-index</w:t>
        </w:r>
      </w:hyperlink>
      <w:r>
        <w:t xml:space="preserve">.</w:t>
      </w:r>
    </w:p>
    <w:p>
      <w:pPr>
        <w:pStyle w:val="BodyText"/>
      </w:pPr>
      <w:r>
        <w:drawing>
          <wp:inline>
            <wp:extent cx="6108700" cy="3301183"/>
            <wp:effectExtent b="0" l="0" r="0" t="0"/>
            <wp:docPr descr="" title="" id="32" name="Picture"/>
            <a:graphic>
              <a:graphicData uri="http://schemas.openxmlformats.org/drawingml/2006/picture">
                <pic:pic>
                  <pic:nvPicPr>
                    <pic:cNvPr descr="Images/footer_last_page.jpg" id="33" name="Picture"/>
                    <pic:cNvPicPr>
                      <a:picLocks noChangeArrowheads="1" noChangeAspect="1"/>
                    </pic:cNvPicPr>
                  </pic:nvPicPr>
                  <pic:blipFill>
                    <a:blip r:embed="rId31"/>
                    <a:stretch>
                      <a:fillRect/>
                    </a:stretch>
                  </pic:blipFill>
                  <pic:spPr bwMode="auto">
                    <a:xfrm>
                      <a:off x="0" y="0"/>
                      <a:ext cx="6108700" cy="3301183"/>
                    </a:xfrm>
                    <a:prstGeom prst="rect">
                      <a:avLst/>
                    </a:prstGeom>
                    <a:noFill/>
                    <a:ln w="9525">
                      <a:noFill/>
                      <a:headEnd/>
                      <a:tailEnd/>
                    </a:ln>
                  </pic:spPr>
                </pic:pic>
              </a:graphicData>
            </a:graphic>
          </wp:inline>
        </w:drawing>
      </w:r>
    </w:p>
    <w:bookmarkEnd w:id="34"/>
    <w:bookmarkEnd w:id="35"/>
    <w:bookmarkEnd w:id="36"/>
    <w:bookmarkEnd w:id="37"/>
    <w:sectPr w:rsidR="00433679" w:rsidRPr="00433679" w:rsidSect="001F7744">
      <w:footerReference r:id="rId11" w:type="default"/>
      <w:headerReference r:id="rId9" w:type="first"/>
      <w:footerReference r:id="rId10" w:type="first"/>
      <w:type w:val="continuous"/>
      <w:pgSz w:h="16838" w:w="11906"/>
      <w:pgMar w:bottom="1134" w:footer="454" w:gutter="0" w:header="0" w:left="1134" w:right="1134" w:top="1361"/>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7A032E5" w14:textId="76AA8730" w:rsidR="004860A5" w:rsidRPr="00B14460" w:rsidRDefault="004860A5" w:rsidP="004860A5">
    <w:pPr>
      <w:pStyle w:val="Footer"/>
      <w:pBdr>
        <w:top w:val="single" w:sz="4" w:space="1" w:color="auto"/>
      </w:pBdr>
      <w:tabs>
        <w:tab w:val="clear" w:pos="9026"/>
        <w:tab w:val="right" w:pos="9638"/>
      </w:tabs>
    </w:pPr>
    <w:r w:rsidRPr="00B14460">
      <w:t>Vacancy Index Report</w:t>
    </w:r>
    <w:r w:rsidR="00F97A8F">
      <w:t xml:space="preserve"> – Month Year</w:t>
    </w:r>
    <w:r w:rsidRPr="00B14460">
      <w:tab/>
      <w:t xml:space="preserve">Jobs and Skills Australia </w:t>
    </w:r>
    <w:r>
      <w:t xml:space="preserve"> </w:t>
    </w:r>
    <w:r w:rsidRPr="00B14460">
      <w:t xml:space="preserve"> | </w:t>
    </w:r>
    <w:r>
      <w:t xml:space="preserve"> </w:t>
    </w:r>
    <w:r w:rsidRPr="00B14460">
      <w:t xml:space="preserve"> </w:t>
    </w:r>
    <w:sdt>
      <w:sdtPr>
        <w:id w:val="-2122141121"/>
        <w:docPartObj>
          <w:docPartGallery w:val="Page Numbers (Bottom of Page)"/>
          <w:docPartUnique/>
        </w:docPartObj>
      </w:sdtPr>
      <w:sdtEndPr>
        <w:rPr>
          <w:noProof/>
        </w:rPr>
      </w:sdtEndPr>
      <w:sdtContent>
        <w:r w:rsidRPr="00B14460">
          <w:fldChar w:fldCharType="begin"/>
        </w:r>
        <w:r w:rsidRPr="00B14460">
          <w:instrText xml:space="preserve"> PAGE   \* MERGEFORMAT </w:instrText>
        </w:r>
        <w:r w:rsidRPr="00B14460">
          <w:fldChar w:fldCharType="separate"/>
        </w:r>
        <w:r>
          <w:t>1</w:t>
        </w:r>
        <w:r w:rsidRPr="00B14460">
          <w:rPr>
            <w:noProof/>
          </w:rPr>
          <w:fldChar w:fldCharType="end"/>
        </w:r>
      </w:sdtContent>
    </w:sdt>
  </w:p>
  <w:p w14:paraId="1DE9E510" w14:textId="48FD8418" w:rsidR="003708C1" w:rsidRPr="004860A5" w:rsidRDefault="003708C1" w:rsidP="004860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F29AEE" w14:textId="1E1DD90F" w:rsidR="00753665" w:rsidRPr="00B14460" w:rsidRDefault="00D2549B" w:rsidP="001279A4">
    <w:pPr>
      <w:pStyle w:val="Footer"/>
      <w:pBdr>
        <w:top w:val="single" w:sz="4" w:space="1" w:color="auto"/>
      </w:pBdr>
      <w:tabs>
        <w:tab w:val="clear" w:pos="9026"/>
        <w:tab w:val="right" w:pos="9638"/>
      </w:tabs>
    </w:pPr>
    <w:r w:rsidRPr="00B14460">
      <w:t>Vacancy Index Report</w:t>
    </w:r>
    <w:r w:rsidR="00F97A8F">
      <w:t xml:space="preserve"> – Month Year</w:t>
    </w:r>
    <w:r w:rsidR="00E24280" w:rsidRPr="00B14460">
      <w:tab/>
      <w:t xml:space="preserve">Jobs and Skills Australia </w:t>
    </w:r>
    <w:r w:rsidR="004C427B">
      <w:t xml:space="preserve"> </w:t>
    </w:r>
    <w:r w:rsidR="00E24280" w:rsidRPr="00B14460">
      <w:t xml:space="preserve"> | </w:t>
    </w:r>
    <w:r w:rsidR="004C427B">
      <w:t xml:space="preserve"> </w:t>
    </w:r>
    <w:r w:rsidR="00E24280" w:rsidRPr="00B14460">
      <w:t xml:space="preserve"> </w:t>
    </w:r>
    <w:sdt>
      <w:sdtPr>
        <w:id w:val="1346446715"/>
        <w:docPartObj>
          <w:docPartGallery w:val="Page Numbers (Bottom of Page)"/>
          <w:docPartUnique/>
        </w:docPartObj>
      </w:sdtPr>
      <w:sdtEndPr>
        <w:rPr>
          <w:noProof/>
        </w:rPr>
      </w:sdtEndPr>
      <w:sdtContent>
        <w:r w:rsidR="00753665" w:rsidRPr="00B14460">
          <w:fldChar w:fldCharType="begin"/>
        </w:r>
        <w:r w:rsidR="00753665" w:rsidRPr="00B14460">
          <w:instrText xml:space="preserve"> PAGE   \* MERGEFORMAT </w:instrText>
        </w:r>
        <w:r w:rsidR="00753665" w:rsidRPr="00B14460">
          <w:fldChar w:fldCharType="separate"/>
        </w:r>
        <w:r w:rsidR="00753665" w:rsidRPr="00B14460">
          <w:rPr>
            <w:noProof/>
          </w:rPr>
          <w:t>2</w:t>
        </w:r>
        <w:r w:rsidR="00753665" w:rsidRPr="00B14460">
          <w:rPr>
            <w:noProof/>
          </w:rPr>
          <w:fldChar w:fldCharType="end"/>
        </w:r>
      </w:sdtContent>
    </w:sdt>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Australian Bureau of Statistics (ABS),</w:t>
      </w:r>
      <w:r>
        <w:t xml:space="preserve"> </w:t>
      </w:r>
      <w:r>
        <w:t xml:space="preserve">‘</w:t>
      </w:r>
      <w:hyperlink r:id="rId20">
        <w:r>
          <w:rPr>
            <w:rStyle w:val="Hyperlink"/>
          </w:rPr>
          <w:t xml:space="preserve">Job Vacancies, Australia</w:t>
        </w:r>
      </w:hyperlink>
      <w:r>
        <w:t xml:space="preserve">’</w:t>
      </w:r>
      <w:r>
        <w:t xml:space="preserve">, seasonally adjusted data,</w:t>
      </w:r>
      <w:r>
        <w:t xml:space="preserve"> </w:t>
      </w:r>
      <w:r>
        <w:rPr>
          <w:b/>
          <w:bCs/>
        </w:rPr>
        <w:t xml:space="preserve">August 2025</w:t>
      </w:r>
      <w:r>
        <w:t xml:space="preserv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75F207A" w14:textId="576DABFB" w:rsidR="00533B48" w:rsidRDefault="00533B48">
    <w:pPr>
      <w:pStyle w:val="Header"/>
    </w:pPr>
    <w:r>
      <w:rPr>
        <w:noProof/>
      </w:rPr>
      <w:drawing>
        <wp:anchor distT="0" distB="0" distL="114300" distR="114300" simplePos="0" relativeHeight="251659264" behindDoc="1" locked="0" layoutInCell="1" allowOverlap="1" wp14:anchorId="256B96D9" wp14:editId="6031DD3A">
          <wp:simplePos x="0" y="0"/>
          <wp:positionH relativeFrom="page">
            <wp:align>left</wp:align>
          </wp:positionH>
          <wp:positionV relativeFrom="page">
            <wp:align>top</wp:align>
          </wp:positionV>
          <wp:extent cx="7560000" cy="3596400"/>
          <wp:effectExtent l="0" t="0" r="3175" b="4445"/>
          <wp:wrapNone/>
          <wp:docPr id="1881960997"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599590" name="Picture 3">
                    <a:extLst>
                      <a:ext uri="{C183D7F6-B498-43B3-948B-1728B52AA6E4}">
                        <adec:decorative xmlns:adec="http://schemas.microsoft.com/office/drawing/2017/decorative" val="1"/>
                      </a:ext>
                    </a:extLst>
                  </pic:cNvPr>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0000" cy="3596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5A0ABCAE"/>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9246EADE"/>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44E4592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135E7D0E"/>
    <w:lvl w:ilvl="0">
      <w:start w:val="1"/>
      <w:numFmt w:val="decimal"/>
      <w:pStyle w:val="ListNumber2"/>
      <w:lvlText w:val="%1."/>
      <w:lvlJc w:val="left"/>
      <w:pPr>
        <w:tabs>
          <w:tab w:pos="643" w:val="num"/>
        </w:tabs>
        <w:ind w:hanging="360" w:left="643"/>
      </w:pPr>
    </w:lvl>
  </w:abstractNum>
  <w:abstractNum w15:restartNumberingAfterBreak="0" w:abstractNumId="4">
    <w:nsid w:val="FFFFFF80"/>
    <w:multiLevelType w:val="singleLevel"/>
    <w:tmpl w:val="BC2A1560"/>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8"/>
    <w:multiLevelType w:val="singleLevel"/>
    <w:tmpl w:val="4410687E"/>
    <w:lvl w:ilvl="0">
      <w:start w:val="1"/>
      <w:numFmt w:val="decimal"/>
      <w:pStyle w:val="ListNumber"/>
      <w:lvlText w:val="%1."/>
      <w:lvlJc w:val="left"/>
      <w:pPr>
        <w:tabs>
          <w:tab w:pos="360" w:val="num"/>
        </w:tabs>
        <w:ind w:hanging="360" w:left="360"/>
      </w:pPr>
    </w:lvl>
  </w:abstractNum>
  <w:abstractNum w15:restartNumberingAfterBreak="0" w:abstractNumId="6">
    <w:nsid w:val="097C163D"/>
    <w:multiLevelType w:val="hybridMultilevel"/>
    <w:tmpl w:val="594C2E34"/>
    <w:lvl w:ilvl="0" w:tplc="0C090001">
      <w:start w:val="1"/>
      <w:numFmt w:val="bullet"/>
      <w:lvlText w:val=""/>
      <w:lvlJc w:val="left"/>
      <w:pPr>
        <w:ind w:hanging="360" w:left="720"/>
      </w:pPr>
      <w:rPr>
        <w:rFonts w:ascii="Symbol" w:hAnsi="Symbol" w:hint="default"/>
      </w:rPr>
    </w:lvl>
    <w:lvl w:ilvl="1" w:tplc="70D2A66E">
      <w:start w:val="1"/>
      <w:numFmt w:val="bullet"/>
      <w:lvlText w:val="-"/>
      <w:lvlJc w:val="left"/>
      <w:pPr>
        <w:ind w:hanging="360" w:left="1440"/>
      </w:pPr>
      <w:rPr>
        <w:rFonts w:ascii="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7">
    <w:nsid w:val="1BA96197"/>
    <w:multiLevelType w:val="hybridMultilevel"/>
    <w:tmpl w:val="30967260"/>
    <w:lvl w:ilvl="0" w:tplc="0C09000F">
      <w:start w:val="1"/>
      <w:numFmt w:val="decimal"/>
      <w:lvlText w:val="%1."/>
      <w:lvlJc w:val="left"/>
      <w:pPr>
        <w:ind w:hanging="360" w:left="720"/>
      </w:pPr>
    </w:lvl>
    <w:lvl w:ilvl="1" w:tentative="1" w:tplc="0C090019">
      <w:start w:val="1"/>
      <w:numFmt w:val="lowerLetter"/>
      <w:lvlText w:val="%2."/>
      <w:lvlJc w:val="left"/>
      <w:pPr>
        <w:ind w:hanging="360" w:left="1440"/>
      </w:pPr>
    </w:lvl>
    <w:lvl w:ilvl="2" w:tentative="1" w:tplc="0C09001B">
      <w:start w:val="1"/>
      <w:numFmt w:val="lowerRoman"/>
      <w:lvlText w:val="%3."/>
      <w:lvlJc w:val="right"/>
      <w:pPr>
        <w:ind w:hanging="180" w:left="2160"/>
      </w:pPr>
    </w:lvl>
    <w:lvl w:ilvl="3" w:tentative="1" w:tplc="0C09000F">
      <w:start w:val="1"/>
      <w:numFmt w:val="decimal"/>
      <w:lvlText w:val="%4."/>
      <w:lvlJc w:val="left"/>
      <w:pPr>
        <w:ind w:hanging="360" w:left="2880"/>
      </w:pPr>
    </w:lvl>
    <w:lvl w:ilvl="4" w:tentative="1" w:tplc="0C090019">
      <w:start w:val="1"/>
      <w:numFmt w:val="lowerLetter"/>
      <w:lvlText w:val="%5."/>
      <w:lvlJc w:val="left"/>
      <w:pPr>
        <w:ind w:hanging="360" w:left="3600"/>
      </w:pPr>
    </w:lvl>
    <w:lvl w:ilvl="5" w:tentative="1" w:tplc="0C09001B">
      <w:start w:val="1"/>
      <w:numFmt w:val="lowerRoman"/>
      <w:lvlText w:val="%6."/>
      <w:lvlJc w:val="right"/>
      <w:pPr>
        <w:ind w:hanging="180" w:left="4320"/>
      </w:pPr>
    </w:lvl>
    <w:lvl w:ilvl="6" w:tentative="1" w:tplc="0C09000F">
      <w:start w:val="1"/>
      <w:numFmt w:val="decimal"/>
      <w:lvlText w:val="%7."/>
      <w:lvlJc w:val="left"/>
      <w:pPr>
        <w:ind w:hanging="360" w:left="5040"/>
      </w:pPr>
    </w:lvl>
    <w:lvl w:ilvl="7" w:tentative="1" w:tplc="0C090019">
      <w:start w:val="1"/>
      <w:numFmt w:val="lowerLetter"/>
      <w:lvlText w:val="%8."/>
      <w:lvlJc w:val="left"/>
      <w:pPr>
        <w:ind w:hanging="360" w:left="5760"/>
      </w:pPr>
    </w:lvl>
    <w:lvl w:ilvl="8" w:tentative="1" w:tplc="0C09001B">
      <w:start w:val="1"/>
      <w:numFmt w:val="lowerRoman"/>
      <w:lvlText w:val="%9."/>
      <w:lvlJc w:val="right"/>
      <w:pPr>
        <w:ind w:hanging="180" w:left="6480"/>
      </w:pPr>
    </w:lvl>
  </w:abstractNum>
  <w:abstractNum w15:restartNumberingAfterBreak="0" w:abstractNumId="8">
    <w:nsid w:val="1D585F53"/>
    <w:multiLevelType w:val="multilevel"/>
    <w:tmpl w:val="8E1096D0"/>
    <w:name w:val="ListBullets"/>
    <w:lvl w:ilvl="0">
      <w:start w:val="1"/>
      <w:numFmt w:val="bullet"/>
      <w:pStyle w:val="ListBullet"/>
      <w:lvlText w:val="•"/>
      <w:lvlJc w:val="left"/>
      <w:pPr>
        <w:ind w:hanging="340" w:left="340"/>
      </w:pPr>
      <w:rPr>
        <w:rFonts w:ascii="Calibri" w:hAnsi="Calibri" w:hint="default"/>
        <w:color w:val="auto"/>
      </w:rPr>
    </w:lvl>
    <w:lvl w:ilvl="1">
      <w:start w:val="1"/>
      <w:numFmt w:val="bullet"/>
      <w:pStyle w:val="ListBullet2"/>
      <w:lvlText w:val="–"/>
      <w:lvlJc w:val="left"/>
      <w:pPr>
        <w:ind w:hanging="340" w:left="680"/>
      </w:pPr>
      <w:rPr>
        <w:rFonts w:ascii="Arial" w:hAnsi="Arial" w:hint="default"/>
        <w:color w:val="auto"/>
      </w:rPr>
    </w:lvl>
    <w:lvl w:ilvl="2">
      <w:start w:val="1"/>
      <w:numFmt w:val="bullet"/>
      <w:pStyle w:val="ListBullet3"/>
      <w:lvlText w:val="○"/>
      <w:lvlJc w:val="left"/>
      <w:pPr>
        <w:ind w:hanging="340" w:left="1020"/>
      </w:pPr>
      <w:rPr>
        <w:rFonts w:ascii="Times New Roman" w:cs="Times New Roman" w:hAnsi="Times New Roman" w:hint="default"/>
        <w:color w:val="auto"/>
      </w:rPr>
    </w:lvl>
    <w:lvl w:ilvl="3">
      <w:start w:val="1"/>
      <w:numFmt w:val="bullet"/>
      <w:pStyle w:val="ListBullet4"/>
      <w:lvlText w:val="•"/>
      <w:lvlJc w:val="left"/>
      <w:pPr>
        <w:ind w:hanging="340" w:left="1360"/>
      </w:pPr>
      <w:rPr>
        <w:rFonts w:ascii="Arial" w:hAnsi="Arial" w:hint="default"/>
        <w:color w:val="auto"/>
      </w:rPr>
    </w:lvl>
    <w:lvl w:ilvl="4">
      <w:start w:val="1"/>
      <w:numFmt w:val="none"/>
      <w:lvlText w:val=""/>
      <w:lvlJc w:val="left"/>
      <w:pPr>
        <w:tabs>
          <w:tab w:pos="1712" w:val="num"/>
        </w:tabs>
        <w:ind w:hanging="340" w:left="1700"/>
      </w:pPr>
      <w:rPr>
        <w:rFonts w:hint="default"/>
      </w:rPr>
    </w:lvl>
    <w:lvl w:ilvl="5">
      <w:start w:val="1"/>
      <w:numFmt w:val="none"/>
      <w:lvlText w:val=""/>
      <w:lvlJc w:val="left"/>
      <w:pPr>
        <w:tabs>
          <w:tab w:pos="2069" w:val="num"/>
        </w:tabs>
        <w:ind w:hanging="340" w:left="2040"/>
      </w:pPr>
      <w:rPr>
        <w:rFonts w:hint="default"/>
      </w:rPr>
    </w:lvl>
    <w:lvl w:ilvl="6">
      <w:start w:val="1"/>
      <w:numFmt w:val="none"/>
      <w:lvlText w:val=""/>
      <w:lvlJc w:val="left"/>
      <w:pPr>
        <w:tabs>
          <w:tab w:pos="2426" w:val="num"/>
        </w:tabs>
        <w:ind w:hanging="340" w:left="2380"/>
      </w:pPr>
      <w:rPr>
        <w:rFonts w:hint="default"/>
      </w:rPr>
    </w:lvl>
    <w:lvl w:ilvl="7">
      <w:start w:val="1"/>
      <w:numFmt w:val="none"/>
      <w:lvlText w:val=""/>
      <w:lvlJc w:val="left"/>
      <w:pPr>
        <w:tabs>
          <w:tab w:pos="2783" w:val="num"/>
        </w:tabs>
        <w:ind w:hanging="340" w:left="2720"/>
      </w:pPr>
      <w:rPr>
        <w:rFonts w:hint="default"/>
      </w:rPr>
    </w:lvl>
    <w:lvl w:ilvl="8">
      <w:start w:val="1"/>
      <w:numFmt w:val="none"/>
      <w:lvlText w:val=""/>
      <w:lvlJc w:val="left"/>
      <w:pPr>
        <w:tabs>
          <w:tab w:pos="3140" w:val="num"/>
        </w:tabs>
        <w:ind w:hanging="340" w:left="3060"/>
      </w:pPr>
      <w:rPr>
        <w:rFonts w:hint="default"/>
      </w:rPr>
    </w:lvl>
  </w:abstractNum>
  <w:abstractNum w15:restartNumberingAfterBreak="0" w:abstractNumId="9">
    <w:nsid w:val="203965E4"/>
    <w:multiLevelType w:val="hybridMultilevel"/>
    <w:tmpl w:val="4FF6FF54"/>
    <w:lvl w:ilvl="0" w:tplc="0C090001">
      <w:start w:val="1"/>
      <w:numFmt w:val="bullet"/>
      <w:lvlText w:val=""/>
      <w:lvlJc w:val="left"/>
      <w:pPr>
        <w:ind w:hanging="360" w:left="720"/>
      </w:pPr>
      <w:rPr>
        <w:rFonts w:ascii="Symbol" w:hAnsi="Symbol" w:hint="default"/>
      </w:rPr>
    </w:lvl>
    <w:lvl w:ilvl="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0">
    <w:nsid w:val="27D85117"/>
    <w:multiLevelType w:val="hybridMultilevel"/>
    <w:tmpl w:val="3D4AC2C2"/>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1">
    <w:nsid w:val="34667452"/>
    <w:multiLevelType w:val="multilevel"/>
    <w:tmpl w:val="873ED2C0"/>
    <w:lvl w:ilvl="0">
      <w:start w:val="1"/>
      <w:numFmt w:val="decimal"/>
      <w:lvlText w:val="%1"/>
      <w:lvlJc w:val="left"/>
      <w:pPr>
        <w:ind w:hanging="450" w:left="450"/>
      </w:pPr>
      <w:rPr>
        <w:rFonts w:hint="default"/>
      </w:rPr>
    </w:lvl>
    <w:lvl w:ilvl="1">
      <w:start w:val="1"/>
      <w:numFmt w:val="decimal"/>
      <w:lvlText w:val="%1.%2"/>
      <w:lvlJc w:val="left"/>
      <w:pPr>
        <w:ind w:hanging="720" w:left="72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1080" w:left="1080"/>
      </w:pPr>
      <w:rPr>
        <w:rFonts w:hint="default"/>
      </w:rPr>
    </w:lvl>
    <w:lvl w:ilvl="4">
      <w:start w:val="1"/>
      <w:numFmt w:val="decimal"/>
      <w:lvlText w:val="%1.%2.%3.%4.%5"/>
      <w:lvlJc w:val="left"/>
      <w:pPr>
        <w:ind w:hanging="1440" w:left="1440"/>
      </w:pPr>
      <w:rPr>
        <w:rFonts w:hint="default"/>
      </w:rPr>
    </w:lvl>
    <w:lvl w:ilvl="5">
      <w:start w:val="1"/>
      <w:numFmt w:val="decimal"/>
      <w:lvlText w:val="%1.%2.%3.%4.%5.%6"/>
      <w:lvlJc w:val="left"/>
      <w:pPr>
        <w:ind w:hanging="1800" w:left="1800"/>
      </w:pPr>
      <w:rPr>
        <w:rFonts w:hint="default"/>
      </w:rPr>
    </w:lvl>
    <w:lvl w:ilvl="6">
      <w:start w:val="1"/>
      <w:numFmt w:val="decimal"/>
      <w:lvlText w:val="%1.%2.%3.%4.%5.%6.%7"/>
      <w:lvlJc w:val="left"/>
      <w:pPr>
        <w:ind w:hanging="1800" w:left="1800"/>
      </w:pPr>
      <w:rPr>
        <w:rFonts w:hint="default"/>
      </w:rPr>
    </w:lvl>
    <w:lvl w:ilvl="7">
      <w:start w:val="1"/>
      <w:numFmt w:val="decimal"/>
      <w:lvlText w:val="%1.%2.%3.%4.%5.%6.%7.%8"/>
      <w:lvlJc w:val="left"/>
      <w:pPr>
        <w:ind w:hanging="2160" w:left="2160"/>
      </w:pPr>
      <w:rPr>
        <w:rFonts w:hint="default"/>
      </w:rPr>
    </w:lvl>
    <w:lvl w:ilvl="8">
      <w:start w:val="1"/>
      <w:numFmt w:val="decimal"/>
      <w:lvlText w:val="%1.%2.%3.%4.%5.%6.%7.%8.%9"/>
      <w:lvlJc w:val="left"/>
      <w:pPr>
        <w:ind w:hanging="2520" w:left="2520"/>
      </w:pPr>
      <w:rPr>
        <w:rFonts w:hint="default"/>
      </w:rPr>
    </w:lvl>
  </w:abstractNum>
  <w:abstractNum w15:restartNumberingAfterBreak="0" w:abstractNumId="12">
    <w:nsid w:val="376F56A1"/>
    <w:multiLevelType w:val="multilevel"/>
    <w:tmpl w:val="285CDA68"/>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15:restartNumberingAfterBreak="0" w:abstractNumId="13">
    <w:nsid w:val="38FF4DB1"/>
    <w:multiLevelType w:val="hybridMultilevel"/>
    <w:tmpl w:val="5678CA30"/>
    <w:lvl w:ilvl="0" w:tplc="FFFFFFFF">
      <w:start w:val="1"/>
      <w:numFmt w:val="bullet"/>
      <w:lvlText w:val=""/>
      <w:lvlJc w:val="left"/>
      <w:pPr>
        <w:ind w:hanging="360" w:left="720"/>
      </w:pPr>
      <w:rPr>
        <w:rFonts w:ascii="Symbol" w:hAnsi="Symbol" w:hint="default"/>
      </w:rPr>
    </w:lvl>
    <w:lvl w:ilvl="1" w:tplc="C53ACFFC">
      <w:start w:val="1"/>
      <w:numFmt w:val="bullet"/>
      <w:pStyle w:val="KeyPointsBullet2"/>
      <w:lvlText w:val="-"/>
      <w:lvlJc w:val="left"/>
      <w:pPr>
        <w:ind w:hanging="360" w:left="1494"/>
      </w:pPr>
      <w:rPr>
        <w:rFonts w:ascii="Courier New" w:hAnsi="Courier New" w:hint="default"/>
      </w:rPr>
    </w:lvl>
    <w:lvl w:ilvl="2" w:tentative="1" w:tplc="FFFFFFFF">
      <w:start w:val="1"/>
      <w:numFmt w:val="bullet"/>
      <w:lvlText w:val=""/>
      <w:lvlJc w:val="left"/>
      <w:pPr>
        <w:ind w:hanging="360" w:left="2160"/>
      </w:pPr>
      <w:rPr>
        <w:rFonts w:ascii="Wingdings" w:hAnsi="Wingdings" w:hint="default"/>
      </w:rPr>
    </w:lvl>
    <w:lvl w:ilvl="3" w:tentative="1" w:tplc="FFFFFFFF">
      <w:start w:val="1"/>
      <w:numFmt w:val="bullet"/>
      <w:lvlText w:val=""/>
      <w:lvlJc w:val="left"/>
      <w:pPr>
        <w:ind w:hanging="360" w:left="2880"/>
      </w:pPr>
      <w:rPr>
        <w:rFonts w:ascii="Symbol" w:hAnsi="Symbol" w:hint="default"/>
      </w:rPr>
    </w:lvl>
    <w:lvl w:ilvl="4" w:tentative="1" w:tplc="FFFFFFFF">
      <w:start w:val="1"/>
      <w:numFmt w:val="bullet"/>
      <w:lvlText w:val="o"/>
      <w:lvlJc w:val="left"/>
      <w:pPr>
        <w:ind w:hanging="360" w:left="3600"/>
      </w:pPr>
      <w:rPr>
        <w:rFonts w:ascii="Courier New" w:cs="Courier New" w:hAnsi="Courier New" w:hint="default"/>
      </w:rPr>
    </w:lvl>
    <w:lvl w:ilvl="5" w:tentative="1" w:tplc="FFFFFFFF">
      <w:start w:val="1"/>
      <w:numFmt w:val="bullet"/>
      <w:lvlText w:val=""/>
      <w:lvlJc w:val="left"/>
      <w:pPr>
        <w:ind w:hanging="360" w:left="4320"/>
      </w:pPr>
      <w:rPr>
        <w:rFonts w:ascii="Wingdings" w:hAnsi="Wingdings" w:hint="default"/>
      </w:rPr>
    </w:lvl>
    <w:lvl w:ilvl="6" w:tentative="1" w:tplc="FFFFFFFF">
      <w:start w:val="1"/>
      <w:numFmt w:val="bullet"/>
      <w:lvlText w:val=""/>
      <w:lvlJc w:val="left"/>
      <w:pPr>
        <w:ind w:hanging="360" w:left="5040"/>
      </w:pPr>
      <w:rPr>
        <w:rFonts w:ascii="Symbol" w:hAnsi="Symbol" w:hint="default"/>
      </w:rPr>
    </w:lvl>
    <w:lvl w:ilvl="7" w:tentative="1" w:tplc="FFFFFFFF">
      <w:start w:val="1"/>
      <w:numFmt w:val="bullet"/>
      <w:lvlText w:val="o"/>
      <w:lvlJc w:val="left"/>
      <w:pPr>
        <w:ind w:hanging="360" w:left="5760"/>
      </w:pPr>
      <w:rPr>
        <w:rFonts w:ascii="Courier New" w:cs="Courier New" w:hAnsi="Courier New" w:hint="default"/>
      </w:rPr>
    </w:lvl>
    <w:lvl w:ilvl="8" w:tentative="1" w:tplc="FFFFFFFF">
      <w:start w:val="1"/>
      <w:numFmt w:val="bullet"/>
      <w:lvlText w:val=""/>
      <w:lvlJc w:val="left"/>
      <w:pPr>
        <w:ind w:hanging="360" w:left="6480"/>
      </w:pPr>
      <w:rPr>
        <w:rFonts w:ascii="Wingdings" w:hAnsi="Wingdings" w:hint="default"/>
      </w:rPr>
    </w:lvl>
  </w:abstractNum>
  <w:abstractNum w15:restartNumberingAfterBreak="0" w:abstractNumId="14">
    <w:nsid w:val="4A196449"/>
    <w:multiLevelType w:val="hybridMultilevel"/>
    <w:tmpl w:val="37D08DF2"/>
    <w:lvl w:ilvl="0" w:tplc="0C090001">
      <w:start w:val="1"/>
      <w:numFmt w:val="bullet"/>
      <w:lvlText w:val=""/>
      <w:lvlJc w:val="left"/>
      <w:pPr>
        <w:ind w:hanging="360" w:left="720"/>
      </w:pPr>
      <w:rPr>
        <w:rFonts w:ascii="Symbol" w:hAnsi="Symbol" w:hint="default"/>
      </w:rPr>
    </w:lvl>
    <w:lvl w:ilvl="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5">
    <w:nsid w:val="4DDF2811"/>
    <w:multiLevelType w:val="hybridMultilevel"/>
    <w:tmpl w:val="C2CCBBA0"/>
    <w:lvl w:ilvl="0" w:tplc="0C090001">
      <w:start w:val="1"/>
      <w:numFmt w:val="bullet"/>
      <w:lvlText w:val=""/>
      <w:lvlJc w:val="left"/>
      <w:pPr>
        <w:ind w:hanging="360" w:left="720"/>
      </w:pPr>
      <w:rPr>
        <w:rFonts w:ascii="Symbol" w:hAnsi="Symbol" w:hint="default"/>
      </w:rPr>
    </w:lvl>
    <w:lvl w:ilvl="1" w:tentative="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6">
    <w:nsid w:val="627E5955"/>
    <w:multiLevelType w:val="hybridMultilevel"/>
    <w:tmpl w:val="F85A606A"/>
    <w:lvl w:ilvl="0" w:tplc="0C090001">
      <w:start w:val="1"/>
      <w:numFmt w:val="bullet"/>
      <w:lvlText w:val=""/>
      <w:lvlJc w:val="left"/>
      <w:pPr>
        <w:ind w:hanging="360" w:left="720"/>
      </w:pPr>
      <w:rPr>
        <w:rFonts w:ascii="Symbol" w:hAnsi="Symbol" w:hint="default"/>
      </w:rPr>
    </w:lvl>
    <w:lvl w:ilvl="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17">
    <w:nsid w:val="6FEB691B"/>
    <w:multiLevelType w:val="multilevel"/>
    <w:tmpl w:val="2362D836"/>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800" w:left="1800"/>
      </w:pPr>
      <w:rPr>
        <w:rFonts w:hint="default"/>
      </w:rPr>
    </w:lvl>
  </w:abstractNum>
  <w:abstractNum w15:restartNumberingAfterBreak="0" w:abstractNumId="18">
    <w:nsid w:val="71A80D02"/>
    <w:multiLevelType w:val="hybridMultilevel"/>
    <w:tmpl w:val="158ABB42"/>
    <w:lvl w:ilvl="0" w:tplc="0C09000F">
      <w:start w:val="1"/>
      <w:numFmt w:val="decimal"/>
      <w:lvlText w:val="%1."/>
      <w:lvlJc w:val="left"/>
      <w:pPr>
        <w:ind w:hanging="360" w:left="720"/>
      </w:pPr>
      <w:rPr>
        <w:rFonts w:hint="default"/>
      </w:rPr>
    </w:lvl>
    <w:lvl w:ilvl="1" w:tentative="1" w:tplc="0C090019">
      <w:start w:val="1"/>
      <w:numFmt w:val="lowerLetter"/>
      <w:lvlText w:val="%2."/>
      <w:lvlJc w:val="left"/>
      <w:pPr>
        <w:ind w:hanging="360" w:left="1440"/>
      </w:pPr>
    </w:lvl>
    <w:lvl w:ilvl="2" w:tentative="1" w:tplc="0C09001B">
      <w:start w:val="1"/>
      <w:numFmt w:val="lowerRoman"/>
      <w:lvlText w:val="%3."/>
      <w:lvlJc w:val="right"/>
      <w:pPr>
        <w:ind w:hanging="180" w:left="2160"/>
      </w:pPr>
    </w:lvl>
    <w:lvl w:ilvl="3" w:tentative="1" w:tplc="0C09000F">
      <w:start w:val="1"/>
      <w:numFmt w:val="decimal"/>
      <w:lvlText w:val="%4."/>
      <w:lvlJc w:val="left"/>
      <w:pPr>
        <w:ind w:hanging="360" w:left="2880"/>
      </w:pPr>
    </w:lvl>
    <w:lvl w:ilvl="4" w:tentative="1" w:tplc="0C090019">
      <w:start w:val="1"/>
      <w:numFmt w:val="lowerLetter"/>
      <w:lvlText w:val="%5."/>
      <w:lvlJc w:val="left"/>
      <w:pPr>
        <w:ind w:hanging="360" w:left="3600"/>
      </w:pPr>
    </w:lvl>
    <w:lvl w:ilvl="5" w:tentative="1" w:tplc="0C09001B">
      <w:start w:val="1"/>
      <w:numFmt w:val="lowerRoman"/>
      <w:lvlText w:val="%6."/>
      <w:lvlJc w:val="right"/>
      <w:pPr>
        <w:ind w:hanging="180" w:left="4320"/>
      </w:pPr>
    </w:lvl>
    <w:lvl w:ilvl="6" w:tentative="1" w:tplc="0C09000F">
      <w:start w:val="1"/>
      <w:numFmt w:val="decimal"/>
      <w:lvlText w:val="%7."/>
      <w:lvlJc w:val="left"/>
      <w:pPr>
        <w:ind w:hanging="360" w:left="5040"/>
      </w:pPr>
    </w:lvl>
    <w:lvl w:ilvl="7" w:tentative="1" w:tplc="0C090019">
      <w:start w:val="1"/>
      <w:numFmt w:val="lowerLetter"/>
      <w:lvlText w:val="%8."/>
      <w:lvlJc w:val="left"/>
      <w:pPr>
        <w:ind w:hanging="360" w:left="5760"/>
      </w:pPr>
    </w:lvl>
    <w:lvl w:ilvl="8" w:tentative="1" w:tplc="0C09001B">
      <w:start w:val="1"/>
      <w:numFmt w:val="lowerRoman"/>
      <w:lvlText w:val="%9."/>
      <w:lvlJc w:val="right"/>
      <w:pPr>
        <w:ind w:hanging="180" w:left="6480"/>
      </w:pPr>
    </w:lvl>
  </w:abstractNum>
  <w:abstractNum w15:restartNumberingAfterBreak="0" w:abstractNumId="19">
    <w:nsid w:val="76642B94"/>
    <w:multiLevelType w:val="hybridMultilevel"/>
    <w:tmpl w:val="1310B5A2"/>
    <w:lvl w:ilvl="0" w:tplc="0C090001">
      <w:start w:val="1"/>
      <w:numFmt w:val="bullet"/>
      <w:lvlText w:val=""/>
      <w:lvlJc w:val="left"/>
      <w:pPr>
        <w:ind w:hanging="360" w:left="720"/>
      </w:pPr>
      <w:rPr>
        <w:rFonts w:ascii="Symbol" w:hAnsi="Symbol" w:hint="default"/>
      </w:rPr>
    </w:lvl>
    <w:lvl w:ilvl="1" w:tplc="0C090003">
      <w:start w:val="1"/>
      <w:numFmt w:val="bullet"/>
      <w:lvlText w:val="o"/>
      <w:lvlJc w:val="left"/>
      <w:pPr>
        <w:ind w:hanging="360" w:left="1440"/>
      </w:pPr>
      <w:rPr>
        <w:rFonts w:ascii="Courier New" w:cs="Courier New" w:hAnsi="Courier New" w:hint="default"/>
      </w:rPr>
    </w:lvl>
    <w:lvl w:ilvl="2"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0">
    <w:nsid w:val="78F0583E"/>
    <w:multiLevelType w:val="hybridMultilevel"/>
    <w:tmpl w:val="C0D2DD8A"/>
    <w:lvl w:ilvl="0" w:tplc="87DA3FD6">
      <w:start w:val="1"/>
      <w:numFmt w:val="bullet"/>
      <w:pStyle w:val="KeyPointsBullet1"/>
      <w:lvlText w:val=""/>
      <w:lvlJc w:val="left"/>
      <w:pPr>
        <w:ind w:hanging="360" w:left="720"/>
      </w:pPr>
      <w:rPr>
        <w:rFonts w:ascii="Symbol" w:hAnsi="Symbol" w:hint="default"/>
      </w:rPr>
    </w:lvl>
    <w:lvl w:ilvl="1" w:tplc="0C090003">
      <w:start w:val="1"/>
      <w:numFmt w:val="bullet"/>
      <w:lvlText w:val="o"/>
      <w:lvlJc w:val="left"/>
      <w:pPr>
        <w:ind w:hanging="360" w:left="1440"/>
      </w:pPr>
      <w:rPr>
        <w:rFonts w:ascii="Courier New" w:cs="Courier New" w:hAnsi="Courier New" w:hint="default"/>
      </w:rPr>
    </w:lvl>
    <w:lvl w:ilvl="2" w:tentative="1" w:tplc="0C090005">
      <w:start w:val="1"/>
      <w:numFmt w:val="bullet"/>
      <w:lvlText w:val=""/>
      <w:lvlJc w:val="left"/>
      <w:pPr>
        <w:ind w:hanging="360" w:left="2160"/>
      </w:pPr>
      <w:rPr>
        <w:rFonts w:ascii="Wingdings" w:hAnsi="Wingdings" w:hint="default"/>
      </w:rPr>
    </w:lvl>
    <w:lvl w:ilvl="3" w:tentative="1" w:tplc="0C090001">
      <w:start w:val="1"/>
      <w:numFmt w:val="bullet"/>
      <w:lvlText w:val=""/>
      <w:lvlJc w:val="left"/>
      <w:pPr>
        <w:ind w:hanging="360" w:left="2880"/>
      </w:pPr>
      <w:rPr>
        <w:rFonts w:ascii="Symbol" w:hAnsi="Symbol" w:hint="default"/>
      </w:rPr>
    </w:lvl>
    <w:lvl w:ilvl="4" w:tentative="1" w:tplc="0C090003">
      <w:start w:val="1"/>
      <w:numFmt w:val="bullet"/>
      <w:lvlText w:val="o"/>
      <w:lvlJc w:val="left"/>
      <w:pPr>
        <w:ind w:hanging="360" w:left="3600"/>
      </w:pPr>
      <w:rPr>
        <w:rFonts w:ascii="Courier New" w:cs="Courier New" w:hAnsi="Courier New" w:hint="default"/>
      </w:rPr>
    </w:lvl>
    <w:lvl w:ilvl="5" w:tentative="1" w:tplc="0C090005">
      <w:start w:val="1"/>
      <w:numFmt w:val="bullet"/>
      <w:lvlText w:val=""/>
      <w:lvlJc w:val="left"/>
      <w:pPr>
        <w:ind w:hanging="360" w:left="4320"/>
      </w:pPr>
      <w:rPr>
        <w:rFonts w:ascii="Wingdings" w:hAnsi="Wingdings" w:hint="default"/>
      </w:rPr>
    </w:lvl>
    <w:lvl w:ilvl="6" w:tentative="1" w:tplc="0C090001">
      <w:start w:val="1"/>
      <w:numFmt w:val="bullet"/>
      <w:lvlText w:val=""/>
      <w:lvlJc w:val="left"/>
      <w:pPr>
        <w:ind w:hanging="360" w:left="5040"/>
      </w:pPr>
      <w:rPr>
        <w:rFonts w:ascii="Symbol" w:hAnsi="Symbol" w:hint="default"/>
      </w:rPr>
    </w:lvl>
    <w:lvl w:ilvl="7" w:tentative="1" w:tplc="0C090003">
      <w:start w:val="1"/>
      <w:numFmt w:val="bullet"/>
      <w:lvlText w:val="o"/>
      <w:lvlJc w:val="left"/>
      <w:pPr>
        <w:ind w:hanging="360" w:left="5760"/>
      </w:pPr>
      <w:rPr>
        <w:rFonts w:ascii="Courier New" w:cs="Courier New" w:hAnsi="Courier New" w:hint="default"/>
      </w:rPr>
    </w:lvl>
    <w:lvl w:ilvl="8" w:tentative="1" w:tplc="0C090005">
      <w:start w:val="1"/>
      <w:numFmt w:val="bullet"/>
      <w:lvlText w:val=""/>
      <w:lvlJc w:val="left"/>
      <w:pPr>
        <w:ind w:hanging="360" w:left="6480"/>
      </w:pPr>
      <w:rPr>
        <w:rFonts w:ascii="Wingdings" w:hAnsi="Wingdings" w:hint="default"/>
      </w:rPr>
    </w:lvl>
  </w:abstractNum>
  <w:abstractNum w15:restartNumberingAfterBreak="0" w:abstractNumId="21">
    <w:nsid w:val="7B2B0659"/>
    <w:multiLevelType w:val="multilevel"/>
    <w:tmpl w:val="5CDE437C"/>
    <w:lvl w:ilvl="0">
      <w:start w:val="1"/>
      <w:numFmt w:val="decimal"/>
      <w:lvlText w:val="%1"/>
      <w:lvlJc w:val="left"/>
      <w:pPr>
        <w:ind w:hanging="360" w:left="360"/>
      </w:pPr>
      <w:rPr>
        <w:rFonts w:hint="default"/>
      </w:rPr>
    </w:lvl>
    <w:lvl w:ilvl="1">
      <w:start w:val="1"/>
      <w:numFmt w:val="decimal"/>
      <w:lvlText w:val="%1.%2"/>
      <w:lvlJc w:val="left"/>
      <w:pPr>
        <w:ind w:hanging="360" w:left="360"/>
      </w:pPr>
      <w:rPr>
        <w:rFonts w:hint="default"/>
      </w:rPr>
    </w:lvl>
    <w:lvl w:ilvl="2">
      <w:start w:val="1"/>
      <w:numFmt w:val="decimal"/>
      <w:lvlText w:val="%1.%2.%3"/>
      <w:lvlJc w:val="left"/>
      <w:pPr>
        <w:ind w:hanging="720" w:left="720"/>
      </w:pPr>
      <w:rPr>
        <w:rFonts w:hint="default"/>
      </w:rPr>
    </w:lvl>
    <w:lvl w:ilvl="3">
      <w:start w:val="1"/>
      <w:numFmt w:val="decimal"/>
      <w:lvlText w:val="%1.%2.%3.%4"/>
      <w:lvlJc w:val="left"/>
      <w:pPr>
        <w:ind w:hanging="720" w:left="720"/>
      </w:pPr>
      <w:rPr>
        <w:rFonts w:hint="default"/>
      </w:rPr>
    </w:lvl>
    <w:lvl w:ilvl="4">
      <w:start w:val="1"/>
      <w:numFmt w:val="decimal"/>
      <w:lvlText w:val="%1.%2.%3.%4.%5"/>
      <w:lvlJc w:val="left"/>
      <w:pPr>
        <w:ind w:hanging="1080" w:left="1080"/>
      </w:pPr>
      <w:rPr>
        <w:rFonts w:hint="default"/>
      </w:rPr>
    </w:lvl>
    <w:lvl w:ilvl="5">
      <w:start w:val="1"/>
      <w:numFmt w:val="decimal"/>
      <w:lvlText w:val="%1.%2.%3.%4.%5.%6"/>
      <w:lvlJc w:val="left"/>
      <w:pPr>
        <w:ind w:hanging="1080" w:left="1080"/>
      </w:pPr>
      <w:rPr>
        <w:rFonts w:hint="default"/>
      </w:rPr>
    </w:lvl>
    <w:lvl w:ilvl="6">
      <w:start w:val="1"/>
      <w:numFmt w:val="decimal"/>
      <w:lvlText w:val="%1.%2.%3.%4.%5.%6.%7"/>
      <w:lvlJc w:val="left"/>
      <w:pPr>
        <w:ind w:hanging="1440" w:left="1440"/>
      </w:pPr>
      <w:rPr>
        <w:rFonts w:hint="default"/>
      </w:rPr>
    </w:lvl>
    <w:lvl w:ilvl="7">
      <w:start w:val="1"/>
      <w:numFmt w:val="decimal"/>
      <w:lvlText w:val="%1.%2.%3.%4.%5.%6.%7.%8"/>
      <w:lvlJc w:val="left"/>
      <w:pPr>
        <w:ind w:hanging="1440" w:left="1440"/>
      </w:pPr>
      <w:rPr>
        <w:rFonts w:hint="default"/>
      </w:rPr>
    </w:lvl>
    <w:lvl w:ilvl="8">
      <w:start w:val="1"/>
      <w:numFmt w:val="decimal"/>
      <w:lvlText w:val="%1.%2.%3.%4.%5.%6.%7.%8.%9"/>
      <w:lvlJc w:val="left"/>
      <w:pPr>
        <w:ind w:hanging="1440" w:left="1440"/>
      </w:pPr>
      <w:rPr>
        <w:rFont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337269666" w:numId="1">
    <w:abstractNumId w:val="21"/>
  </w:num>
  <w:num w16cid:durableId="1668050683" w:numId="2">
    <w:abstractNumId w:val="12"/>
  </w:num>
  <w:num w16cid:durableId="1683042470" w:numId="3">
    <w:abstractNumId w:val="6"/>
  </w:num>
  <w:num w16cid:durableId="133523604" w:numId="4">
    <w:abstractNumId w:val="17"/>
  </w:num>
  <w:num w16cid:durableId="1994024302" w:numId="5">
    <w:abstractNumId w:val="18"/>
  </w:num>
  <w:num w16cid:durableId="1358852113" w:numId="6">
    <w:abstractNumId w:val="11"/>
  </w:num>
  <w:num w16cid:durableId="2047246184" w:numId="7">
    <w:abstractNumId w:val="8"/>
  </w:num>
  <w:num w16cid:durableId="1985233239" w:numId="8">
    <w:abstractNumId w:val="4"/>
  </w:num>
  <w:num w16cid:durableId="2105372984" w:numId="9">
    <w:abstractNumId w:val="5"/>
  </w:num>
  <w:num w16cid:durableId="935869809" w:numId="10">
    <w:abstractNumId w:val="3"/>
  </w:num>
  <w:num w16cid:durableId="1109662273" w:numId="11">
    <w:abstractNumId w:val="2"/>
  </w:num>
  <w:num w16cid:durableId="2049716342" w:numId="12">
    <w:abstractNumId w:val="1"/>
  </w:num>
  <w:num w16cid:durableId="1578317811" w:numId="13">
    <w:abstractNumId w:val="0"/>
  </w:num>
  <w:num w16cid:durableId="1127550344" w:numId="14">
    <w:abstractNumId w:val="10"/>
  </w:num>
  <w:num w16cid:durableId="406730085" w:numId="15">
    <w:abstractNumId w:val="7"/>
  </w:num>
  <w:num w16cid:durableId="1528132923" w:numId="16">
    <w:abstractNumId w:val="5"/>
  </w:num>
  <w:num w16cid:durableId="147867168" w:numId="17">
    <w:abstractNumId w:val="3"/>
  </w:num>
  <w:num w16cid:durableId="345447166" w:numId="18">
    <w:abstractNumId w:val="14"/>
  </w:num>
  <w:num w16cid:durableId="2065375454" w:numId="19">
    <w:abstractNumId w:val="9"/>
  </w:num>
  <w:num w16cid:durableId="1699503169" w:numId="20">
    <w:abstractNumId w:val="19"/>
  </w:num>
  <w:num w16cid:durableId="328756096" w:numId="21">
    <w:abstractNumId w:val="16"/>
  </w:num>
  <w:num w16cid:durableId="799568518" w:numId="22">
    <w:abstractNumId w:val="15"/>
  </w:num>
  <w:num w16cid:durableId="2124297512" w:numId="23">
    <w:abstractNumId w:val="20"/>
  </w:num>
  <w:num w16cid:durableId="1338774360" w:numId="24">
    <w:abstractNumId w:val="13"/>
  </w:num>
  <w:num w16cid:durableId="796991957" w:numId="25">
    <w:abstractNumId w:val="13"/>
    <w:lvlOverride w:ilvl="0">
      <w:startOverride w:val="1"/>
    </w:lvlOverride>
  </w:num>
  <w:num w16cid:durableId="376860705" w:numId="26">
    <w:abstractNumId w:val="13"/>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removePersonalInformation/>
  <w:removeDateAndTime/>
  <w:embedSystemFonts/>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218"/>
    <w:rsid w:val="00003E8E"/>
    <w:rsid w:val="0000790B"/>
    <w:rsid w:val="00010D33"/>
    <w:rsid w:val="00025BD0"/>
    <w:rsid w:val="000261A3"/>
    <w:rsid w:val="00031FA2"/>
    <w:rsid w:val="0003316F"/>
    <w:rsid w:val="00037EB9"/>
    <w:rsid w:val="000404CE"/>
    <w:rsid w:val="0004100D"/>
    <w:rsid w:val="00041073"/>
    <w:rsid w:val="00042611"/>
    <w:rsid w:val="00044C84"/>
    <w:rsid w:val="00044D4F"/>
    <w:rsid w:val="00050537"/>
    <w:rsid w:val="00051CBE"/>
    <w:rsid w:val="000541F7"/>
    <w:rsid w:val="0005518A"/>
    <w:rsid w:val="00055E93"/>
    <w:rsid w:val="0005610B"/>
    <w:rsid w:val="000572BD"/>
    <w:rsid w:val="000656C5"/>
    <w:rsid w:val="000667D2"/>
    <w:rsid w:val="000768A0"/>
    <w:rsid w:val="000847ED"/>
    <w:rsid w:val="00084BA3"/>
    <w:rsid w:val="000924AF"/>
    <w:rsid w:val="00095E11"/>
    <w:rsid w:val="00096E2E"/>
    <w:rsid w:val="00097BB6"/>
    <w:rsid w:val="000A145A"/>
    <w:rsid w:val="000A1D6A"/>
    <w:rsid w:val="000A1E27"/>
    <w:rsid w:val="000A7F1E"/>
    <w:rsid w:val="000B6324"/>
    <w:rsid w:val="000C0BA2"/>
    <w:rsid w:val="000C47F7"/>
    <w:rsid w:val="000C7DD7"/>
    <w:rsid w:val="000D04EA"/>
    <w:rsid w:val="000D13FA"/>
    <w:rsid w:val="000D5FCE"/>
    <w:rsid w:val="000D6745"/>
    <w:rsid w:val="000E1B1B"/>
    <w:rsid w:val="000E38BA"/>
    <w:rsid w:val="000E7042"/>
    <w:rsid w:val="000F1722"/>
    <w:rsid w:val="000F3A61"/>
    <w:rsid w:val="000F5169"/>
    <w:rsid w:val="000F6225"/>
    <w:rsid w:val="00101FBF"/>
    <w:rsid w:val="00105370"/>
    <w:rsid w:val="00105D29"/>
    <w:rsid w:val="00112443"/>
    <w:rsid w:val="001129A3"/>
    <w:rsid w:val="001134ED"/>
    <w:rsid w:val="00121C35"/>
    <w:rsid w:val="00123DFA"/>
    <w:rsid w:val="00124D9E"/>
    <w:rsid w:val="001252E0"/>
    <w:rsid w:val="00125C36"/>
    <w:rsid w:val="001279A4"/>
    <w:rsid w:val="001306D6"/>
    <w:rsid w:val="0013559D"/>
    <w:rsid w:val="0013610D"/>
    <w:rsid w:val="00140E24"/>
    <w:rsid w:val="001431E8"/>
    <w:rsid w:val="00143208"/>
    <w:rsid w:val="00146BBB"/>
    <w:rsid w:val="001516BF"/>
    <w:rsid w:val="00152694"/>
    <w:rsid w:val="001534EA"/>
    <w:rsid w:val="0015748D"/>
    <w:rsid w:val="00164614"/>
    <w:rsid w:val="0016618F"/>
    <w:rsid w:val="00167762"/>
    <w:rsid w:val="00172296"/>
    <w:rsid w:val="0017574A"/>
    <w:rsid w:val="0018560A"/>
    <w:rsid w:val="001921C3"/>
    <w:rsid w:val="00192BED"/>
    <w:rsid w:val="00195DA0"/>
    <w:rsid w:val="00196520"/>
    <w:rsid w:val="00196D27"/>
    <w:rsid w:val="001A22A8"/>
    <w:rsid w:val="001A4FB2"/>
    <w:rsid w:val="001B1EB2"/>
    <w:rsid w:val="001B3988"/>
    <w:rsid w:val="001B7035"/>
    <w:rsid w:val="001B7F1C"/>
    <w:rsid w:val="001C0CB2"/>
    <w:rsid w:val="001C0D18"/>
    <w:rsid w:val="001C381D"/>
    <w:rsid w:val="001C6BA8"/>
    <w:rsid w:val="001C73D7"/>
    <w:rsid w:val="001C7821"/>
    <w:rsid w:val="001D1AB8"/>
    <w:rsid w:val="001D2B39"/>
    <w:rsid w:val="001E3A83"/>
    <w:rsid w:val="001E4423"/>
    <w:rsid w:val="001E58C4"/>
    <w:rsid w:val="001F0154"/>
    <w:rsid w:val="001F2809"/>
    <w:rsid w:val="001F36D6"/>
    <w:rsid w:val="001F59D3"/>
    <w:rsid w:val="001F7744"/>
    <w:rsid w:val="001F7A6F"/>
    <w:rsid w:val="00201984"/>
    <w:rsid w:val="00206249"/>
    <w:rsid w:val="002179BB"/>
    <w:rsid w:val="00224EF3"/>
    <w:rsid w:val="00225E72"/>
    <w:rsid w:val="00233A75"/>
    <w:rsid w:val="00233D78"/>
    <w:rsid w:val="00241150"/>
    <w:rsid w:val="0024392D"/>
    <w:rsid w:val="00244550"/>
    <w:rsid w:val="00251F93"/>
    <w:rsid w:val="002618DF"/>
    <w:rsid w:val="00261D00"/>
    <w:rsid w:val="00262F1E"/>
    <w:rsid w:val="002633D9"/>
    <w:rsid w:val="00265883"/>
    <w:rsid w:val="002660C3"/>
    <w:rsid w:val="00280AC6"/>
    <w:rsid w:val="00281D3D"/>
    <w:rsid w:val="00282368"/>
    <w:rsid w:val="002824C3"/>
    <w:rsid w:val="0028576B"/>
    <w:rsid w:val="00294394"/>
    <w:rsid w:val="002948AB"/>
    <w:rsid w:val="002950ED"/>
    <w:rsid w:val="00296166"/>
    <w:rsid w:val="002A4B17"/>
    <w:rsid w:val="002B2528"/>
    <w:rsid w:val="002B58AB"/>
    <w:rsid w:val="002B5FD1"/>
    <w:rsid w:val="002B7212"/>
    <w:rsid w:val="002C0D2C"/>
    <w:rsid w:val="002C22C6"/>
    <w:rsid w:val="002C30E8"/>
    <w:rsid w:val="002D300C"/>
    <w:rsid w:val="002D68E2"/>
    <w:rsid w:val="002E0E18"/>
    <w:rsid w:val="002E12CF"/>
    <w:rsid w:val="002E5B03"/>
    <w:rsid w:val="002E6E2F"/>
    <w:rsid w:val="002E7FE3"/>
    <w:rsid w:val="002F0ECD"/>
    <w:rsid w:val="002F379C"/>
    <w:rsid w:val="002F3EB5"/>
    <w:rsid w:val="002F537A"/>
    <w:rsid w:val="002F5690"/>
    <w:rsid w:val="0030136B"/>
    <w:rsid w:val="003060CC"/>
    <w:rsid w:val="00306575"/>
    <w:rsid w:val="00306C0E"/>
    <w:rsid w:val="00310CA1"/>
    <w:rsid w:val="00313B29"/>
    <w:rsid w:val="00314E27"/>
    <w:rsid w:val="00317619"/>
    <w:rsid w:val="0032103C"/>
    <w:rsid w:val="00322502"/>
    <w:rsid w:val="00323B9A"/>
    <w:rsid w:val="00327AB4"/>
    <w:rsid w:val="003306F3"/>
    <w:rsid w:val="003360BD"/>
    <w:rsid w:val="0035114D"/>
    <w:rsid w:val="0035131B"/>
    <w:rsid w:val="00354118"/>
    <w:rsid w:val="00362D5B"/>
    <w:rsid w:val="00366923"/>
    <w:rsid w:val="003676D3"/>
    <w:rsid w:val="003708C1"/>
    <w:rsid w:val="00370C83"/>
    <w:rsid w:val="00371F25"/>
    <w:rsid w:val="00373FDC"/>
    <w:rsid w:val="00374E1D"/>
    <w:rsid w:val="003818AB"/>
    <w:rsid w:val="003825CD"/>
    <w:rsid w:val="00382E36"/>
    <w:rsid w:val="00385322"/>
    <w:rsid w:val="00385788"/>
    <w:rsid w:val="00385ABF"/>
    <w:rsid w:val="0039115D"/>
    <w:rsid w:val="003926FD"/>
    <w:rsid w:val="003A2110"/>
    <w:rsid w:val="003A2337"/>
    <w:rsid w:val="003A6867"/>
    <w:rsid w:val="003B474F"/>
    <w:rsid w:val="003B7CE0"/>
    <w:rsid w:val="003D13A9"/>
    <w:rsid w:val="003D48E5"/>
    <w:rsid w:val="003E0796"/>
    <w:rsid w:val="003E0B70"/>
    <w:rsid w:val="003E0E55"/>
    <w:rsid w:val="003E16B5"/>
    <w:rsid w:val="003E2525"/>
    <w:rsid w:val="003E3395"/>
    <w:rsid w:val="003F35A1"/>
    <w:rsid w:val="00414265"/>
    <w:rsid w:val="00414A4A"/>
    <w:rsid w:val="00415DA8"/>
    <w:rsid w:val="00416544"/>
    <w:rsid w:val="00417118"/>
    <w:rsid w:val="004221F7"/>
    <w:rsid w:val="00422AD4"/>
    <w:rsid w:val="00431BE4"/>
    <w:rsid w:val="00431BFC"/>
    <w:rsid w:val="0043329B"/>
    <w:rsid w:val="00433679"/>
    <w:rsid w:val="004351AF"/>
    <w:rsid w:val="00440C82"/>
    <w:rsid w:val="004415F0"/>
    <w:rsid w:val="004420E5"/>
    <w:rsid w:val="004440ED"/>
    <w:rsid w:val="00447153"/>
    <w:rsid w:val="00455A07"/>
    <w:rsid w:val="00456915"/>
    <w:rsid w:val="00456ED2"/>
    <w:rsid w:val="00465736"/>
    <w:rsid w:val="004773D3"/>
    <w:rsid w:val="00483618"/>
    <w:rsid w:val="00484C00"/>
    <w:rsid w:val="00484F7F"/>
    <w:rsid w:val="004860A5"/>
    <w:rsid w:val="00490C06"/>
    <w:rsid w:val="004959E6"/>
    <w:rsid w:val="004A3BB6"/>
    <w:rsid w:val="004B09C1"/>
    <w:rsid w:val="004B4855"/>
    <w:rsid w:val="004C427B"/>
    <w:rsid w:val="004C4B5E"/>
    <w:rsid w:val="004C705B"/>
    <w:rsid w:val="004D22A5"/>
    <w:rsid w:val="004D3224"/>
    <w:rsid w:val="004D3A08"/>
    <w:rsid w:val="004D7521"/>
    <w:rsid w:val="004E0B8B"/>
    <w:rsid w:val="004F2369"/>
    <w:rsid w:val="004F5892"/>
    <w:rsid w:val="005013B3"/>
    <w:rsid w:val="00501D30"/>
    <w:rsid w:val="00501F38"/>
    <w:rsid w:val="00506BAD"/>
    <w:rsid w:val="00506CD7"/>
    <w:rsid w:val="005109B7"/>
    <w:rsid w:val="00513C8F"/>
    <w:rsid w:val="0051412A"/>
    <w:rsid w:val="0051507F"/>
    <w:rsid w:val="005252E3"/>
    <w:rsid w:val="00532929"/>
    <w:rsid w:val="005333BA"/>
    <w:rsid w:val="00533B48"/>
    <w:rsid w:val="00536467"/>
    <w:rsid w:val="005411A8"/>
    <w:rsid w:val="00542D94"/>
    <w:rsid w:val="00543D06"/>
    <w:rsid w:val="00544242"/>
    <w:rsid w:val="005446B5"/>
    <w:rsid w:val="0054470F"/>
    <w:rsid w:val="005453B0"/>
    <w:rsid w:val="005470AE"/>
    <w:rsid w:val="005533B5"/>
    <w:rsid w:val="00557487"/>
    <w:rsid w:val="00560872"/>
    <w:rsid w:val="00560D0E"/>
    <w:rsid w:val="00563DF5"/>
    <w:rsid w:val="005654B7"/>
    <w:rsid w:val="00567E50"/>
    <w:rsid w:val="0057143D"/>
    <w:rsid w:val="00572133"/>
    <w:rsid w:val="0057684A"/>
    <w:rsid w:val="005777F5"/>
    <w:rsid w:val="00580A30"/>
    <w:rsid w:val="00580BC0"/>
    <w:rsid w:val="00582E90"/>
    <w:rsid w:val="0059077E"/>
    <w:rsid w:val="00592584"/>
    <w:rsid w:val="005964AC"/>
    <w:rsid w:val="00597E9D"/>
    <w:rsid w:val="00597EF7"/>
    <w:rsid w:val="005A03CE"/>
    <w:rsid w:val="005A2862"/>
    <w:rsid w:val="005B09B7"/>
    <w:rsid w:val="005B2318"/>
    <w:rsid w:val="005B2B33"/>
    <w:rsid w:val="005B5A7A"/>
    <w:rsid w:val="005B60AC"/>
    <w:rsid w:val="005B67AE"/>
    <w:rsid w:val="005C5BF0"/>
    <w:rsid w:val="005C6471"/>
    <w:rsid w:val="005C668B"/>
    <w:rsid w:val="005D467D"/>
    <w:rsid w:val="005D4AEC"/>
    <w:rsid w:val="005D640A"/>
    <w:rsid w:val="005E18D8"/>
    <w:rsid w:val="005E30E3"/>
    <w:rsid w:val="005E340A"/>
    <w:rsid w:val="005F1E8D"/>
    <w:rsid w:val="005F1FDA"/>
    <w:rsid w:val="005F246D"/>
    <w:rsid w:val="005F4DC0"/>
    <w:rsid w:val="005F61CF"/>
    <w:rsid w:val="00600280"/>
    <w:rsid w:val="006029D6"/>
    <w:rsid w:val="00605221"/>
    <w:rsid w:val="006066C4"/>
    <w:rsid w:val="00607390"/>
    <w:rsid w:val="00613BE7"/>
    <w:rsid w:val="00620791"/>
    <w:rsid w:val="006232EC"/>
    <w:rsid w:val="00626A43"/>
    <w:rsid w:val="00631632"/>
    <w:rsid w:val="00635255"/>
    <w:rsid w:val="0064002D"/>
    <w:rsid w:val="00642A9A"/>
    <w:rsid w:val="00643913"/>
    <w:rsid w:val="00652349"/>
    <w:rsid w:val="00655BCA"/>
    <w:rsid w:val="0065687D"/>
    <w:rsid w:val="006572CA"/>
    <w:rsid w:val="006606E0"/>
    <w:rsid w:val="006670A4"/>
    <w:rsid w:val="00676F14"/>
    <w:rsid w:val="00677034"/>
    <w:rsid w:val="00677A7E"/>
    <w:rsid w:val="00680C94"/>
    <w:rsid w:val="0068647D"/>
    <w:rsid w:val="00693BA4"/>
    <w:rsid w:val="00693E00"/>
    <w:rsid w:val="00694606"/>
    <w:rsid w:val="00695C1D"/>
    <w:rsid w:val="00696296"/>
    <w:rsid w:val="006973C4"/>
    <w:rsid w:val="006B202B"/>
    <w:rsid w:val="006B2C4E"/>
    <w:rsid w:val="006B328B"/>
    <w:rsid w:val="006B74CB"/>
    <w:rsid w:val="006C06BF"/>
    <w:rsid w:val="006C127D"/>
    <w:rsid w:val="006C6E0B"/>
    <w:rsid w:val="006D2345"/>
    <w:rsid w:val="006D3281"/>
    <w:rsid w:val="006D69B3"/>
    <w:rsid w:val="006E10CE"/>
    <w:rsid w:val="006E1136"/>
    <w:rsid w:val="006E5C82"/>
    <w:rsid w:val="006F7520"/>
    <w:rsid w:val="00702CB5"/>
    <w:rsid w:val="00703260"/>
    <w:rsid w:val="00710A67"/>
    <w:rsid w:val="00710DAA"/>
    <w:rsid w:val="007117F1"/>
    <w:rsid w:val="007119BB"/>
    <w:rsid w:val="00717636"/>
    <w:rsid w:val="007177A7"/>
    <w:rsid w:val="00720E6A"/>
    <w:rsid w:val="0072616C"/>
    <w:rsid w:val="007276AD"/>
    <w:rsid w:val="007325F3"/>
    <w:rsid w:val="0073410B"/>
    <w:rsid w:val="00734B20"/>
    <w:rsid w:val="0073513A"/>
    <w:rsid w:val="00736123"/>
    <w:rsid w:val="007371B3"/>
    <w:rsid w:val="007374F9"/>
    <w:rsid w:val="0074492F"/>
    <w:rsid w:val="00746381"/>
    <w:rsid w:val="00746A43"/>
    <w:rsid w:val="007532A4"/>
    <w:rsid w:val="00753665"/>
    <w:rsid w:val="0075466C"/>
    <w:rsid w:val="00754AB9"/>
    <w:rsid w:val="00767C3A"/>
    <w:rsid w:val="00777605"/>
    <w:rsid w:val="00782490"/>
    <w:rsid w:val="007907A7"/>
    <w:rsid w:val="007947CC"/>
    <w:rsid w:val="007949B6"/>
    <w:rsid w:val="00795897"/>
    <w:rsid w:val="00796DB7"/>
    <w:rsid w:val="007A3180"/>
    <w:rsid w:val="007A3F61"/>
    <w:rsid w:val="007A5668"/>
    <w:rsid w:val="007A6A39"/>
    <w:rsid w:val="007A7572"/>
    <w:rsid w:val="007B0EC1"/>
    <w:rsid w:val="007B100A"/>
    <w:rsid w:val="007B21A5"/>
    <w:rsid w:val="007B2AD6"/>
    <w:rsid w:val="007B3938"/>
    <w:rsid w:val="007C6AEC"/>
    <w:rsid w:val="007D29B8"/>
    <w:rsid w:val="007D799D"/>
    <w:rsid w:val="007E199A"/>
    <w:rsid w:val="007E4979"/>
    <w:rsid w:val="007F4310"/>
    <w:rsid w:val="007F44F4"/>
    <w:rsid w:val="007F6552"/>
    <w:rsid w:val="007F7DBD"/>
    <w:rsid w:val="00802F0D"/>
    <w:rsid w:val="0081036F"/>
    <w:rsid w:val="0081136A"/>
    <w:rsid w:val="00811B37"/>
    <w:rsid w:val="00813464"/>
    <w:rsid w:val="00814D30"/>
    <w:rsid w:val="008168FD"/>
    <w:rsid w:val="00831448"/>
    <w:rsid w:val="00840DAA"/>
    <w:rsid w:val="0084197B"/>
    <w:rsid w:val="0084740A"/>
    <w:rsid w:val="00856083"/>
    <w:rsid w:val="00857878"/>
    <w:rsid w:val="00857E1B"/>
    <w:rsid w:val="008634C2"/>
    <w:rsid w:val="00864EEA"/>
    <w:rsid w:val="00865E4F"/>
    <w:rsid w:val="00866663"/>
    <w:rsid w:val="00867AAD"/>
    <w:rsid w:val="00870CF0"/>
    <w:rsid w:val="00871510"/>
    <w:rsid w:val="0087200B"/>
    <w:rsid w:val="00873BE7"/>
    <w:rsid w:val="0087706C"/>
    <w:rsid w:val="00877929"/>
    <w:rsid w:val="008810D4"/>
    <w:rsid w:val="00882BA1"/>
    <w:rsid w:val="00883915"/>
    <w:rsid w:val="00886A15"/>
    <w:rsid w:val="008A2249"/>
    <w:rsid w:val="008A51DB"/>
    <w:rsid w:val="008A56A3"/>
    <w:rsid w:val="008A6964"/>
    <w:rsid w:val="008B3E8F"/>
    <w:rsid w:val="008C0056"/>
    <w:rsid w:val="008C21E1"/>
    <w:rsid w:val="008D3A26"/>
    <w:rsid w:val="008D4444"/>
    <w:rsid w:val="008D76F6"/>
    <w:rsid w:val="008E6380"/>
    <w:rsid w:val="008F0F33"/>
    <w:rsid w:val="008F2F17"/>
    <w:rsid w:val="008F2F5C"/>
    <w:rsid w:val="008F3930"/>
    <w:rsid w:val="008F5797"/>
    <w:rsid w:val="009062AE"/>
    <w:rsid w:val="0090706B"/>
    <w:rsid w:val="00907928"/>
    <w:rsid w:val="00912A1C"/>
    <w:rsid w:val="009169D1"/>
    <w:rsid w:val="00923B0D"/>
    <w:rsid w:val="0092478E"/>
    <w:rsid w:val="0093060B"/>
    <w:rsid w:val="0093146A"/>
    <w:rsid w:val="00937A11"/>
    <w:rsid w:val="009417F7"/>
    <w:rsid w:val="009426F3"/>
    <w:rsid w:val="009472D1"/>
    <w:rsid w:val="00950693"/>
    <w:rsid w:val="009550E3"/>
    <w:rsid w:val="00957793"/>
    <w:rsid w:val="00963C9F"/>
    <w:rsid w:val="00963F49"/>
    <w:rsid w:val="0096517C"/>
    <w:rsid w:val="00966619"/>
    <w:rsid w:val="00972FAD"/>
    <w:rsid w:val="00973117"/>
    <w:rsid w:val="009773F2"/>
    <w:rsid w:val="00984AEC"/>
    <w:rsid w:val="00984FDC"/>
    <w:rsid w:val="00991526"/>
    <w:rsid w:val="00991DED"/>
    <w:rsid w:val="00997F6C"/>
    <w:rsid w:val="009A0E76"/>
    <w:rsid w:val="009A5BC4"/>
    <w:rsid w:val="009A7A02"/>
    <w:rsid w:val="009B0BC5"/>
    <w:rsid w:val="009B34AC"/>
    <w:rsid w:val="009B5887"/>
    <w:rsid w:val="009C38C0"/>
    <w:rsid w:val="009C3CB0"/>
    <w:rsid w:val="009C413F"/>
    <w:rsid w:val="009C4CA6"/>
    <w:rsid w:val="009C56D1"/>
    <w:rsid w:val="009C6B4B"/>
    <w:rsid w:val="009D18C2"/>
    <w:rsid w:val="009D3693"/>
    <w:rsid w:val="009D5A36"/>
    <w:rsid w:val="009E34D5"/>
    <w:rsid w:val="009E4054"/>
    <w:rsid w:val="009E53E8"/>
    <w:rsid w:val="009F4D35"/>
    <w:rsid w:val="009F7A5A"/>
    <w:rsid w:val="00A05331"/>
    <w:rsid w:val="00A063E8"/>
    <w:rsid w:val="00A070B7"/>
    <w:rsid w:val="00A07270"/>
    <w:rsid w:val="00A13691"/>
    <w:rsid w:val="00A13924"/>
    <w:rsid w:val="00A14752"/>
    <w:rsid w:val="00A17A08"/>
    <w:rsid w:val="00A2461C"/>
    <w:rsid w:val="00A26978"/>
    <w:rsid w:val="00A3043E"/>
    <w:rsid w:val="00A31976"/>
    <w:rsid w:val="00A36110"/>
    <w:rsid w:val="00A36734"/>
    <w:rsid w:val="00A369AC"/>
    <w:rsid w:val="00A43021"/>
    <w:rsid w:val="00A4449C"/>
    <w:rsid w:val="00A4461A"/>
    <w:rsid w:val="00A459DE"/>
    <w:rsid w:val="00A50D02"/>
    <w:rsid w:val="00A5508E"/>
    <w:rsid w:val="00A62216"/>
    <w:rsid w:val="00A6280D"/>
    <w:rsid w:val="00A65102"/>
    <w:rsid w:val="00A65913"/>
    <w:rsid w:val="00A70A4D"/>
    <w:rsid w:val="00A7229C"/>
    <w:rsid w:val="00A7445E"/>
    <w:rsid w:val="00A74E0F"/>
    <w:rsid w:val="00A8003F"/>
    <w:rsid w:val="00A80E09"/>
    <w:rsid w:val="00A81698"/>
    <w:rsid w:val="00A83DD5"/>
    <w:rsid w:val="00A851E3"/>
    <w:rsid w:val="00A858A9"/>
    <w:rsid w:val="00A9012A"/>
    <w:rsid w:val="00A93CC5"/>
    <w:rsid w:val="00A93DF6"/>
    <w:rsid w:val="00AA4840"/>
    <w:rsid w:val="00AA7C1B"/>
    <w:rsid w:val="00AB3B75"/>
    <w:rsid w:val="00AC08D2"/>
    <w:rsid w:val="00AC1BEE"/>
    <w:rsid w:val="00AC3E56"/>
    <w:rsid w:val="00AC4BDA"/>
    <w:rsid w:val="00AC720D"/>
    <w:rsid w:val="00AD0C81"/>
    <w:rsid w:val="00AD1B33"/>
    <w:rsid w:val="00AD24B5"/>
    <w:rsid w:val="00AD2AB5"/>
    <w:rsid w:val="00AE1EED"/>
    <w:rsid w:val="00AE3C17"/>
    <w:rsid w:val="00AE5B1B"/>
    <w:rsid w:val="00AE68CA"/>
    <w:rsid w:val="00AF14B2"/>
    <w:rsid w:val="00AF2783"/>
    <w:rsid w:val="00AF57B3"/>
    <w:rsid w:val="00AF7F4E"/>
    <w:rsid w:val="00B00EDD"/>
    <w:rsid w:val="00B01574"/>
    <w:rsid w:val="00B04E3B"/>
    <w:rsid w:val="00B05CE0"/>
    <w:rsid w:val="00B10FC9"/>
    <w:rsid w:val="00B11937"/>
    <w:rsid w:val="00B12498"/>
    <w:rsid w:val="00B14460"/>
    <w:rsid w:val="00B17DC8"/>
    <w:rsid w:val="00B21E09"/>
    <w:rsid w:val="00B26C3D"/>
    <w:rsid w:val="00B275AC"/>
    <w:rsid w:val="00B27734"/>
    <w:rsid w:val="00B32201"/>
    <w:rsid w:val="00B366DB"/>
    <w:rsid w:val="00B37667"/>
    <w:rsid w:val="00B44B46"/>
    <w:rsid w:val="00B44BFF"/>
    <w:rsid w:val="00B5117D"/>
    <w:rsid w:val="00B532DB"/>
    <w:rsid w:val="00B53D08"/>
    <w:rsid w:val="00B545CC"/>
    <w:rsid w:val="00B54794"/>
    <w:rsid w:val="00B56C5A"/>
    <w:rsid w:val="00B57FB6"/>
    <w:rsid w:val="00B633B7"/>
    <w:rsid w:val="00B659BB"/>
    <w:rsid w:val="00B72A6C"/>
    <w:rsid w:val="00B72B74"/>
    <w:rsid w:val="00B81572"/>
    <w:rsid w:val="00B94111"/>
    <w:rsid w:val="00B94F0A"/>
    <w:rsid w:val="00B95FED"/>
    <w:rsid w:val="00BA18F6"/>
    <w:rsid w:val="00BA224C"/>
    <w:rsid w:val="00BA2D2A"/>
    <w:rsid w:val="00BA3731"/>
    <w:rsid w:val="00BA4854"/>
    <w:rsid w:val="00BB2ACB"/>
    <w:rsid w:val="00BC21F0"/>
    <w:rsid w:val="00BC4488"/>
    <w:rsid w:val="00BD46BF"/>
    <w:rsid w:val="00BD5583"/>
    <w:rsid w:val="00BE0236"/>
    <w:rsid w:val="00BE0FFD"/>
    <w:rsid w:val="00BE13B4"/>
    <w:rsid w:val="00BE2AB7"/>
    <w:rsid w:val="00BE4369"/>
    <w:rsid w:val="00BE4587"/>
    <w:rsid w:val="00BE5400"/>
    <w:rsid w:val="00BE68F3"/>
    <w:rsid w:val="00BE6B2A"/>
    <w:rsid w:val="00BF1EBD"/>
    <w:rsid w:val="00BF3528"/>
    <w:rsid w:val="00BF7294"/>
    <w:rsid w:val="00C03955"/>
    <w:rsid w:val="00C04862"/>
    <w:rsid w:val="00C148E9"/>
    <w:rsid w:val="00C21468"/>
    <w:rsid w:val="00C23A4F"/>
    <w:rsid w:val="00C2731D"/>
    <w:rsid w:val="00C27FFB"/>
    <w:rsid w:val="00C313AC"/>
    <w:rsid w:val="00C405E9"/>
    <w:rsid w:val="00C40E20"/>
    <w:rsid w:val="00C46EDE"/>
    <w:rsid w:val="00C47FA9"/>
    <w:rsid w:val="00C55730"/>
    <w:rsid w:val="00C571F2"/>
    <w:rsid w:val="00C6447C"/>
    <w:rsid w:val="00C702DB"/>
    <w:rsid w:val="00C81264"/>
    <w:rsid w:val="00C83737"/>
    <w:rsid w:val="00C84B60"/>
    <w:rsid w:val="00C91F4E"/>
    <w:rsid w:val="00C920DC"/>
    <w:rsid w:val="00C972F3"/>
    <w:rsid w:val="00CA3148"/>
    <w:rsid w:val="00CA3F28"/>
    <w:rsid w:val="00CA5864"/>
    <w:rsid w:val="00CD0493"/>
    <w:rsid w:val="00CD1F0C"/>
    <w:rsid w:val="00CD1F19"/>
    <w:rsid w:val="00CD7684"/>
    <w:rsid w:val="00CE03A4"/>
    <w:rsid w:val="00CE03C4"/>
    <w:rsid w:val="00CE1816"/>
    <w:rsid w:val="00CE6EEC"/>
    <w:rsid w:val="00CE71A4"/>
    <w:rsid w:val="00CF277F"/>
    <w:rsid w:val="00CF3F10"/>
    <w:rsid w:val="00CF46DC"/>
    <w:rsid w:val="00CF51E0"/>
    <w:rsid w:val="00CF60FD"/>
    <w:rsid w:val="00CF78B0"/>
    <w:rsid w:val="00D00DFD"/>
    <w:rsid w:val="00D03812"/>
    <w:rsid w:val="00D045C6"/>
    <w:rsid w:val="00D048F7"/>
    <w:rsid w:val="00D05054"/>
    <w:rsid w:val="00D10492"/>
    <w:rsid w:val="00D11271"/>
    <w:rsid w:val="00D125F6"/>
    <w:rsid w:val="00D21F38"/>
    <w:rsid w:val="00D226F1"/>
    <w:rsid w:val="00D238E3"/>
    <w:rsid w:val="00D241DE"/>
    <w:rsid w:val="00D2549B"/>
    <w:rsid w:val="00D26A23"/>
    <w:rsid w:val="00D31218"/>
    <w:rsid w:val="00D31FDA"/>
    <w:rsid w:val="00D32BA7"/>
    <w:rsid w:val="00D37892"/>
    <w:rsid w:val="00D4055A"/>
    <w:rsid w:val="00D4302A"/>
    <w:rsid w:val="00D45D49"/>
    <w:rsid w:val="00D500BB"/>
    <w:rsid w:val="00D52350"/>
    <w:rsid w:val="00D56072"/>
    <w:rsid w:val="00D56910"/>
    <w:rsid w:val="00D56B38"/>
    <w:rsid w:val="00D57167"/>
    <w:rsid w:val="00D634E8"/>
    <w:rsid w:val="00D65093"/>
    <w:rsid w:val="00D658D0"/>
    <w:rsid w:val="00D70222"/>
    <w:rsid w:val="00D70F8A"/>
    <w:rsid w:val="00D71EFE"/>
    <w:rsid w:val="00D73EA4"/>
    <w:rsid w:val="00D773CE"/>
    <w:rsid w:val="00D82891"/>
    <w:rsid w:val="00D8323E"/>
    <w:rsid w:val="00D8583A"/>
    <w:rsid w:val="00D92118"/>
    <w:rsid w:val="00D933C7"/>
    <w:rsid w:val="00D968D6"/>
    <w:rsid w:val="00D96A1E"/>
    <w:rsid w:val="00DA0029"/>
    <w:rsid w:val="00DA2438"/>
    <w:rsid w:val="00DA4E2B"/>
    <w:rsid w:val="00DA58C4"/>
    <w:rsid w:val="00DA622C"/>
    <w:rsid w:val="00DB1AD6"/>
    <w:rsid w:val="00DC1C0B"/>
    <w:rsid w:val="00DC229F"/>
    <w:rsid w:val="00DC69D9"/>
    <w:rsid w:val="00DC6A05"/>
    <w:rsid w:val="00DC6BC0"/>
    <w:rsid w:val="00DD1CD9"/>
    <w:rsid w:val="00DD32CF"/>
    <w:rsid w:val="00DD3DF5"/>
    <w:rsid w:val="00DD4A34"/>
    <w:rsid w:val="00DD4A41"/>
    <w:rsid w:val="00DE10BD"/>
    <w:rsid w:val="00DE176C"/>
    <w:rsid w:val="00DE2335"/>
    <w:rsid w:val="00DE251A"/>
    <w:rsid w:val="00DE4605"/>
    <w:rsid w:val="00DE5233"/>
    <w:rsid w:val="00DE64B7"/>
    <w:rsid w:val="00DF1DCE"/>
    <w:rsid w:val="00DF408B"/>
    <w:rsid w:val="00DF6D4D"/>
    <w:rsid w:val="00E06893"/>
    <w:rsid w:val="00E0792F"/>
    <w:rsid w:val="00E148F7"/>
    <w:rsid w:val="00E175AD"/>
    <w:rsid w:val="00E20046"/>
    <w:rsid w:val="00E21A5F"/>
    <w:rsid w:val="00E21F96"/>
    <w:rsid w:val="00E2211A"/>
    <w:rsid w:val="00E24103"/>
    <w:rsid w:val="00E24280"/>
    <w:rsid w:val="00E255B8"/>
    <w:rsid w:val="00E3109C"/>
    <w:rsid w:val="00E32512"/>
    <w:rsid w:val="00E326D6"/>
    <w:rsid w:val="00E32F69"/>
    <w:rsid w:val="00E36FA9"/>
    <w:rsid w:val="00E37A4A"/>
    <w:rsid w:val="00E419B6"/>
    <w:rsid w:val="00E47E48"/>
    <w:rsid w:val="00E53D3D"/>
    <w:rsid w:val="00E55A0E"/>
    <w:rsid w:val="00E56D6D"/>
    <w:rsid w:val="00E570C0"/>
    <w:rsid w:val="00E57ACE"/>
    <w:rsid w:val="00E61856"/>
    <w:rsid w:val="00E7418D"/>
    <w:rsid w:val="00E754A5"/>
    <w:rsid w:val="00E75D6A"/>
    <w:rsid w:val="00E80980"/>
    <w:rsid w:val="00E81981"/>
    <w:rsid w:val="00E82EEB"/>
    <w:rsid w:val="00E8392F"/>
    <w:rsid w:val="00E85606"/>
    <w:rsid w:val="00E92AC5"/>
    <w:rsid w:val="00E93EC5"/>
    <w:rsid w:val="00E96FB9"/>
    <w:rsid w:val="00E97F1F"/>
    <w:rsid w:val="00EA04CB"/>
    <w:rsid w:val="00EA2C32"/>
    <w:rsid w:val="00EA4CE1"/>
    <w:rsid w:val="00EB66D9"/>
    <w:rsid w:val="00EB6B00"/>
    <w:rsid w:val="00EB6B22"/>
    <w:rsid w:val="00ED1D58"/>
    <w:rsid w:val="00ED2051"/>
    <w:rsid w:val="00ED3BBC"/>
    <w:rsid w:val="00ED4298"/>
    <w:rsid w:val="00ED538C"/>
    <w:rsid w:val="00EE49FB"/>
    <w:rsid w:val="00EF226E"/>
    <w:rsid w:val="00EF23C6"/>
    <w:rsid w:val="00EF44B8"/>
    <w:rsid w:val="00F00D42"/>
    <w:rsid w:val="00F01D0D"/>
    <w:rsid w:val="00F01D6B"/>
    <w:rsid w:val="00F0241D"/>
    <w:rsid w:val="00F06BC4"/>
    <w:rsid w:val="00F10A19"/>
    <w:rsid w:val="00F119C3"/>
    <w:rsid w:val="00F11DE4"/>
    <w:rsid w:val="00F134E9"/>
    <w:rsid w:val="00F14743"/>
    <w:rsid w:val="00F154E4"/>
    <w:rsid w:val="00F2332D"/>
    <w:rsid w:val="00F23CF8"/>
    <w:rsid w:val="00F2586E"/>
    <w:rsid w:val="00F32D7A"/>
    <w:rsid w:val="00F3374D"/>
    <w:rsid w:val="00F40DA7"/>
    <w:rsid w:val="00F42FC9"/>
    <w:rsid w:val="00F43668"/>
    <w:rsid w:val="00F4374D"/>
    <w:rsid w:val="00F45ED9"/>
    <w:rsid w:val="00F544BD"/>
    <w:rsid w:val="00F54586"/>
    <w:rsid w:val="00F61B23"/>
    <w:rsid w:val="00F627D7"/>
    <w:rsid w:val="00F63A24"/>
    <w:rsid w:val="00F64820"/>
    <w:rsid w:val="00F70446"/>
    <w:rsid w:val="00F739F5"/>
    <w:rsid w:val="00F76AA6"/>
    <w:rsid w:val="00F81D28"/>
    <w:rsid w:val="00F8257B"/>
    <w:rsid w:val="00F919CE"/>
    <w:rsid w:val="00F97459"/>
    <w:rsid w:val="00F97A8F"/>
    <w:rsid w:val="00F97B7E"/>
    <w:rsid w:val="00FA08D3"/>
    <w:rsid w:val="00FC25C0"/>
    <w:rsid w:val="00FC5299"/>
    <w:rsid w:val="00FD1FBC"/>
    <w:rsid w:val="00FD3745"/>
    <w:rsid w:val="00FD6456"/>
    <w:rsid w:val="00FD7BD3"/>
    <w:rsid w:val="00FE75EA"/>
    <w:rsid w:val="00FF05CC"/>
    <w:rsid w:val="00FF23F5"/>
    <w:rsid w:val="00FF53A9"/>
  </w:rsids>
  <w:themeFontLang w:eastAsia="zh-CN" w:val="en-AU"/>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2"/>
        <w:szCs w:val="22"/>
        <w:lang w:bidi="ar-SA" w:eastAsia="en-US" w:val="en-AU"/>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semiHidden="1" w:uiPriority="9" w:unhideWhenUsed="1"/>
    <w:lsdException w:name="heading 8"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qFormat="1"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qFormat="1" w:semiHidden="1" w:uiPriority="0" w:unhideWhenUsed="1"/>
    <w:lsdException w:name="List Bullet 3" w:semiHidden="1" w:uiPriority="0" w:unhideWhenUsed="1"/>
    <w:lsdException w:name="List Bullet 4" w:semiHidden="1" w:uiPriority="0"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3E16B5"/>
    <w:pPr>
      <w:spacing w:after="120" w:line="276" w:lineRule="auto"/>
    </w:pPr>
    <w:rPr>
      <w:sz w:val="18"/>
      <w:szCs w:val="18"/>
    </w:rPr>
  </w:style>
  <w:style w:styleId="Heading1" w:type="paragraph">
    <w:name w:val="heading 1"/>
    <w:basedOn w:val="Normal"/>
    <w:next w:val="Normal"/>
    <w:link w:val="Heading1Char"/>
    <w:uiPriority w:val="9"/>
    <w:qFormat/>
    <w:rsid w:val="00F42FC9"/>
    <w:pPr>
      <w:keepNext/>
      <w:keepLines/>
      <w:spacing w:after="0" w:before="1440"/>
      <w:outlineLvl w:val="0"/>
    </w:pPr>
    <w:rPr>
      <w:rFonts w:asciiTheme="majorHAnsi" w:cstheme="majorBidi" w:eastAsiaTheme="majorEastAsia" w:hAnsiTheme="majorHAnsi"/>
      <w:b/>
      <w:color w:themeColor="background1" w:val="FFFFFF"/>
      <w:sz w:val="58"/>
      <w:szCs w:val="58"/>
    </w:rPr>
  </w:style>
  <w:style w:styleId="Heading2" w:type="paragraph">
    <w:name w:val="heading 2"/>
    <w:basedOn w:val="Normal"/>
    <w:next w:val="Normal"/>
    <w:link w:val="Heading2Char"/>
    <w:uiPriority w:val="9"/>
    <w:unhideWhenUsed/>
    <w:qFormat/>
    <w:rsid w:val="005F61CF"/>
    <w:pPr>
      <w:keepNext/>
      <w:keepLines/>
      <w:outlineLvl w:val="1"/>
    </w:pPr>
    <w:rPr>
      <w:rFonts w:cstheme="majorBidi" w:eastAsiaTheme="majorEastAsia"/>
      <w:color w:themeColor="background1" w:val="FFFFFF"/>
      <w:sz w:val="44"/>
      <w:szCs w:val="26"/>
    </w:rPr>
  </w:style>
  <w:style w:styleId="Heading3" w:type="paragraph">
    <w:name w:val="heading 3"/>
    <w:basedOn w:val="Normal"/>
    <w:next w:val="Normal"/>
    <w:link w:val="Heading3Char"/>
    <w:uiPriority w:val="9"/>
    <w:unhideWhenUsed/>
    <w:qFormat/>
    <w:rsid w:val="00F42FC9"/>
    <w:pPr>
      <w:keepNext/>
      <w:keepLines/>
      <w:spacing w:after="1320" w:before="280"/>
      <w:contextualSpacing/>
      <w:outlineLvl w:val="2"/>
    </w:pPr>
    <w:rPr>
      <w:rFonts w:cstheme="majorBidi" w:eastAsiaTheme="majorEastAsia"/>
      <w:color w:themeColor="background1" w:val="FFFFFF"/>
      <w:sz w:val="24"/>
      <w:szCs w:val="28"/>
    </w:rPr>
  </w:style>
  <w:style w:styleId="Heading4" w:type="paragraph">
    <w:name w:val="heading 4"/>
    <w:basedOn w:val="Normal"/>
    <w:next w:val="Normal"/>
    <w:link w:val="Heading4Char"/>
    <w:uiPriority w:val="9"/>
    <w:unhideWhenUsed/>
    <w:qFormat/>
    <w:rsid w:val="00F42FC9"/>
    <w:pPr>
      <w:spacing w:after="0" w:before="720"/>
      <w:outlineLvl w:val="3"/>
    </w:pPr>
    <w:rPr>
      <w:rFonts w:asciiTheme="majorHAnsi" w:cstheme="majorHAnsi" w:hAnsiTheme="majorHAnsi"/>
      <w:b/>
      <w:bCs/>
      <w:sz w:val="36"/>
      <w:szCs w:val="28"/>
    </w:rPr>
  </w:style>
  <w:style w:styleId="Heading5" w:type="paragraph">
    <w:name w:val="heading 5"/>
    <w:basedOn w:val="Heading4"/>
    <w:next w:val="Normal"/>
    <w:link w:val="Heading5Char"/>
    <w:uiPriority w:val="9"/>
    <w:unhideWhenUsed/>
    <w:qFormat/>
    <w:rsid w:val="001F7744"/>
    <w:pPr>
      <w:outlineLvl w:val="4"/>
    </w:pPr>
    <w:rPr>
      <w:rFonts w:cstheme="majorBidi" w:eastAsiaTheme="majorEastAsia"/>
      <w:color w:val="012749"/>
      <w:sz w:val="28"/>
    </w:rPr>
  </w:style>
  <w:style w:styleId="Heading6" w:type="paragraph">
    <w:name w:val="heading 6"/>
    <w:basedOn w:val="Normal"/>
    <w:next w:val="Normal"/>
    <w:link w:val="Heading6Char"/>
    <w:uiPriority w:val="9"/>
    <w:unhideWhenUsed/>
    <w:qFormat/>
    <w:rsid w:val="00F01D6B"/>
    <w:pPr>
      <w:keepNext/>
      <w:keepLines/>
      <w:spacing w:after="0" w:before="240"/>
      <w:outlineLvl w:val="5"/>
    </w:pPr>
    <w:rPr>
      <w:rFonts w:asciiTheme="majorHAnsi" w:cstheme="majorBidi" w:eastAsiaTheme="majorEastAsia" w:hAnsiTheme="majorHAnsi"/>
      <w:color w:themeColor="accent1" w:themeShade="7F" w:val="341461"/>
    </w:rPr>
  </w:style>
  <w:style w:styleId="Heading7" w:type="paragraph">
    <w:name w:val="heading 7"/>
    <w:basedOn w:val="Normal"/>
    <w:next w:val="Normal"/>
    <w:link w:val="Heading7Char"/>
    <w:uiPriority w:val="9"/>
    <w:unhideWhenUsed/>
    <w:rsid w:val="00642A9A"/>
    <w:pPr>
      <w:keepNext/>
      <w:keepLines/>
      <w:spacing w:after="0" w:before="240"/>
      <w:outlineLvl w:val="6"/>
    </w:pPr>
    <w:rPr>
      <w:rFonts w:asciiTheme="majorHAnsi" w:cstheme="majorBidi" w:eastAsiaTheme="majorEastAsia" w:hAnsiTheme="majorHAnsi"/>
      <w:i/>
      <w:iCs/>
      <w:color w:themeColor="accent1" w:themeShade="7F" w:val="341461"/>
    </w:rPr>
  </w:style>
  <w:style w:styleId="Heading8" w:type="paragraph">
    <w:name w:val="heading 8"/>
    <w:basedOn w:val="Normal"/>
    <w:next w:val="Normal"/>
    <w:link w:val="Heading8Char"/>
    <w:uiPriority w:val="9"/>
    <w:semiHidden/>
    <w:unhideWhenUsed/>
    <w:rsid w:val="00642A9A"/>
    <w:pPr>
      <w:keepNext/>
      <w:keepLines/>
      <w:spacing w:after="0" w:before="2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642A9A"/>
    <w:pPr>
      <w:keepNext/>
      <w:keepLines/>
      <w:spacing w:after="0" w:before="2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UnresolvedMention" w:type="character">
    <w:name w:val="Unresolved Mention"/>
    <w:basedOn w:val="DefaultParagraphFont"/>
    <w:uiPriority w:val="99"/>
    <w:semiHidden/>
    <w:unhideWhenUsed/>
    <w:rsid w:val="00E82EEB"/>
    <w:rPr>
      <w:color w:val="605E5C"/>
      <w:shd w:color="auto" w:fill="E1DFDD" w:val="clear"/>
    </w:rPr>
  </w:style>
  <w:style w:styleId="Footer" w:type="paragraph">
    <w:name w:val="footer"/>
    <w:basedOn w:val="Normal"/>
    <w:link w:val="FooterChar"/>
    <w:uiPriority w:val="99"/>
    <w:unhideWhenUsed/>
    <w:rsid w:val="00991526"/>
    <w:pPr>
      <w:tabs>
        <w:tab w:pos="9026" w:val="right"/>
      </w:tabs>
      <w:spacing w:after="0" w:before="20" w:line="240" w:lineRule="auto"/>
    </w:pPr>
    <w:rPr>
      <w:sz w:val="17"/>
      <w:szCs w:val="17"/>
    </w:rPr>
  </w:style>
  <w:style w:customStyle="1" w:styleId="FooterChar" w:type="character">
    <w:name w:val="Footer Char"/>
    <w:basedOn w:val="DefaultParagraphFont"/>
    <w:link w:val="Footer"/>
    <w:uiPriority w:val="99"/>
    <w:rsid w:val="00991526"/>
    <w:rPr>
      <w:color w:themeColor="text1" w:val="000000"/>
      <w:sz w:val="17"/>
      <w:szCs w:val="17"/>
    </w:rPr>
  </w:style>
  <w:style w:styleId="Title" w:type="paragraph">
    <w:name w:val="Title"/>
    <w:basedOn w:val="Normal"/>
    <w:next w:val="Normal"/>
    <w:link w:val="TitleChar"/>
    <w:uiPriority w:val="1"/>
    <w:rsid w:val="00233A75"/>
    <w:pPr>
      <w:spacing w:after="240" w:before="2600" w:line="252" w:lineRule="auto"/>
    </w:pPr>
    <w:rPr>
      <w:rFonts w:asciiTheme="majorHAnsi" w:cstheme="majorBidi" w:eastAsiaTheme="majorEastAsia" w:hAnsiTheme="majorHAnsi"/>
      <w:b/>
      <w:color w:themeColor="background1" w:val="FFFFFF"/>
      <w:spacing w:val="-2"/>
      <w:kern w:val="28"/>
      <w:sz w:val="80"/>
      <w:szCs w:val="80"/>
    </w:rPr>
  </w:style>
  <w:style w:customStyle="1" w:styleId="TitleChar" w:type="character">
    <w:name w:val="Title Char"/>
    <w:basedOn w:val="DefaultParagraphFont"/>
    <w:link w:val="Title"/>
    <w:uiPriority w:val="1"/>
    <w:rsid w:val="00233A75"/>
    <w:rPr>
      <w:rFonts w:asciiTheme="majorHAnsi" w:cstheme="majorBidi" w:eastAsiaTheme="majorEastAsia" w:hAnsiTheme="majorHAnsi"/>
      <w:b/>
      <w:color w:themeColor="background1" w:val="FFFFFF"/>
      <w:spacing w:val="-2"/>
      <w:kern w:val="28"/>
      <w:sz w:val="80"/>
      <w:szCs w:val="80"/>
    </w:rPr>
  </w:style>
  <w:style w:customStyle="1" w:styleId="Heading1Char" w:type="character">
    <w:name w:val="Heading 1 Char"/>
    <w:basedOn w:val="DefaultParagraphFont"/>
    <w:link w:val="Heading1"/>
    <w:uiPriority w:val="9"/>
    <w:rsid w:val="00F42FC9"/>
    <w:rPr>
      <w:rFonts w:asciiTheme="majorHAnsi" w:cstheme="majorBidi" w:eastAsiaTheme="majorEastAsia" w:hAnsiTheme="majorHAnsi"/>
      <w:b/>
      <w:color w:themeColor="background1" w:val="FFFFFF"/>
      <w:sz w:val="58"/>
      <w:szCs w:val="58"/>
    </w:rPr>
  </w:style>
  <w:style w:styleId="TOCHeading" w:type="paragraph">
    <w:name w:val="TOC Heading"/>
    <w:basedOn w:val="Heading1"/>
    <w:next w:val="Normal"/>
    <w:uiPriority w:val="39"/>
    <w:unhideWhenUsed/>
    <w:qFormat/>
    <w:rsid w:val="007177A7"/>
    <w:pPr>
      <w:outlineLvl w:val="9"/>
    </w:pPr>
    <w:rPr>
      <w:lang w:val="en-US"/>
    </w:rPr>
  </w:style>
  <w:style w:styleId="ListParagraph" w:type="paragraph">
    <w:name w:val="List Paragraph"/>
    <w:basedOn w:val="Normal"/>
    <w:uiPriority w:val="34"/>
    <w:qFormat/>
    <w:rsid w:val="00E148F7"/>
    <w:pPr>
      <w:ind w:left="720"/>
      <w:contextualSpacing/>
    </w:pPr>
  </w:style>
  <w:style w:styleId="TableGrid" w:type="table">
    <w:name w:val="Table Grid"/>
    <w:basedOn w:val="TableNormal"/>
    <w:uiPriority w:val="39"/>
    <w:rsid w:val="00F4366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CommentReference" w:type="character">
    <w:name w:val="annotation reference"/>
    <w:basedOn w:val="DefaultParagraphFont"/>
    <w:uiPriority w:val="99"/>
    <w:semiHidden/>
    <w:unhideWhenUsed/>
    <w:rsid w:val="007F7DBD"/>
    <w:rPr>
      <w:sz w:val="16"/>
      <w:szCs w:val="16"/>
    </w:rPr>
  </w:style>
  <w:style w:styleId="CommentText" w:type="paragraph">
    <w:name w:val="annotation text"/>
    <w:basedOn w:val="Normal"/>
    <w:link w:val="CommentTextChar"/>
    <w:uiPriority w:val="99"/>
    <w:unhideWhenUsed/>
    <w:rsid w:val="007F7DBD"/>
    <w:pPr>
      <w:spacing w:line="240" w:lineRule="auto"/>
    </w:pPr>
    <w:rPr>
      <w:sz w:val="20"/>
      <w:szCs w:val="20"/>
    </w:rPr>
  </w:style>
  <w:style w:customStyle="1" w:styleId="CommentTextChar" w:type="character">
    <w:name w:val="Comment Text Char"/>
    <w:basedOn w:val="DefaultParagraphFont"/>
    <w:link w:val="CommentText"/>
    <w:uiPriority w:val="99"/>
    <w:rsid w:val="007F7DBD"/>
    <w:rPr>
      <w:sz w:val="20"/>
      <w:szCs w:val="20"/>
    </w:rPr>
  </w:style>
  <w:style w:styleId="CommentSubject" w:type="paragraph">
    <w:name w:val="annotation subject"/>
    <w:basedOn w:val="CommentText"/>
    <w:next w:val="CommentText"/>
    <w:link w:val="CommentSubjectChar"/>
    <w:uiPriority w:val="99"/>
    <w:semiHidden/>
    <w:unhideWhenUsed/>
    <w:rsid w:val="007F7DBD"/>
    <w:rPr>
      <w:b/>
      <w:bCs/>
    </w:rPr>
  </w:style>
  <w:style w:customStyle="1" w:styleId="CommentSubjectChar" w:type="character">
    <w:name w:val="Comment Subject Char"/>
    <w:basedOn w:val="CommentTextChar"/>
    <w:link w:val="CommentSubject"/>
    <w:uiPriority w:val="99"/>
    <w:semiHidden/>
    <w:rsid w:val="007F7DBD"/>
    <w:rPr>
      <w:b/>
      <w:bCs/>
      <w:sz w:val="20"/>
      <w:szCs w:val="20"/>
    </w:rPr>
  </w:style>
  <w:style w:styleId="NoSpacing" w:type="paragraph">
    <w:name w:val="No Spacing"/>
    <w:uiPriority w:val="1"/>
    <w:qFormat/>
    <w:rsid w:val="00A62216"/>
    <w:pPr>
      <w:spacing w:after="0" w:line="240" w:lineRule="auto"/>
    </w:pPr>
  </w:style>
  <w:style w:styleId="PlainTable4" w:type="table">
    <w:name w:val="Plain Table 4"/>
    <w:basedOn w:val="TableNormal"/>
    <w:uiPriority w:val="44"/>
    <w:rsid w:val="006066C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styleId="ListBullet" w:type="paragraph">
    <w:name w:val="List Bullet"/>
    <w:basedOn w:val="Normal"/>
    <w:qFormat/>
    <w:rsid w:val="00795897"/>
    <w:pPr>
      <w:numPr>
        <w:numId w:val="7"/>
      </w:numPr>
      <w:spacing w:after="20" w:before="40"/>
      <w:ind w:hanging="284" w:left="284"/>
    </w:pPr>
    <w:rPr>
      <w:rFonts w:cs="Times New Roman" w:eastAsia="SimSun"/>
      <w:szCs w:val="20"/>
      <w:lang w:eastAsia="en-GB" w:val="en-GB"/>
    </w:rPr>
  </w:style>
  <w:style w:customStyle="1" w:styleId="Heading2Char" w:type="character">
    <w:name w:val="Heading 2 Char"/>
    <w:basedOn w:val="DefaultParagraphFont"/>
    <w:link w:val="Heading2"/>
    <w:uiPriority w:val="9"/>
    <w:rsid w:val="005F61CF"/>
    <w:rPr>
      <w:rFonts w:cstheme="majorBidi" w:eastAsiaTheme="majorEastAsia"/>
      <w:color w:themeColor="background1" w:val="FFFFFF"/>
      <w:sz w:val="44"/>
      <w:szCs w:val="26"/>
    </w:rPr>
  </w:style>
  <w:style w:styleId="TOC1" w:type="paragraph">
    <w:name w:val="toc 1"/>
    <w:basedOn w:val="Normal"/>
    <w:next w:val="Normal"/>
    <w:uiPriority w:val="39"/>
    <w:unhideWhenUsed/>
    <w:rsid w:val="00A3043E"/>
    <w:rPr>
      <w:b/>
      <w:color w:themeColor="text2" w:val="4B0885"/>
    </w:rPr>
  </w:style>
  <w:style w:customStyle="1" w:styleId="Heading3Char" w:type="character">
    <w:name w:val="Heading 3 Char"/>
    <w:basedOn w:val="DefaultParagraphFont"/>
    <w:link w:val="Heading3"/>
    <w:uiPriority w:val="9"/>
    <w:rsid w:val="00F42FC9"/>
    <w:rPr>
      <w:rFonts w:cstheme="majorBidi" w:eastAsiaTheme="majorEastAsia"/>
      <w:color w:themeColor="background1" w:val="FFFFFF"/>
      <w:sz w:val="24"/>
      <w:szCs w:val="28"/>
    </w:rPr>
  </w:style>
  <w:style w:styleId="TOC2" w:type="paragraph">
    <w:name w:val="toc 2"/>
    <w:basedOn w:val="Normal"/>
    <w:next w:val="Normal"/>
    <w:uiPriority w:val="39"/>
    <w:unhideWhenUsed/>
    <w:rsid w:val="00233A75"/>
    <w:pPr>
      <w:ind w:left="227"/>
    </w:pPr>
  </w:style>
  <w:style w:styleId="TOC4" w:type="paragraph">
    <w:name w:val="toc 4"/>
    <w:basedOn w:val="Normal"/>
    <w:next w:val="Normal"/>
    <w:autoRedefine/>
    <w:uiPriority w:val="39"/>
    <w:unhideWhenUsed/>
    <w:rsid w:val="007B2AD6"/>
    <w:pPr>
      <w:tabs>
        <w:tab w:leader="dot" w:pos="9016" w:val="right"/>
      </w:tabs>
      <w:ind w:left="220"/>
    </w:pPr>
  </w:style>
  <w:style w:styleId="TOC3" w:type="paragraph">
    <w:name w:val="toc 3"/>
    <w:basedOn w:val="Normal"/>
    <w:next w:val="Normal"/>
    <w:uiPriority w:val="39"/>
    <w:unhideWhenUsed/>
    <w:rsid w:val="00233A75"/>
    <w:pPr>
      <w:tabs>
        <w:tab w:leader="dot" w:pos="9016" w:val="right"/>
      </w:tabs>
      <w:ind w:left="454"/>
    </w:pPr>
  </w:style>
  <w:style w:styleId="TOC5" w:type="paragraph">
    <w:name w:val="toc 5"/>
    <w:basedOn w:val="Normal"/>
    <w:next w:val="Normal"/>
    <w:autoRedefine/>
    <w:uiPriority w:val="39"/>
    <w:unhideWhenUsed/>
    <w:rsid w:val="007B2AD6"/>
    <w:pPr>
      <w:tabs>
        <w:tab w:leader="dot" w:pos="9016" w:val="right"/>
      </w:tabs>
      <w:ind w:left="220"/>
    </w:pPr>
  </w:style>
  <w:style w:styleId="Hyperlink" w:type="character">
    <w:name w:val="Hyperlink"/>
    <w:basedOn w:val="DefaultParagraphFont"/>
    <w:uiPriority w:val="99"/>
    <w:unhideWhenUsed/>
    <w:rsid w:val="00A93DF6"/>
    <w:rPr>
      <w:color w:themeColor="hyperlink" w:val="013D74"/>
      <w:u w:val="single"/>
    </w:rPr>
  </w:style>
  <w:style w:styleId="ListBullet2" w:type="paragraph">
    <w:name w:val="List Bullet 2"/>
    <w:basedOn w:val="Normal"/>
    <w:qFormat/>
    <w:rsid w:val="00795897"/>
    <w:pPr>
      <w:numPr>
        <w:ilvl w:val="1"/>
        <w:numId w:val="7"/>
      </w:numPr>
      <w:spacing w:after="60"/>
      <w:ind w:hanging="284" w:left="568"/>
    </w:pPr>
    <w:rPr>
      <w:rFonts w:cs="Times New Roman" w:eastAsia="SimSun"/>
      <w:spacing w:val="-1"/>
      <w:szCs w:val="20"/>
      <w:lang w:eastAsia="en-GB" w:val="en-GB"/>
    </w:rPr>
  </w:style>
  <w:style w:styleId="ListBullet3" w:type="paragraph">
    <w:name w:val="List Bullet 3"/>
    <w:basedOn w:val="Normal"/>
    <w:rsid w:val="00BE68F3"/>
    <w:pPr>
      <w:numPr>
        <w:ilvl w:val="2"/>
        <w:numId w:val="7"/>
      </w:numPr>
      <w:spacing w:line="240" w:lineRule="atLeast"/>
    </w:pPr>
    <w:rPr>
      <w:rFonts w:cs="Times New Roman" w:eastAsia="SimSun"/>
      <w:spacing w:val="-1"/>
      <w:szCs w:val="20"/>
      <w:lang w:eastAsia="en-GB" w:val="en-GB"/>
    </w:rPr>
  </w:style>
  <w:style w:styleId="ListBullet4" w:type="paragraph">
    <w:name w:val="List Bullet 4"/>
    <w:basedOn w:val="ListBullet3"/>
    <w:semiHidden/>
    <w:rsid w:val="00597EF7"/>
    <w:pPr>
      <w:numPr>
        <w:ilvl w:val="3"/>
      </w:numPr>
    </w:pPr>
  </w:style>
  <w:style w:customStyle="1" w:styleId="Heading4Char" w:type="character">
    <w:name w:val="Heading 4 Char"/>
    <w:basedOn w:val="DefaultParagraphFont"/>
    <w:link w:val="Heading4"/>
    <w:uiPriority w:val="9"/>
    <w:rsid w:val="00F42FC9"/>
    <w:rPr>
      <w:rFonts w:asciiTheme="majorHAnsi" w:cstheme="majorHAnsi" w:hAnsiTheme="majorHAnsi"/>
      <w:b/>
      <w:bCs/>
      <w:sz w:val="36"/>
      <w:szCs w:val="28"/>
    </w:rPr>
  </w:style>
  <w:style w:customStyle="1" w:styleId="Heading5Char" w:type="character">
    <w:name w:val="Heading 5 Char"/>
    <w:basedOn w:val="DefaultParagraphFont"/>
    <w:link w:val="Heading5"/>
    <w:uiPriority w:val="9"/>
    <w:rsid w:val="001F7744"/>
    <w:rPr>
      <w:rFonts w:asciiTheme="majorHAnsi" w:cstheme="majorBidi" w:eastAsiaTheme="majorEastAsia" w:hAnsiTheme="majorHAnsi"/>
      <w:b/>
      <w:bCs/>
      <w:color w:val="012749"/>
      <w:sz w:val="28"/>
      <w:szCs w:val="28"/>
    </w:rPr>
  </w:style>
  <w:style w:customStyle="1" w:styleId="Heading6Char" w:type="character">
    <w:name w:val="Heading 6 Char"/>
    <w:basedOn w:val="DefaultParagraphFont"/>
    <w:link w:val="Heading6"/>
    <w:uiPriority w:val="9"/>
    <w:rsid w:val="00F01D6B"/>
    <w:rPr>
      <w:rFonts w:asciiTheme="majorHAnsi" w:cstheme="majorBidi" w:eastAsiaTheme="majorEastAsia" w:hAnsiTheme="majorHAnsi"/>
      <w:color w:themeColor="accent1" w:themeShade="7F" w:val="341461"/>
    </w:rPr>
  </w:style>
  <w:style w:customStyle="1" w:styleId="Heading7Char" w:type="character">
    <w:name w:val="Heading 7 Char"/>
    <w:basedOn w:val="DefaultParagraphFont"/>
    <w:link w:val="Heading7"/>
    <w:uiPriority w:val="9"/>
    <w:rsid w:val="00642A9A"/>
    <w:rPr>
      <w:rFonts w:asciiTheme="majorHAnsi" w:cstheme="majorBidi" w:eastAsiaTheme="majorEastAsia" w:hAnsiTheme="majorHAnsi"/>
      <w:i/>
      <w:iCs/>
      <w:color w:themeColor="accent1" w:themeShade="7F" w:val="341461"/>
    </w:rPr>
  </w:style>
  <w:style w:styleId="Header" w:type="paragraph">
    <w:name w:val="header"/>
    <w:basedOn w:val="Normal"/>
    <w:link w:val="HeaderChar"/>
    <w:uiPriority w:val="99"/>
    <w:unhideWhenUsed/>
    <w:rsid w:val="00C40E20"/>
    <w:pPr>
      <w:tabs>
        <w:tab w:pos="4513" w:val="center"/>
        <w:tab w:pos="9026" w:val="right"/>
      </w:tabs>
      <w:spacing w:after="0" w:line="240" w:lineRule="auto"/>
    </w:pPr>
  </w:style>
  <w:style w:customStyle="1" w:styleId="HeaderChar" w:type="character">
    <w:name w:val="Header Char"/>
    <w:basedOn w:val="DefaultParagraphFont"/>
    <w:link w:val="Header"/>
    <w:uiPriority w:val="99"/>
    <w:rsid w:val="00C40E20"/>
    <w:rPr>
      <w:rFonts w:ascii="Arial" w:hAnsi="Arial"/>
      <w:color w:themeColor="text1" w:val="000000"/>
    </w:rPr>
  </w:style>
  <w:style w:styleId="Caption" w:type="paragraph">
    <w:name w:val="caption"/>
    <w:basedOn w:val="Normal"/>
    <w:next w:val="Normal"/>
    <w:uiPriority w:val="35"/>
    <w:unhideWhenUsed/>
    <w:qFormat/>
    <w:rsid w:val="004860A5"/>
    <w:pPr>
      <w:keepNext/>
      <w:spacing w:after="720" w:before="320" w:line="240" w:lineRule="auto"/>
    </w:pPr>
    <w:rPr>
      <w:b/>
      <w:bCs/>
    </w:rPr>
  </w:style>
  <w:style w:styleId="Subtitle" w:type="paragraph">
    <w:name w:val="Subtitle"/>
    <w:basedOn w:val="Normal"/>
    <w:next w:val="Normal"/>
    <w:link w:val="SubtitleChar"/>
    <w:uiPriority w:val="1"/>
    <w:rsid w:val="00233A75"/>
    <w:pPr>
      <w:numPr>
        <w:ilvl w:val="1"/>
      </w:numPr>
      <w:spacing w:after="160" w:before="480"/>
    </w:pPr>
    <w:rPr>
      <w:rFonts w:asciiTheme="majorHAnsi" w:eastAsiaTheme="minorEastAsia" w:hAnsiTheme="majorHAnsi"/>
      <w:color w:themeColor="background1" w:val="FFFFFF"/>
      <w:sz w:val="48"/>
      <w:szCs w:val="48"/>
    </w:rPr>
  </w:style>
  <w:style w:customStyle="1" w:styleId="SubtitleChar" w:type="character">
    <w:name w:val="Subtitle Char"/>
    <w:basedOn w:val="DefaultParagraphFont"/>
    <w:link w:val="Subtitle"/>
    <w:uiPriority w:val="1"/>
    <w:rsid w:val="00233A75"/>
    <w:rPr>
      <w:rFonts w:asciiTheme="majorHAnsi" w:eastAsiaTheme="minorEastAsia" w:hAnsiTheme="majorHAnsi"/>
      <w:color w:themeColor="background1" w:val="FFFFFF"/>
      <w:sz w:val="48"/>
      <w:szCs w:val="48"/>
    </w:rPr>
  </w:style>
  <w:style w:customStyle="1" w:styleId="Spacer" w:type="paragraph">
    <w:name w:val="Spacer"/>
    <w:basedOn w:val="NoSpacing"/>
    <w:next w:val="Normal"/>
    <w:qFormat/>
    <w:rsid w:val="00506CD7"/>
    <w:pPr>
      <w:tabs>
        <w:tab w:pos="2906" w:val="left"/>
      </w:tabs>
    </w:pPr>
    <w:rPr>
      <w:rFonts w:ascii="Times New Roman" w:cs="Times New Roman" w:hAnsi="Times New Roman"/>
      <w:bCs/>
      <w:noProof/>
      <w:color w:themeColor="accent6" w:themeTint="99" w:val="1EF741"/>
      <w:spacing w:val="-5"/>
      <w:sz w:val="6"/>
      <w:szCs w:val="23"/>
    </w:rPr>
  </w:style>
  <w:style w:styleId="PlaceholderText" w:type="character">
    <w:name w:val="Placeholder Text"/>
    <w:basedOn w:val="DefaultParagraphFont"/>
    <w:uiPriority w:val="99"/>
    <w:semiHidden/>
    <w:rsid w:val="00C6447C"/>
    <w:rPr>
      <w:color w:val="808080"/>
    </w:rPr>
  </w:style>
  <w:style w:customStyle="1" w:styleId="Source" w:type="paragraph">
    <w:name w:val="Source"/>
    <w:basedOn w:val="Normal"/>
    <w:next w:val="Normal"/>
    <w:qFormat/>
    <w:rsid w:val="00414265"/>
    <w:pPr>
      <w:spacing w:line="240" w:lineRule="auto"/>
    </w:pPr>
    <w:rPr>
      <w:sz w:val="14"/>
      <w:szCs w:val="14"/>
    </w:rPr>
  </w:style>
  <w:style w:styleId="MacroText" w:type="paragraph">
    <w:name w:val="macro"/>
    <w:link w:val="MacroTextChar"/>
    <w:uiPriority w:val="99"/>
    <w:unhideWhenUsed/>
    <w:rsid w:val="00AF2783"/>
    <w:pPr>
      <w:tabs>
        <w:tab w:pos="480" w:val="left"/>
        <w:tab w:pos="960" w:val="left"/>
        <w:tab w:pos="1440" w:val="left"/>
        <w:tab w:pos="1920" w:val="left"/>
        <w:tab w:pos="2400" w:val="left"/>
        <w:tab w:pos="2880" w:val="left"/>
        <w:tab w:pos="3360" w:val="left"/>
        <w:tab w:pos="3840" w:val="left"/>
        <w:tab w:pos="4320" w:val="left"/>
      </w:tabs>
      <w:spacing w:after="0" w:line="264" w:lineRule="auto"/>
    </w:pPr>
    <w:rPr>
      <w:rFonts w:ascii="Consolas" w:hAnsi="Consolas"/>
      <w:sz w:val="20"/>
      <w:szCs w:val="20"/>
    </w:rPr>
  </w:style>
  <w:style w:customStyle="1" w:styleId="MacroTextChar" w:type="character">
    <w:name w:val="Macro Text Char"/>
    <w:basedOn w:val="DefaultParagraphFont"/>
    <w:link w:val="MacroText"/>
    <w:uiPriority w:val="99"/>
    <w:rsid w:val="00AF2783"/>
    <w:rPr>
      <w:rFonts w:ascii="Consolas" w:hAnsi="Consolas"/>
      <w:sz w:val="20"/>
      <w:szCs w:val="20"/>
    </w:rPr>
  </w:style>
  <w:style w:customStyle="1" w:styleId="JSATable1" w:type="table">
    <w:name w:val="JSA Table 1"/>
    <w:basedOn w:val="TableNormal"/>
    <w:uiPriority w:val="99"/>
    <w:rsid w:val="00D73EA4"/>
    <w:pPr>
      <w:spacing w:after="0" w:line="240" w:lineRule="auto"/>
    </w:pPr>
    <w:tblPr>
      <w:tblStyleRowBandSize w:val="1"/>
      <w:tblBorders>
        <w:bottom w:color="4B0885" w:space="0" w:sz="4" w:val="single"/>
      </w:tblBorders>
    </w:tblPr>
    <w:tblStylePr w:type="firstRow">
      <w:tblPr/>
      <w:tcPr>
        <w:shd w:color="auto" w:fill="2F005F" w:val="clear"/>
      </w:tcPr>
    </w:tblStylePr>
    <w:tblStylePr w:type="band2Horz">
      <w:tblPr/>
      <w:tcPr>
        <w:shd w:color="auto" w:fill="E6E6E6" w:val="clear"/>
      </w:tcPr>
    </w:tblStylePr>
  </w:style>
  <w:style w:customStyle="1" w:styleId="JSATable2" w:type="table">
    <w:name w:val="JSA Table 2"/>
    <w:basedOn w:val="TableNormal"/>
    <w:uiPriority w:val="99"/>
    <w:rsid w:val="00A74E0F"/>
    <w:pPr>
      <w:spacing w:after="0" w:line="240" w:lineRule="auto"/>
    </w:pPr>
    <w:tblPr>
      <w:tblStyleRowBandSize w:val="1"/>
      <w:tblBorders>
        <w:bottom w:color="A584C2" w:space="0" w:sz="4" w:val="single"/>
      </w:tblBorders>
    </w:tblPr>
    <w:tblStylePr w:type="firstRow">
      <w:rPr>
        <w:rFonts w:asciiTheme="majorHAnsi" w:hAnsiTheme="majorHAnsi"/>
        <w:color w:themeColor="background1" w:val="FFFFFF"/>
        <w:sz w:val="22"/>
      </w:rPr>
      <w:tblPr/>
      <w:tcPr>
        <w:shd w:color="auto" w:fill="012749" w:themeFill="accent3" w:val="clear"/>
      </w:tcPr>
    </w:tblStylePr>
    <w:tblStylePr w:type="band2Horz">
      <w:tblPr/>
      <w:tcPr>
        <w:shd w:color="auto" w:fill="E6E6E6" w:val="clear"/>
      </w:tcPr>
    </w:tblStylePr>
  </w:style>
  <w:style w:styleId="Index7" w:type="paragraph">
    <w:name w:val="index 7"/>
    <w:basedOn w:val="Normal"/>
    <w:next w:val="Normal"/>
    <w:autoRedefine/>
    <w:uiPriority w:val="99"/>
    <w:semiHidden/>
    <w:unhideWhenUsed/>
    <w:rsid w:val="00244550"/>
    <w:pPr>
      <w:spacing w:after="0" w:before="240" w:line="240" w:lineRule="auto"/>
      <w:ind w:hanging="221" w:left="1542"/>
    </w:pPr>
  </w:style>
  <w:style w:customStyle="1" w:styleId="Heading8Char" w:type="character">
    <w:name w:val="Heading 8 Char"/>
    <w:basedOn w:val="DefaultParagraphFont"/>
    <w:link w:val="Heading8"/>
    <w:uiPriority w:val="9"/>
    <w:semiHidden/>
    <w:rsid w:val="00642A9A"/>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642A9A"/>
    <w:rPr>
      <w:rFonts w:asciiTheme="majorHAnsi" w:cstheme="majorBidi" w:eastAsiaTheme="majorEastAsia" w:hAnsiTheme="majorHAnsi"/>
      <w:i/>
      <w:iCs/>
      <w:color w:themeColor="text1" w:themeTint="D8" w:val="272727"/>
      <w:sz w:val="21"/>
      <w:szCs w:val="21"/>
    </w:rPr>
  </w:style>
  <w:style w:customStyle="1" w:styleId="StrongandEmphasis" w:type="character">
    <w:name w:val="Strong and Emphasis"/>
    <w:basedOn w:val="DefaultParagraphFont"/>
    <w:uiPriority w:val="1"/>
    <w:qFormat/>
    <w:rsid w:val="009C56D1"/>
    <w:rPr>
      <w:b/>
      <w:i/>
    </w:rPr>
  </w:style>
  <w:style w:styleId="ListNumber" w:type="paragraph">
    <w:name w:val="List Number"/>
    <w:basedOn w:val="Normal"/>
    <w:uiPriority w:val="99"/>
    <w:unhideWhenUsed/>
    <w:rsid w:val="004B09C1"/>
    <w:pPr>
      <w:numPr>
        <w:numId w:val="16"/>
      </w:numPr>
      <w:contextualSpacing/>
    </w:pPr>
  </w:style>
  <w:style w:styleId="ListNumber2" w:type="paragraph">
    <w:name w:val="List Number 2"/>
    <w:basedOn w:val="Normal"/>
    <w:uiPriority w:val="99"/>
    <w:unhideWhenUsed/>
    <w:rsid w:val="004B09C1"/>
    <w:pPr>
      <w:numPr>
        <w:numId w:val="17"/>
      </w:numPr>
      <w:contextualSpacing/>
    </w:pPr>
  </w:style>
  <w:style w:styleId="FootnoteReference" w:type="character">
    <w:name w:val="footnote reference"/>
    <w:basedOn w:val="DefaultParagraphFont"/>
    <w:uiPriority w:val="99"/>
    <w:unhideWhenUsed/>
    <w:rsid w:val="004B09C1"/>
    <w:rPr>
      <w:vertAlign w:val="superscript"/>
    </w:rPr>
  </w:style>
  <w:style w:styleId="FootnoteText" w:type="paragraph">
    <w:name w:val="footnote text"/>
    <w:basedOn w:val="Normal"/>
    <w:link w:val="FootnoteTextChar"/>
    <w:uiPriority w:val="99"/>
    <w:unhideWhenUsed/>
    <w:qFormat/>
    <w:rsid w:val="003E16B5"/>
    <w:pPr>
      <w:spacing w:after="0" w:line="240" w:lineRule="auto"/>
    </w:pPr>
    <w:rPr>
      <w:sz w:val="12"/>
      <w:szCs w:val="12"/>
    </w:rPr>
  </w:style>
  <w:style w:customStyle="1" w:styleId="FootnoteTextChar" w:type="character">
    <w:name w:val="Footnote Text Char"/>
    <w:basedOn w:val="DefaultParagraphFont"/>
    <w:link w:val="FootnoteText"/>
    <w:uiPriority w:val="99"/>
    <w:rsid w:val="003E16B5"/>
    <w:rPr>
      <w:sz w:val="12"/>
      <w:szCs w:val="12"/>
    </w:rPr>
  </w:style>
  <w:style w:customStyle="1" w:styleId="IVISummarySheet" w:type="table">
    <w:name w:val="IVI Summary Sheet"/>
    <w:basedOn w:val="TableNormal"/>
    <w:uiPriority w:val="99"/>
    <w:rsid w:val="00560872"/>
    <w:pPr>
      <w:spacing w:after="0" w:line="240" w:lineRule="auto"/>
      <w:jc w:val="right"/>
    </w:pPr>
    <w:tblPr>
      <w:tblStyleRowBandSize w:val="1"/>
      <w:tblBorders>
        <w:top w:color="7F7F7F" w:space="0" w:sz="4" w:val="single"/>
        <w:left w:color="7F7F7F" w:space="0" w:sz="4" w:val="single"/>
        <w:bottom w:color="7F7F7F" w:space="0" w:sz="4" w:val="single"/>
        <w:right w:color="7F7F7F" w:space="0" w:sz="4" w:val="single"/>
        <w:insideV w:color="7F7F7F" w:space="0" w:sz="4" w:val="single"/>
      </w:tblBorders>
    </w:tblPr>
    <w:tcPr>
      <w:vAlign w:val="center"/>
    </w:tcPr>
    <w:tblStylePr w:type="firstRow">
      <w:pPr>
        <w:jc w:val="right"/>
      </w:pPr>
      <w:rPr>
        <w:b/>
        <w:color w:themeColor="background1" w:val="FFFFFF"/>
      </w:rPr>
      <w:tblPr/>
      <w:tcPr>
        <w:tcBorders>
          <w:left w:val="nil"/>
          <w:right w:val="nil"/>
          <w:insideV w:val="nil"/>
        </w:tcBorders>
        <w:shd w:color="auto" w:fill="2C054E" w:val="clear"/>
        <w:vAlign w:val="bottom"/>
      </w:tcPr>
    </w:tblStylePr>
    <w:tblStylePr w:type="firstCol">
      <w:pPr>
        <w:jc w:val="left"/>
      </w:pPr>
    </w:tblStylePr>
    <w:tblStylePr w:type="band1Horz">
      <w:tblPr/>
      <w:tcPr>
        <w:shd w:color="auto" w:fill="F1F4F9" w:val="clear"/>
      </w:tcPr>
    </w:tblStylePr>
    <w:tblStylePr w:type="band2Horz">
      <w:tblPr/>
      <w:tcPr>
        <w:shd w:color="auto" w:fill="FFFFFF" w:themeFill="background1" w:val="clear"/>
      </w:tcPr>
    </w:tblStylePr>
  </w:style>
  <w:style w:styleId="TableGridLight" w:type="table">
    <w:name w:val="Grid Table Light"/>
    <w:basedOn w:val="TableNormal"/>
    <w:uiPriority w:val="40"/>
    <w:rsid w:val="00DA58C4"/>
    <w:pPr>
      <w:spacing w:after="0" w:line="240" w:lineRule="auto"/>
    </w:pPr>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customStyle="1" w:styleId="Style1" w:type="table">
    <w:name w:val="Style1"/>
    <w:basedOn w:val="IVISummarySheet"/>
    <w:uiPriority w:val="99"/>
    <w:rsid w:val="0074492F"/>
    <w:tblPr/>
    <w:tblStylePr w:type="firstRow">
      <w:pPr>
        <w:jc w:val="right"/>
      </w:pPr>
      <w:rPr>
        <w:b w:val="0"/>
        <w:color w:themeColor="background1" w:val="FFFFFF"/>
        <w:sz w:val="2"/>
      </w:rPr>
      <w:tblPr/>
      <w:tcPr>
        <w:tcBorders>
          <w:top w:val="nil"/>
          <w:left w:val="nil"/>
          <w:bottom w:color="7F7F7F" w:space="0" w:sz="4" w:val="single"/>
          <w:right w:val="nil"/>
          <w:insideH w:val="nil"/>
          <w:insideV w:val="nil"/>
          <w:tl2br w:val="nil"/>
          <w:tr2bl w:val="nil"/>
        </w:tcBorders>
        <w:shd w:color="auto" w:fill="FFFFFF" w:themeFill="background1" w:val="clear"/>
        <w:vAlign w:val="bottom"/>
      </w:tcPr>
    </w:tblStylePr>
    <w:tblStylePr w:type="firstCol">
      <w:pPr>
        <w:jc w:val="left"/>
      </w:pPr>
    </w:tblStylePr>
    <w:tblStylePr w:type="band1Horz">
      <w:tblPr/>
      <w:tcPr>
        <w:shd w:color="auto" w:fill="F1F4F9" w:val="clear"/>
      </w:tcPr>
    </w:tblStylePr>
    <w:tblStylePr w:type="band2Horz">
      <w:tblPr/>
      <w:tcPr>
        <w:shd w:color="auto" w:fill="FFFFFF" w:themeFill="background1" w:val="clear"/>
      </w:tcPr>
    </w:tblStylePr>
  </w:style>
  <w:style w:styleId="Revision" w:type="paragraph">
    <w:name w:val="Revision"/>
    <w:hidden/>
    <w:uiPriority w:val="99"/>
    <w:semiHidden/>
    <w:rsid w:val="00E75D6A"/>
    <w:pPr>
      <w:spacing w:after="0" w:line="240" w:lineRule="auto"/>
    </w:pPr>
    <w:rPr>
      <w:sz w:val="18"/>
      <w:szCs w:val="18"/>
    </w:rPr>
  </w:style>
  <w:style w:customStyle="1" w:styleId="KeyPoints" w:type="paragraph">
    <w:name w:val="Key Points"/>
    <w:basedOn w:val="Normal"/>
    <w:link w:val="KeyPointsChar"/>
    <w:qFormat/>
    <w:rsid w:val="00F42FC9"/>
    <w:pPr>
      <w:ind w:right="2835"/>
      <w:jc w:val="both"/>
    </w:pPr>
  </w:style>
  <w:style w:customStyle="1" w:styleId="KeyPointsChar" w:type="character">
    <w:name w:val="Key Points Char"/>
    <w:basedOn w:val="DefaultParagraphFont"/>
    <w:link w:val="KeyPoints"/>
    <w:rsid w:val="00F42FC9"/>
    <w:rPr>
      <w:sz w:val="18"/>
      <w:szCs w:val="18"/>
    </w:rPr>
  </w:style>
  <w:style w:customStyle="1" w:styleId="KeyPointsBullet1" w:type="paragraph">
    <w:name w:val="Key Points Bullet 1"/>
    <w:basedOn w:val="KeyPoints"/>
    <w:link w:val="KeyPointsBullet1Char"/>
    <w:qFormat/>
    <w:rsid w:val="00F42FC9"/>
    <w:pPr>
      <w:numPr>
        <w:numId w:val="23"/>
      </w:numPr>
      <w:spacing w:after="20" w:before="40"/>
      <w:ind w:hanging="357" w:left="357"/>
    </w:pPr>
  </w:style>
  <w:style w:customStyle="1" w:styleId="KeyPointsBullet1Char" w:type="character">
    <w:name w:val="Key Points Bullet 1 Char"/>
    <w:basedOn w:val="KeyPointsChar"/>
    <w:link w:val="KeyPointsBullet1"/>
    <w:rsid w:val="00F42FC9"/>
    <w:rPr>
      <w:sz w:val="18"/>
      <w:szCs w:val="18"/>
    </w:rPr>
  </w:style>
  <w:style w:customStyle="1" w:styleId="KeyPointsBullet2" w:type="paragraph">
    <w:name w:val="Key Points Bullet 2"/>
    <w:basedOn w:val="KeyPointsBullet1"/>
    <w:link w:val="KeyPointsBullet2Char"/>
    <w:qFormat/>
    <w:rsid w:val="00871510"/>
    <w:pPr>
      <w:numPr>
        <w:ilvl w:val="1"/>
        <w:numId w:val="24"/>
      </w:numPr>
      <w:spacing w:after="60" w:before="0"/>
      <w:ind w:hanging="357" w:left="567"/>
    </w:pPr>
  </w:style>
  <w:style w:customStyle="1" w:styleId="KeyPointsBullet2Char" w:type="character">
    <w:name w:val="Key Points Bullet 2 Char"/>
    <w:basedOn w:val="KeyPointsBullet1Char"/>
    <w:link w:val="KeyPointsBullet2"/>
    <w:rsid w:val="00871510"/>
    <w:rPr>
      <w:sz w:val="18"/>
      <w:szCs w:val="18"/>
    </w:rPr>
  </w:style>
  <w:style w:customStyle="1" w:styleId="FooterText" w:type="paragraph">
    <w:name w:val="Footer Text"/>
    <w:basedOn w:val="Normal"/>
    <w:link w:val="FooterTextChar"/>
    <w:qFormat/>
    <w:rsid w:val="00984AEC"/>
    <w:pPr>
      <w:spacing w:after="0"/>
      <w:ind w:left="1361" w:right="1700"/>
    </w:pPr>
  </w:style>
  <w:style w:customStyle="1" w:styleId="FooterTextChar" w:type="character">
    <w:name w:val="Footer Text Char"/>
    <w:basedOn w:val="DefaultParagraphFont"/>
    <w:link w:val="FooterText"/>
    <w:rsid w:val="00984AEC"/>
    <w:rPr>
      <w:sz w:val="18"/>
      <w:szCs w:val="18"/>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7334394">
      <w:bodyDiv w:val="1"/>
      <w:marLeft w:val="0"/>
      <w:marRight w:val="0"/>
      <w:marTop w:val="0"/>
      <w:marBottom w:val="0"/>
      <w:divBdr>
        <w:top w:val="none" w:sz="0" w:space="0" w:color="auto"/>
        <w:left w:val="none" w:sz="0" w:space="0" w:color="auto"/>
        <w:bottom w:val="none" w:sz="0" w:space="0" w:color="auto"/>
        <w:right w:val="none" w:sz="0" w:space="0" w:color="auto"/>
      </w:divBdr>
    </w:div>
    <w:div w:id="649486237">
      <w:bodyDiv w:val="1"/>
      <w:marLeft w:val="0"/>
      <w:marRight w:val="0"/>
      <w:marTop w:val="0"/>
      <w:marBottom w:val="0"/>
      <w:divBdr>
        <w:top w:val="none" w:sz="0" w:space="0" w:color="auto"/>
        <w:left w:val="none" w:sz="0" w:space="0" w:color="auto"/>
        <w:bottom w:val="none" w:sz="0" w:space="0" w:color="auto"/>
        <w:right w:val="none" w:sz="0" w:space="0" w:color="auto"/>
      </w:divBdr>
    </w:div>
    <w:div w:id="865950480">
      <w:bodyDiv w:val="1"/>
      <w:marLeft w:val="0"/>
      <w:marRight w:val="0"/>
      <w:marTop w:val="0"/>
      <w:marBottom w:val="0"/>
      <w:divBdr>
        <w:top w:val="none" w:sz="0" w:space="0" w:color="auto"/>
        <w:left w:val="none" w:sz="0" w:space="0" w:color="auto"/>
        <w:bottom w:val="none" w:sz="0" w:space="0" w:color="auto"/>
        <w:right w:val="none" w:sz="0" w:space="0" w:color="auto"/>
      </w:divBdr>
    </w:div>
    <w:div w:id="867451769">
      <w:bodyDiv w:val="1"/>
      <w:marLeft w:val="0"/>
      <w:marRight w:val="0"/>
      <w:marTop w:val="0"/>
      <w:marBottom w:val="0"/>
      <w:divBdr>
        <w:top w:val="none" w:sz="0" w:space="0" w:color="auto"/>
        <w:left w:val="none" w:sz="0" w:space="0" w:color="auto"/>
        <w:bottom w:val="none" w:sz="0" w:space="0" w:color="auto"/>
        <w:right w:val="none" w:sz="0" w:space="0" w:color="auto"/>
      </w:divBdr>
    </w:div>
    <w:div w:id="1505318704">
      <w:bodyDiv w:val="1"/>
      <w:marLeft w:val="0"/>
      <w:marRight w:val="0"/>
      <w:marTop w:val="0"/>
      <w:marBottom w:val="0"/>
      <w:divBdr>
        <w:top w:val="none" w:sz="0" w:space="0" w:color="auto"/>
        <w:left w:val="none" w:sz="0" w:space="0" w:color="auto"/>
        <w:bottom w:val="none" w:sz="0" w:space="0" w:color="auto"/>
        <w:right w:val="none" w:sz="0" w:space="0" w:color="auto"/>
      </w:divBdr>
    </w:div>
    <w:div w:id="1565097570">
      <w:bodyDiv w:val="1"/>
      <w:marLeft w:val="0"/>
      <w:marRight w:val="0"/>
      <w:marTop w:val="0"/>
      <w:marBottom w:val="0"/>
      <w:divBdr>
        <w:top w:val="none" w:sz="0" w:space="0" w:color="auto"/>
        <w:left w:val="none" w:sz="0" w:space="0" w:color="auto"/>
        <w:bottom w:val="none" w:sz="0" w:space="0" w:color="auto"/>
        <w:right w:val="none" w:sz="0" w:space="0" w:color="auto"/>
      </w:divBdr>
    </w:div>
    <w:div w:id="1664355830">
      <w:bodyDiv w:val="1"/>
      <w:marLeft w:val="0"/>
      <w:marRight w:val="0"/>
      <w:marTop w:val="0"/>
      <w:marBottom w:val="0"/>
      <w:divBdr>
        <w:top w:val="none" w:sz="0" w:space="0" w:color="auto"/>
        <w:left w:val="none" w:sz="0" w:space="0" w:color="auto"/>
        <w:bottom w:val="none" w:sz="0" w:space="0" w:color="auto"/>
        <w:right w:val="none" w:sz="0" w:space="0" w:color="auto"/>
      </w:divBdr>
    </w:div>
    <w:div w:id="1898853904">
      <w:bodyDiv w:val="1"/>
      <w:marLeft w:val="0"/>
      <w:marRight w:val="0"/>
      <w:marTop w:val="0"/>
      <w:marBottom w:val="0"/>
      <w:divBdr>
        <w:top w:val="none" w:sz="0" w:space="0" w:color="auto"/>
        <w:left w:val="none" w:sz="0" w:space="0" w:color="auto"/>
        <w:bottom w:val="none" w:sz="0" w:space="0" w:color="auto"/>
        <w:right w:val="none" w:sz="0" w:space="0" w:color="auto"/>
      </w:divBdr>
    </w:div>
    <w:div w:id="1913470334">
      <w:bodyDiv w:val="1"/>
      <w:marLeft w:val="0"/>
      <w:marRight w:val="0"/>
      <w:marTop w:val="0"/>
      <w:marBottom w:val="0"/>
      <w:divBdr>
        <w:top w:val="none" w:sz="0" w:space="0" w:color="auto"/>
        <w:left w:val="none" w:sz="0" w:space="0" w:color="auto"/>
        <w:bottom w:val="none" w:sz="0" w:space="0" w:color="auto"/>
        <w:right w:val="none" w:sz="0" w:space="0" w:color="auto"/>
      </w:divBdr>
    </w:div>
    <w:div w:id="1929532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2.xml" Type="http://schemas.openxmlformats.org/officeDocument/2006/relationships/footer" /><Relationship Id="rId11" Target="footer1.xml" Type="http://schemas.openxmlformats.org/officeDocument/2006/relationships/footer" /><Relationship Type="http://schemas.openxmlformats.org/officeDocument/2006/relationships/image" Id="rId27" Target="media/rId27.jpg" /><Relationship Type="http://schemas.openxmlformats.org/officeDocument/2006/relationships/image" Id="rId31" Target="media/rId31.jpg" /><Relationship Type="http://schemas.openxmlformats.org/officeDocument/2006/relationships/image" Id="rId24" Target="media/rId24.png" /><Relationship Type="http://schemas.openxmlformats.org/officeDocument/2006/relationships/hyperlink" Id="rId20" Target="https://www.abs.gov.au/statistics/labour/jobs/job-vacancies-australia/latest-release" TargetMode="External" /><Relationship Type="http://schemas.openxmlformats.org/officeDocument/2006/relationships/hyperlink" Id="rId30" Target="https://www.jobsandskills.gov.au/data/internet-vacancy-index" TargetMode="External" /></Relationships>
</file>

<file path=word/_rels/footnotes.xml.rels><?xml version="1.0" encoding="UTF-8"?><Relationships xmlns="http://schemas.openxmlformats.org/package/2006/relationships"><Relationship Type="http://schemas.openxmlformats.org/officeDocument/2006/relationships/hyperlink" Id="rId20" Target="https://www.abs.gov.au/statistics/labour/jobs/job-vacancies-australia/latest-release" TargetMode="External" /><Relationship Type="http://schemas.openxmlformats.org/officeDocument/2006/relationships/hyperlink" Id="rId30" Target="https://www.jobsandskills.gov.au/data/internet-vacancy-index"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New JSA purple fix">
      <a:dk1>
        <a:sysClr val="windowText" lastClr="000000"/>
      </a:dk1>
      <a:lt1>
        <a:sysClr val="window" lastClr="FFFFFF"/>
      </a:lt1>
      <a:dk2>
        <a:srgbClr val="4B0885"/>
      </a:dk2>
      <a:lt2>
        <a:srgbClr val="D2DE5A"/>
      </a:lt2>
      <a:accent1>
        <a:srgbClr val="6929C4"/>
      </a:accent1>
      <a:accent2>
        <a:srgbClr val="009D9A"/>
      </a:accent2>
      <a:accent3>
        <a:srgbClr val="012749"/>
      </a:accent3>
      <a:accent4>
        <a:srgbClr val="1192E8"/>
      </a:accent4>
      <a:accent5>
        <a:srgbClr val="B91C1C"/>
      </a:accent5>
      <a:accent6>
        <a:srgbClr val="047817"/>
      </a:accent6>
      <a:hlink>
        <a:srgbClr val="013D74"/>
      </a:hlink>
      <a:folHlink>
        <a:srgbClr val="4B0885"/>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Vacancy Report Template</vt:lpstr>
    </vt:vector>
  </TitlesOfParts>
  <Company/>
  <LinksUpToDate>false</LinksUpToDate>
  <CharactersWithSpaces>2616</CharactersWithSpaces>
  <SharedDoc>false</SharedDoc>
  <HLinks>
    <vt:vector size="60" baseType="variant">
      <vt:variant>
        <vt:i4>4718628</vt:i4>
      </vt:variant>
      <vt:variant>
        <vt:i4>57</vt:i4>
      </vt:variant>
      <vt:variant>
        <vt:i4>0</vt:i4>
      </vt:variant>
      <vt:variant>
        <vt:i4>5</vt:i4>
      </vt:variant>
      <vt:variant>
        <vt:lpwstr>mailto:communications@jobsandskills.gov.au</vt:lpwstr>
      </vt:variant>
      <vt:variant>
        <vt:lpwstr/>
      </vt:variant>
      <vt:variant>
        <vt:i4>1572921</vt:i4>
      </vt:variant>
      <vt:variant>
        <vt:i4>50</vt:i4>
      </vt:variant>
      <vt:variant>
        <vt:i4>0</vt:i4>
      </vt:variant>
      <vt:variant>
        <vt:i4>5</vt:i4>
      </vt:variant>
      <vt:variant>
        <vt:lpwstr/>
      </vt:variant>
      <vt:variant>
        <vt:lpwstr>_Toc119418028</vt:lpwstr>
      </vt:variant>
      <vt:variant>
        <vt:i4>1572921</vt:i4>
      </vt:variant>
      <vt:variant>
        <vt:i4>44</vt:i4>
      </vt:variant>
      <vt:variant>
        <vt:i4>0</vt:i4>
      </vt:variant>
      <vt:variant>
        <vt:i4>5</vt:i4>
      </vt:variant>
      <vt:variant>
        <vt:lpwstr/>
      </vt:variant>
      <vt:variant>
        <vt:lpwstr>_Toc119418027</vt:lpwstr>
      </vt:variant>
      <vt:variant>
        <vt:i4>1572921</vt:i4>
      </vt:variant>
      <vt:variant>
        <vt:i4>38</vt:i4>
      </vt:variant>
      <vt:variant>
        <vt:i4>0</vt:i4>
      </vt:variant>
      <vt:variant>
        <vt:i4>5</vt:i4>
      </vt:variant>
      <vt:variant>
        <vt:lpwstr/>
      </vt:variant>
      <vt:variant>
        <vt:lpwstr>_Toc119418026</vt:lpwstr>
      </vt:variant>
      <vt:variant>
        <vt:i4>1572921</vt:i4>
      </vt:variant>
      <vt:variant>
        <vt:i4>32</vt:i4>
      </vt:variant>
      <vt:variant>
        <vt:i4>0</vt:i4>
      </vt:variant>
      <vt:variant>
        <vt:i4>5</vt:i4>
      </vt:variant>
      <vt:variant>
        <vt:lpwstr/>
      </vt:variant>
      <vt:variant>
        <vt:lpwstr>_Toc119418025</vt:lpwstr>
      </vt:variant>
      <vt:variant>
        <vt:i4>1572921</vt:i4>
      </vt:variant>
      <vt:variant>
        <vt:i4>26</vt:i4>
      </vt:variant>
      <vt:variant>
        <vt:i4>0</vt:i4>
      </vt:variant>
      <vt:variant>
        <vt:i4>5</vt:i4>
      </vt:variant>
      <vt:variant>
        <vt:lpwstr/>
      </vt:variant>
      <vt:variant>
        <vt:lpwstr>_Toc119418024</vt:lpwstr>
      </vt:variant>
      <vt:variant>
        <vt:i4>1572921</vt:i4>
      </vt:variant>
      <vt:variant>
        <vt:i4>20</vt:i4>
      </vt:variant>
      <vt:variant>
        <vt:i4>0</vt:i4>
      </vt:variant>
      <vt:variant>
        <vt:i4>5</vt:i4>
      </vt:variant>
      <vt:variant>
        <vt:lpwstr/>
      </vt:variant>
      <vt:variant>
        <vt:lpwstr>_Toc119418023</vt:lpwstr>
      </vt:variant>
      <vt:variant>
        <vt:i4>1572921</vt:i4>
      </vt:variant>
      <vt:variant>
        <vt:i4>14</vt:i4>
      </vt:variant>
      <vt:variant>
        <vt:i4>0</vt:i4>
      </vt:variant>
      <vt:variant>
        <vt:i4>5</vt:i4>
      </vt:variant>
      <vt:variant>
        <vt:lpwstr/>
      </vt:variant>
      <vt:variant>
        <vt:lpwstr>_Toc119418022</vt:lpwstr>
      </vt:variant>
      <vt:variant>
        <vt:i4>1572921</vt:i4>
      </vt:variant>
      <vt:variant>
        <vt:i4>8</vt:i4>
      </vt:variant>
      <vt:variant>
        <vt:i4>0</vt:i4>
      </vt:variant>
      <vt:variant>
        <vt:i4>5</vt:i4>
      </vt:variant>
      <vt:variant>
        <vt:lpwstr/>
      </vt:variant>
      <vt:variant>
        <vt:lpwstr>_Toc119418021</vt:lpwstr>
      </vt:variant>
      <vt:variant>
        <vt:i4>1572921</vt:i4>
      </vt:variant>
      <vt:variant>
        <vt:i4>2</vt:i4>
      </vt:variant>
      <vt:variant>
        <vt:i4>0</vt:i4>
      </vt:variant>
      <vt:variant>
        <vt:i4>5</vt:i4>
      </vt:variant>
      <vt:variant>
        <vt:lpwstr/>
      </vt:variant>
      <vt:variant>
        <vt:lpwstr>_Toc119418020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2025-11-07T05:24:17Z</dcterms:created>
  <dcterms:modified xsi:type="dcterms:W3CDTF">2025-11-07T05:24:17Z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params">
    <vt:lpwstr/>
  </property>
  <property fmtid="{D5CDD505-2E9C-101B-9397-08002B2CF9AE}" pid="8" name="toc-title">
    <vt:lpwstr>Table of contents</vt:lpwstr>
  </property>
</Properties>
</file>