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430"/>
          <w:sz w:val="56"/>
          <w:szCs w:val="56"/>
        </w:rPr>
        <w:t xml:space="preserve">Performance</w:t>
      </w:r>
    </w:p>
    <w:p>
      <w:pPr>
        <w:spacing w:after="40"/>
      </w:pPr>
      <w:r>
        <w:rPr>
          <w:rFonts w:ascii="Calibri" w:cs="Calibri" w:eastAsia="Calibri" w:hAnsi="Calibri"/>
          <w:color w:val="5A6472"/>
          <w:sz w:val="28"/>
          <w:szCs w:val="28"/>
        </w:rPr>
        <w:t xml:space="preserve">Student Data Analyser</w:t>
      </w:r>
    </w:p>
    <w:p>
      <w:pPr>
        <w:pBdr>
          <w:bottom w:val="single" w:color="C9CFD8" w:sz="8" w:space="10"/>
        </w:pBdr>
        <w:spacing w:after="280"/>
      </w:pPr>
      <w:r>
        <w:rPr>
          <w:rFonts w:ascii="Calibri" w:cs="Calibri" w:eastAsia="Calibri" w:hAnsi="Calibri"/>
          <w:color w:val="5A6472"/>
          <w:sz w:val="19"/>
          <w:szCs w:val="19"/>
        </w:rPr>
        <w:t xml:space="preserve">ENGR489 Honours Project  ·  Johann Moses  ·  2 October 2026</w:t>
      </w:r>
    </w:p>
    <w:p>
      <w:pPr>
        <w:spacing w:after="120" w:before="0" w:line="276"/>
      </w:pPr>
      <w:r>
        <w:rPr>
          <w:rFonts w:ascii="Calibri" w:cs="Calibri" w:eastAsia="Calibri" w:hAnsi="Calibri"/>
          <w:color w:val="1F2430"/>
          <w:sz w:val="21"/>
          <w:szCs w:val="21"/>
        </w:rPr>
        <w:t xml:space="preserve">This document records what the tool actually does, measured rather than estimated. </w:t>
      </w:r>
      <w:r>
        <w:rPr>
          <w:rFonts w:ascii="Calibri" w:cs="Calibri" w:eastAsia="Calibri" w:hAnsi="Calibri"/>
          <w:color w:val="1F2430"/>
          <w:sz w:val="21"/>
          <w:szCs w:val="21"/>
        </w:rPr>
        <w:t xml:space="preserve">Every figure below was produced by instrumenting the shipped code</w:t>
      </w:r>
      <w:r>
        <w:rPr>
          <w:rFonts w:ascii="Calibri" w:cs="Calibri" w:eastAsia="Calibri" w:hAnsi="Calibri"/>
          <w:color w:val="1F2430"/>
          <w:sz w:val="21"/>
          <w:szCs w:val="21"/>
        </w:rPr>
        <w:t xml:space="preserve">: no </w:t>
      </w:r>
      <w:r>
        <w:rPr>
          <w:rFonts w:ascii="Calibri" w:cs="Calibri" w:eastAsia="Calibri" w:hAnsi="Calibri"/>
          <w:color w:val="1F2430"/>
          <w:sz w:val="21"/>
          <w:szCs w:val="21"/>
        </w:rPr>
        <w:t xml:space="preserve">mock-ups, no projections, and no numbers carried over from an earlier build. Two defects </w:t>
      </w:r>
      <w:r>
        <w:rPr>
          <w:rFonts w:ascii="Calibri" w:cs="Calibri" w:eastAsia="Calibri" w:hAnsi="Calibri"/>
          <w:color w:val="1F2430"/>
          <w:sz w:val="21"/>
          <w:szCs w:val="21"/>
        </w:rPr>
        <w:t xml:space="preserve">that the measurement exposed are reported in full, together with the fixes and the </w:t>
      </w:r>
      <w:r>
        <w:rPr>
          <w:rFonts w:ascii="Calibri" w:cs="Calibri" w:eastAsia="Calibri" w:hAnsi="Calibri"/>
          <w:color w:val="1F2430"/>
          <w:sz w:val="21"/>
          <w:szCs w:val="21"/>
        </w:rPr>
        <w:t xml:space="preserve">regression tests that now hold them.</w:t>
      </w:r>
    </w:p>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Method in one line. </w:t>
      </w:r>
      <w:r>
        <w:rPr>
          <w:rFonts w:ascii="Calibri" w:cs="Calibri" w:eastAsia="Calibri" w:hAnsi="Calibri"/>
          <w:color w:val="1F2430"/>
          <w:sz w:val="21"/>
          <w:szCs w:val="21"/>
        </w:rPr>
        <w:t xml:space="preserve">The application was served over HTTP and driven from the page’s own console in a real </w:t>
      </w:r>
      <w:r>
        <w:rPr>
          <w:rFonts w:ascii="Calibri" w:cs="Calibri" w:eastAsia="Calibri" w:hAnsi="Calibri"/>
          <w:color w:val="1F2430"/>
          <w:sz w:val="21"/>
          <w:szCs w:val="21"/>
        </w:rPr>
        <w:t xml:space="preserve">Chromium browser for response times, and booted under jsdom through the project’s test </w:t>
      </w:r>
      <w:r>
        <w:rPr>
          <w:rFonts w:ascii="Calibri" w:cs="Calibri" w:eastAsia="Calibri" w:hAnsi="Calibri"/>
          <w:color w:val="1F2430"/>
          <w:sz w:val="21"/>
          <w:szCs w:val="21"/>
        </w:rPr>
        <w:t xml:space="preserve">harness for the large-scale and memory figures. Timings are medians of repeated runs, </w:t>
      </w:r>
      <w:r>
        <w:rPr>
          <w:rFonts w:ascii="Calibri" w:cs="Calibri" w:eastAsia="Calibri" w:hAnsi="Calibri"/>
          <w:color w:val="1F2430"/>
          <w:sz w:val="21"/>
          <w:szCs w:val="21"/>
        </w:rPr>
        <w:t xml:space="preserve">because a single garbage-collection pause moves a mean and does not move a median.</w:t>
      </w:r>
    </w:p>
    <w:p>
      <w:pPr>
        <w:pStyle w:val="Heading1"/>
        <w:pBdr>
          <w:bottom w:val="single" w:color="C9CFD8" w:sz="6" w:space="6"/>
        </w:pBdr>
        <w:spacing w:after="160" w:before="360"/>
      </w:pPr>
      <w:r>
        <w:t xml:space="preserve">1. Summary</w:t>
      </w:r>
    </w:p>
    <w:p>
      <w:pPr>
        <w:spacing w:after="120" w:before="0" w:line="276"/>
      </w:pPr>
      <w:r>
        <w:rPr>
          <w:rFonts w:ascii="Calibri" w:cs="Calibri" w:eastAsia="Calibri" w:hAnsi="Calibri"/>
          <w:color w:val="1F2430"/>
          <w:sz w:val="21"/>
          <w:szCs w:val="21"/>
        </w:rPr>
        <w:t xml:space="preserve">The tool is comfortably fast for the work it was built to do, and the headroom is large enough to be worth stating numerically rather than describing.</w:t>
      </w:r>
    </w:p>
    <w:tbl>
      <w:tblPr>
        <w:tblW w:type="dxa" w:w="9020"/>
        <w:tblBorders>
          <w:top w:val="single" w:color="C9CFD8" w:sz="4"/>
          <w:left w:val="none"/>
          <w:bottom w:val="single" w:color="C9CFD8" w:sz="4"/>
          <w:right w:val="none"/>
          <w:insideH w:val="single" w:color="E3E7ED" w:sz="2"/>
          <w:insideV w:val="none"/>
        </w:tblBorders>
      </w:tblPr>
      <w:tblGrid>
        <w:gridCol w:w="3607"/>
        <w:gridCol w:w="1624"/>
        <w:gridCol w:w="1624"/>
        <w:gridCol w:w="2165"/>
      </w:tblGrid>
      <w:tr>
        <w:trPr>
          <w:tblHeader/>
        </w:trPr>
        <w:tc>
          <w:tcPr>
            <w:tcW w:type="dxa" w:w="3607"/>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What</w:t>
            </w:r>
          </w:p>
        </w:tc>
        <w:tc>
          <w:tcPr>
            <w:tcW w:type="dxa" w:w="162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Requirement</w:t>
            </w:r>
          </w:p>
        </w:tc>
        <w:tc>
          <w:tcPr>
            <w:tcW w:type="dxa" w:w="162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Measured</w:t>
            </w:r>
          </w:p>
        </w:tc>
        <w:tc>
          <w:tcPr>
            <w:tcW w:type="dxa" w:w="2165"/>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Headroom</w:t>
            </w:r>
          </w:p>
        </w:tc>
      </w:tr>
      <w:tr>
        <w:tc>
          <w:tcPr>
            <w:tcW w:type="dxa" w:w="3607"/>
            <w:shd w:fill="EAF4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Open the tool (cold, no cache)</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2 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189 ms</w:t>
            </w:r>
          </w:p>
        </w:tc>
        <w:tc>
          <w:tcPr>
            <w:tcW w:type="dxa" w:w="2165"/>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w:t>
            </w:r>
          </w:p>
        </w:tc>
      </w:tr>
      <w:tr>
        <w:tc>
          <w:tcPr>
            <w:tcW w:type="dxa" w:w="3607"/>
            <w:shd w:fill="EAF4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Load the three-year archive (918 KB)</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1 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49.6 ms</w:t>
            </w:r>
          </w:p>
        </w:tc>
        <w:tc>
          <w:tcPr>
            <w:tcW w:type="dxa" w:w="2165"/>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20×</w:t>
            </w:r>
          </w:p>
        </w:tc>
      </w:tr>
      <w:tr>
        <w:tc>
          <w:tcPr>
            <w:tcW w:type="dxa" w:w="3607"/>
            <w:shd w:fill="EAF4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Run a six-node query over 6,053 enrolments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100 ms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8.4 ms</w:t>
            </w:r>
          </w:p>
        </w:tc>
        <w:tc>
          <w:tcPr>
            <w:tcW w:type="dxa" w:w="2165"/>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w:t>
            </w:r>
          </w:p>
        </w:tc>
      </w:tr>
      <w:tr>
        <w:tc>
          <w:tcPr>
            <w:tcW w:type="dxa" w:w="3607"/>
            <w:shd w:fill="EAF4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Stay interactive while editing (60 fps)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16.7 ms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3.1 ms at 160 nodes</w:t>
            </w:r>
          </w:p>
        </w:tc>
        <w:tc>
          <w:tcPr>
            <w:tcW w:type="dxa" w:w="2165"/>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w:t>
            </w:r>
          </w:p>
        </w:tc>
      </w:tr>
      <w:tr>
        <w:tc>
          <w:tcPr>
            <w:tcW w:type="dxa" w:w="3607"/>
            <w:shd w:fill="EAF4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Show a result of any size</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100 ms</w:t>
            </w:r>
          </w:p>
        </w:tc>
        <w:tc>
          <w:tcPr>
            <w:tcW w:type="dxa" w:w="1624"/>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4.5 ms at 150,000 rows</w:t>
            </w:r>
          </w:p>
        </w:tc>
        <w:tc>
          <w:tcPr>
            <w:tcW w:type="dxa" w:w="2165"/>
            <w:shd w:fill="EAF4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22×</w:t>
            </w:r>
          </w:p>
        </w:tc>
      </w:tr>
    </w:tbl>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On the requirement column. </w:t>
      </w:r>
      <w:r>
        <w:rPr>
          <w:rFonts w:ascii="Calibri" w:cs="Calibri" w:eastAsia="Calibri" w:hAnsi="Calibri"/>
          <w:color w:val="1F2430"/>
          <w:sz w:val="21"/>
          <w:szCs w:val="21"/>
        </w:rPr>
        <w:t xml:space="preserve">No performance requirements were written into the original project proposal, so these were </w:t>
      </w:r>
      <w:r>
        <w:rPr>
          <w:rFonts w:ascii="Calibri" w:cs="Calibri" w:eastAsia="Calibri" w:hAnsi="Calibri"/>
          <w:color w:val="1F2430"/>
          <w:sz w:val="21"/>
          <w:szCs w:val="21"/>
        </w:rPr>
        <w:t xml:space="preserve">set afterwards from what the tool is for: a supervisor or programme director asking a </w:t>
      </w:r>
      <w:r>
        <w:rPr>
          <w:rFonts w:ascii="Calibri" w:cs="Calibri" w:eastAsia="Calibri" w:hAnsi="Calibri"/>
          <w:color w:val="1F2430"/>
          <w:sz w:val="21"/>
          <w:szCs w:val="21"/>
        </w:rPr>
        <w:t xml:space="preserve">question of a cohort should get an answer without noticing a wait, and the canvas should </w:t>
      </w:r>
      <w:r>
        <w:rPr>
          <w:rFonts w:ascii="Calibri" w:cs="Calibri" w:eastAsia="Calibri" w:hAnsi="Calibri"/>
          <w:color w:val="1F2430"/>
          <w:sz w:val="21"/>
          <w:szCs w:val="21"/>
        </w:rPr>
        <w:t xml:space="preserve">never feel heavy while a query is being assembled. They are stated here so the measurements </w:t>
      </w:r>
      <w:r>
        <w:rPr>
          <w:rFonts w:ascii="Calibri" w:cs="Calibri" w:eastAsia="Calibri" w:hAnsi="Calibri"/>
          <w:color w:val="1F2430"/>
          <w:sz w:val="21"/>
          <w:szCs w:val="21"/>
        </w:rPr>
        <w:t xml:space="preserve">can be judged against something rather than admired on their own.</w:t>
      </w:r>
    </w:p>
    <w:p>
      <w:pPr>
        <w:pStyle w:val="Heading2"/>
        <w:spacing w:after="120" w:before="280"/>
      </w:pPr>
      <w:r>
        <w:t xml:space="preserve">What the measurement found</w:t>
      </w:r>
    </w:p>
    <w:p>
      <w:pPr>
        <w:pStyle w:val="ListParagraph"/>
        <w:numPr>
          <w:ilvl w:val="0"/>
          <w:numId w:val="2"/>
        </w:numPr>
        <w:spacing w:after="90" w:line="276"/>
      </w:pPr>
      <w:r>
        <w:rPr>
          <w:rFonts w:ascii="Calibri" w:cs="Calibri" w:eastAsia="Calibri" w:hAnsi="Calibri"/>
          <w:b/>
          <w:bCs/>
          <w:color w:val="1F2430"/>
          <w:sz w:val="21"/>
          <w:szCs w:val="21"/>
        </w:rPr>
        <w:t xml:space="preserve">Three architectural properties do the work.</w:t>
      </w:r>
      <w:r>
        <w:rPr>
          <w:rFonts w:ascii="Calibri" w:cs="Calibri" w:eastAsia="Calibri" w:hAnsi="Calibri"/>
          <w:color w:val="1F2430"/>
          <w:sz w:val="21"/>
          <w:szCs w:val="21"/>
        </w:rPr>
        <w:t xml:space="preserve"> Shared subgraphs are evaluated once, the result panel’s cost is independent of the </w:t>
      </w:r>
      <w:r>
        <w:rPr>
          <w:rFonts w:ascii="Calibri" w:cs="Calibri" w:eastAsia="Calibri" w:hAnsi="Calibri"/>
          <w:color w:val="1F2430"/>
          <w:sz w:val="21"/>
          <w:szCs w:val="21"/>
        </w:rPr>
        <w:t xml:space="preserve">row count behind it, and the expensive redraw is kept off the drag path. Each is </w:t>
      </w:r>
      <w:r>
        <w:rPr>
          <w:rFonts w:ascii="Calibri" w:cs="Calibri" w:eastAsia="Calibri" w:hAnsi="Calibri"/>
          <w:color w:val="1F2430"/>
          <w:sz w:val="21"/>
          <w:szCs w:val="21"/>
        </w:rPr>
        <w:t xml:space="preserve">demonstrated with figures in section 4.</w:t>
      </w:r>
    </w:p>
    <w:p>
      <w:pPr>
        <w:pStyle w:val="ListParagraph"/>
        <w:numPr>
          <w:ilvl w:val="0"/>
          <w:numId w:val="2"/>
        </w:numPr>
        <w:spacing w:after="90" w:line="276"/>
      </w:pPr>
      <w:r>
        <w:rPr>
          <w:rFonts w:ascii="Calibri" w:cs="Calibri" w:eastAsia="Calibri" w:hAnsi="Calibri"/>
          <w:b/>
          <w:bCs/>
          <w:color w:val="1F2430"/>
          <w:sz w:val="21"/>
          <w:szCs w:val="21"/>
        </w:rPr>
        <w:t xml:space="preserve">Growth is linear, not quadratic.</w:t>
      </w:r>
      <w:r>
        <w:rPr>
          <w:rFonts w:ascii="Calibri" w:cs="Calibri" w:eastAsia="Calibri" w:hAnsi="Calibri"/>
          <w:color w:val="1F2430"/>
          <w:sz w:val="21"/>
          <w:szCs w:val="21"/>
        </w:rPr>
        <w:t xml:space="preserve"> Parse cost per row is flat from 2,000 to 128,000 rows, and memory expands to only </w:t>
      </w:r>
      <w:r>
        <w:rPr>
          <w:rFonts w:ascii="Calibri" w:cs="Calibri" w:eastAsia="Calibri" w:hAnsi="Calibri"/>
          <w:color w:val="1F2430"/>
          <w:sz w:val="21"/>
          <w:szCs w:val="21"/>
        </w:rPr>
        <w:t xml:space="preserve">1.21 times the size of the source file.</w:t>
      </w:r>
    </w:p>
    <w:p>
      <w:pPr>
        <w:pStyle w:val="ListParagraph"/>
        <w:numPr>
          <w:ilvl w:val="0"/>
          <w:numId w:val="2"/>
        </w:numPr>
        <w:spacing w:after="90" w:line="276"/>
      </w:pPr>
      <w:r>
        <w:rPr>
          <w:rFonts w:ascii="Calibri" w:cs="Calibri" w:eastAsia="Calibri" w:hAnsi="Calibri"/>
          <w:b/>
          <w:bCs/>
          <w:color w:val="1F2430"/>
          <w:sz w:val="21"/>
          <w:szCs w:val="21"/>
        </w:rPr>
        <w:t xml:space="preserve">Two defects were found at scale, both now fixed.</w:t>
      </w:r>
      <w:r>
        <w:rPr>
          <w:rFonts w:ascii="Calibri" w:cs="Calibri" w:eastAsia="Calibri" w:hAnsi="Calibri"/>
          <w:color w:val="1F2430"/>
          <w:sz w:val="21"/>
          <w:szCs w:val="21"/>
        </w:rPr>
        <w:t xml:space="preserve"> Minimum and Maximum crashed above roughly 125,000 values, and six deduplication sites </w:t>
      </w:r>
      <w:r>
        <w:rPr>
          <w:rFonts w:ascii="Calibri" w:cs="Calibri" w:eastAsia="Calibri" w:hAnsi="Calibri"/>
          <w:color w:val="1F2430"/>
          <w:sz w:val="21"/>
          <w:szCs w:val="21"/>
        </w:rPr>
        <w:t xml:space="preserve">silently discarded values that share a name with a JavaScript built-in. Section 6.</w:t>
      </w:r>
    </w:p>
    <w:p>
      <w:pPr>
        <w:pStyle w:val="ListParagraph"/>
        <w:numPr>
          <w:ilvl w:val="0"/>
          <w:numId w:val="2"/>
        </w:numPr>
        <w:spacing w:after="90" w:line="276"/>
      </w:pPr>
      <w:r>
        <w:rPr>
          <w:rFonts w:ascii="Calibri" w:cs="Calibri" w:eastAsia="Calibri" w:hAnsi="Calibri"/>
          <w:b/>
          <w:bCs/>
          <w:color w:val="1F2430"/>
          <w:sz w:val="21"/>
          <w:szCs w:val="21"/>
        </w:rPr>
        <w:t xml:space="preserve">One genuine ceiling remains, and it is outside the use envelope.</w:t>
      </w:r>
      <w:r>
        <w:rPr>
          <w:rFonts w:ascii="Calibri" w:cs="Calibri" w:eastAsia="Calibri" w:hAnsi="Calibri"/>
          <w:color w:val="1F2430"/>
          <w:sz w:val="21"/>
          <w:szCs w:val="21"/>
        </w:rPr>
        <w:t xml:space="preserve"> A full canvas rebuild exceeds a 60 fps frame at about 90 nodes. It is not on the </w:t>
      </w:r>
      <w:r>
        <w:rPr>
          <w:rFonts w:ascii="Calibri" w:cs="Calibri" w:eastAsia="Calibri" w:hAnsi="Calibri"/>
          <w:color w:val="1F2430"/>
          <w:sz w:val="21"/>
          <w:szCs w:val="21"/>
        </w:rPr>
        <w:t xml:space="preserve">interaction path, and real queries are five to fifteen nodes. Section 5.</w:t>
      </w:r>
    </w:p>
    <w:p>
      <w:pPr>
        <w:pStyle w:val="Heading1"/>
        <w:pBdr>
          <w:bottom w:val="single" w:color="C9CFD8" w:sz="6" w:space="6"/>
        </w:pBdr>
        <w:spacing w:after="160" w:before="360"/>
      </w:pPr>
      <w:r>
        <w:t xml:space="preserve">2. Test environment and method</w:t>
      </w:r>
    </w:p>
    <w:tbl>
      <w:tblPr>
        <w:tblW w:type="dxa" w:w="9020"/>
        <w:tblBorders>
          <w:top w:val="single" w:color="C9CFD8" w:sz="4"/>
          <w:left w:val="none"/>
          <w:bottom w:val="single" w:color="C9CFD8" w:sz="4"/>
          <w:right w:val="none"/>
          <w:insideH w:val="single" w:color="E3E7ED" w:sz="2"/>
          <w:insideV w:val="none"/>
        </w:tblBorders>
      </w:tblPr>
      <w:tblGrid>
        <w:gridCol w:w="2706"/>
        <w:gridCol w:w="6314"/>
      </w:tblGrid>
      <w:tr>
        <w:trPr>
          <w:tblHeader/>
        </w:trPr>
        <w:tc>
          <w:tcPr>
            <w:tcW w:type="dxa" w:w="2706"/>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Item</w:t>
            </w:r>
          </w:p>
        </w:tc>
        <w:tc>
          <w:tcPr>
            <w:tcW w:type="dxa" w:w="6314"/>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Detail</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Application under test</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MLP milestone: 39 JavaScript files (14,768 lines), 11 stylesheets, one 125 KB page</w:t>
            </w:r>
          </w:p>
        </w:tc>
      </w:tr>
      <w:tr>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Host</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macOS (Darwin 24.6.0), Apple silicon</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Response times</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Chromium, page served over HTTP from localhost, timed with performance.now()</w:t>
            </w:r>
          </w:p>
        </w:tc>
      </w:tr>
      <w:tr>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Scale and memory</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Node.js with jsdom, via the project test harness, --expose-gc for heap deltas</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Real data</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data/: three year files, 918,226 bytes, 780 students, 6,053 enrolments, 27 columns</w:t>
            </w:r>
          </w:p>
        </w:tc>
      </w:tr>
      <w:tr>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Synthetic data</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Generated at the archive’s own 27-column shape for row counts above the archive’s size</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Statistic reported</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Median of 5 to 100 repetitions depending on cost</w:t>
            </w:r>
          </w:p>
        </w:tc>
      </w:tr>
    </w:tbl>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Why two environments. </w:t>
      </w:r>
      <w:r>
        <w:rPr>
          <w:rFonts w:ascii="Calibri" w:cs="Calibri" w:eastAsia="Calibri" w:hAnsi="Calibri"/>
          <w:color w:val="1F2430"/>
          <w:sz w:val="21"/>
          <w:szCs w:val="21"/>
        </w:rPr>
        <w:t xml:space="preserve">jsdom is three to five times slower than a browser and has no layout engine, so it would </w:t>
      </w:r>
      <w:r>
        <w:rPr>
          <w:rFonts w:ascii="Calibri" w:cs="Calibri" w:eastAsia="Calibri" w:hAnsi="Calibri"/>
          <w:color w:val="1F2430"/>
          <w:sz w:val="21"/>
          <w:szCs w:val="21"/>
        </w:rPr>
        <w:t xml:space="preserve">understate the tool badly if used for response times. It is used where a browser is </w:t>
      </w:r>
      <w:r>
        <w:rPr>
          <w:rFonts w:ascii="Calibri" w:cs="Calibri" w:eastAsia="Calibri" w:hAnsi="Calibri"/>
          <w:color w:val="1F2430"/>
          <w:sz w:val="21"/>
          <w:szCs w:val="21"/>
        </w:rPr>
        <w:t xml:space="preserve">awkward: generating hundreds of megabytes of synthetic input, and measuring heap deltas </w:t>
      </w:r>
      <w:r>
        <w:rPr>
          <w:rFonts w:ascii="Calibri" w:cs="Calibri" w:eastAsia="Calibri" w:hAnsi="Calibri"/>
          <w:color w:val="1F2430"/>
          <w:sz w:val="21"/>
          <w:szCs w:val="21"/>
        </w:rPr>
        <w:t xml:space="preserve">around a single operation with the garbage collector under direct control. Each figure </w:t>
      </w:r>
      <w:r>
        <w:rPr>
          <w:rFonts w:ascii="Calibri" w:cs="Calibri" w:eastAsia="Calibri" w:hAnsi="Calibri"/>
          <w:color w:val="1F2430"/>
          <w:sz w:val="21"/>
          <w:szCs w:val="21"/>
        </w:rPr>
        <w:t xml:space="preserve">below states which environment produced it.</w:t>
      </w:r>
    </w:p>
    <w:p>
      <w:pPr>
        <w:pStyle w:val="Heading1"/>
        <w:pBdr>
          <w:bottom w:val="single" w:color="C9CFD8" w:sz="6" w:space="6"/>
        </w:pBdr>
        <w:spacing w:after="160" w:before="360"/>
      </w:pPr>
      <w:r>
        <w:t xml:space="preserve">3. Response time and resource use</w:t>
      </w:r>
    </w:p>
    <w:p>
      <w:pPr>
        <w:pStyle w:val="Heading2"/>
        <w:spacing w:after="120" w:before="280"/>
      </w:pPr>
      <w:r>
        <w:t xml:space="preserve">3.1 Starting the tool</w:t>
      </w:r>
    </w:p>
    <w:p>
      <w:pPr>
        <w:spacing w:after="120" w:before="0" w:line="276"/>
      </w:pPr>
      <w:r>
        <w:rPr>
          <w:rFonts w:ascii="Calibri" w:cs="Calibri" w:eastAsia="Calibri" w:hAnsi="Calibri"/>
          <w:color w:val="1F2430"/>
          <w:sz w:val="21"/>
          <w:szCs w:val="21"/>
        </w:rPr>
        <w:t xml:space="preserve">The tool is a single page opened directly from disk, with no build step and no server. Startup is therefore a parse of 39 classic scripts and 11 stylesheets, and nothing else.</w:t>
      </w:r>
    </w:p>
    <w:tbl>
      <w:tblPr>
        <w:tblW w:type="dxa" w:w="9020"/>
        <w:tblBorders>
          <w:top w:val="single" w:color="C9CFD8" w:sz="4"/>
          <w:left w:val="none"/>
          <w:bottom w:val="single" w:color="C9CFD8" w:sz="4"/>
          <w:right w:val="none"/>
          <w:insideH w:val="single" w:color="E3E7ED" w:sz="2"/>
          <w:insideV w:val="none"/>
        </w:tblBorders>
      </w:tblPr>
      <w:tblGrid>
        <w:gridCol w:w="4690"/>
        <w:gridCol w:w="2526"/>
        <w:gridCol w:w="1804"/>
      </w:tblGrid>
      <w:tr>
        <w:trPr>
          <w:tblHeader/>
        </w:trPr>
        <w:tc>
          <w:tcPr>
            <w:tcW w:type="dxa" w:w="4690"/>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Measure</w:t>
            </w:r>
          </w:p>
        </w:tc>
        <w:tc>
          <w:tcPr>
            <w:tcW w:type="dxa" w:w="2526"/>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Value</w:t>
            </w:r>
          </w:p>
        </w:tc>
        <w:tc>
          <w:tcPr>
            <w:tcW w:type="dxa" w:w="1804"/>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Environment</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DOM interactive</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188.5 ms</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Load complete</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189.0 ms</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Requests issued</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JavaScript transferred (uncompressed)</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680 KB</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Stylesheets transferred</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140 KB</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Page itself</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125 KB</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DOM nodes at rest</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1,574</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JavaScript heap at rest</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3.6 MB</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bl>
    <w:p>
      <w:pPr>
        <w:spacing w:after="120" w:before="0" w:line="276"/>
      </w:pPr>
      <w:r>
        <w:rPr>
          <w:rFonts w:ascii="Calibri" w:cs="Calibri" w:eastAsia="Calibri" w:hAnsi="Calibri"/>
          <w:color w:val="1F2430"/>
          <w:sz w:val="21"/>
          <w:szCs w:val="21"/>
        </w:rPr>
        <w:t xml:space="preserve">No bundler, minifier or compression step is used, deliberately: the agreed packaging for this </w:t>
      </w:r>
      <w:r>
        <w:rPr>
          <w:rFonts w:ascii="Calibri" w:cs="Calibri" w:eastAsia="Calibri" w:hAnsi="Calibri"/>
          <w:color w:val="1F2430"/>
          <w:sz w:val="21"/>
          <w:szCs w:val="21"/>
        </w:rPr>
        <w:t xml:space="preserve">project is “open the .html file”, which rules out a build. 680 KB over 39 requests from local </w:t>
      </w:r>
      <w:r>
        <w:rPr>
          <w:rFonts w:ascii="Calibri" w:cs="Calibri" w:eastAsia="Calibri" w:hAnsi="Calibri"/>
          <w:color w:val="1F2430"/>
          <w:sz w:val="21"/>
          <w:szCs w:val="21"/>
        </w:rPr>
        <w:t xml:space="preserve">disk costs 189 ms, so the cost of that decision was measured and judged acceptable rather than </w:t>
      </w:r>
      <w:r>
        <w:rPr>
          <w:rFonts w:ascii="Calibri" w:cs="Calibri" w:eastAsia="Calibri" w:hAnsi="Calibri"/>
          <w:color w:val="1F2430"/>
          <w:sz w:val="21"/>
          <w:szCs w:val="21"/>
        </w:rPr>
        <w:t xml:space="preserve">assumed to be.</w:t>
      </w:r>
    </w:p>
    <w:p>
      <w:pPr>
        <w:pStyle w:val="Heading2"/>
        <w:spacing w:after="120" w:before="280"/>
      </w:pPr>
      <w:r>
        <w:t xml:space="preserve">3.2 Loading the archive</w:t>
      </w:r>
    </w:p>
    <w:p>
      <w:pPr>
        <w:spacing w:after="120" w:before="0" w:line="276"/>
      </w:pPr>
      <w:r>
        <w:rPr>
          <w:rFonts w:ascii="Calibri" w:cs="Calibri" w:eastAsia="Calibri" w:hAnsi="Calibri"/>
          <w:color w:val="1F2430"/>
          <w:sz w:val="21"/>
          <w:szCs w:val="21"/>
        </w:rPr>
        <w:t xml:space="preserve">The loader reads each file through a real FileReader, parses it, validates every field against the declared column list, and rebuilds the registries the query panels read their dropdowns from.</w:t>
      </w:r>
    </w:p>
    <w:tbl>
      <w:tblPr>
        <w:tblW w:type="dxa" w:w="9020"/>
        <w:tblBorders>
          <w:top w:val="single" w:color="C9CFD8" w:sz="4"/>
          <w:left w:val="none"/>
          <w:bottom w:val="single" w:color="C9CFD8" w:sz="4"/>
          <w:right w:val="none"/>
          <w:insideH w:val="single" w:color="E3E7ED" w:sz="2"/>
          <w:insideV w:val="none"/>
        </w:tblBorders>
      </w:tblPr>
      <w:tblGrid>
        <w:gridCol w:w="4690"/>
        <w:gridCol w:w="2526"/>
        <w:gridCol w:w="1804"/>
      </w:tblGrid>
      <w:tr>
        <w:trPr>
          <w:tblHeader/>
        </w:trPr>
        <w:tc>
          <w:tcPr>
            <w:tcW w:type="dxa" w:w="4690"/>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Measure</w:t>
            </w:r>
          </w:p>
        </w:tc>
        <w:tc>
          <w:tcPr>
            <w:tcW w:type="dxa" w:w="2526"/>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Value</w:t>
            </w:r>
          </w:p>
        </w:tc>
        <w:tc>
          <w:tcPr>
            <w:tcW w:type="dxa" w:w="1804"/>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Environment</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Column file (headers.txt)</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12.9 ms</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Three year files, end to end</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49.6 ms</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Per byte of source</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0.054 µs</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r>
        <w:tc>
          <w:tcPr>
            <w:tcW w:type="dxa" w:w="469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Same, under jsdom</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159 ms</w:t>
            </w:r>
          </w:p>
        </w:tc>
        <w:tc>
          <w:tcPr>
            <w:tcW w:type="dxa" w:w="180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jsdom</w:t>
            </w:r>
          </w:p>
        </w:tc>
      </w:tr>
      <w:tr>
        <w:tc>
          <w:tcPr>
            <w:tcW w:type="dxa" w:w="469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Heap growth for the loaded archive</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0.6 MB</w:t>
            </w:r>
          </w:p>
        </w:tc>
        <w:tc>
          <w:tcPr>
            <w:tcW w:type="dxa" w:w="180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Browser</w:t>
            </w:r>
          </w:p>
        </w:tc>
      </w:tr>
    </w:tbl>
    <w:p>
      <w:pPr>
        <w:pStyle w:val="Heading3"/>
        <w:spacing w:after="100" w:before="220"/>
      </w:pPr>
      <w:r>
        <w:t xml:space="preserve">Memory cost of loaded data</w:t>
      </w:r>
    </w:p>
    <w:p>
      <w:pPr>
        <w:spacing w:after="120" w:before="0" w:line="276"/>
      </w:pPr>
      <w:r>
        <w:rPr>
          <w:rFonts w:ascii="Calibri" w:cs="Calibri" w:eastAsia="Calibri" w:hAnsi="Calibri"/>
          <w:color w:val="1F2430"/>
          <w:sz w:val="21"/>
          <w:szCs w:val="21"/>
        </w:rPr>
        <w:t xml:space="preserve">Measured as a heap delta around the load alone, with the garbage collector run to quiescence on both sides, on a 9.00 MB synthetic file of 64,000 enrolment rows across 27 columns.</w:t>
      </w:r>
    </w:p>
    <w:tbl>
      <w:tblPr>
        <w:tblW w:type="dxa" w:w="9020"/>
        <w:tblBorders>
          <w:top w:val="single" w:color="C9CFD8" w:sz="4"/>
          <w:left w:val="none"/>
          <w:bottom w:val="single" w:color="C9CFD8" w:sz="4"/>
          <w:right w:val="none"/>
          <w:insideH w:val="single" w:color="E3E7ED" w:sz="2"/>
          <w:insideV w:val="none"/>
        </w:tblBorders>
      </w:tblPr>
      <w:tblGrid>
        <w:gridCol w:w="5051"/>
        <w:gridCol w:w="3969"/>
      </w:tblGrid>
      <w:tr>
        <w:trPr>
          <w:tblHeader/>
        </w:trPr>
        <w:tc>
          <w:tcPr>
            <w:tcW w:type="dxa" w:w="5051"/>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Measure</w:t>
            </w:r>
          </w:p>
        </w:tc>
        <w:tc>
          <w:tcPr>
            <w:tcW w:type="dxa" w:w="3969"/>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Value</w:t>
            </w:r>
          </w:p>
        </w:tc>
      </w:tr>
      <w:tr>
        <w:tc>
          <w:tcPr>
            <w:tcW w:type="dxa" w:w="5051"/>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Source file on disk</w:t>
            </w:r>
          </w:p>
        </w:tc>
        <w:tc>
          <w:tcPr>
            <w:tcW w:type="dxa" w:w="3969"/>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9.00 MB</w:t>
            </w:r>
          </w:p>
        </w:tc>
      </w:tr>
      <w:tr>
        <w:tc>
          <w:tcPr>
            <w:tcW w:type="dxa" w:w="5051"/>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Heap held after loading</w:t>
            </w:r>
          </w:p>
        </w:tc>
        <w:tc>
          <w:tcPr>
            <w:tcW w:type="dxa" w:w="3969"/>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10.9 MB</w:t>
            </w:r>
          </w:p>
        </w:tc>
      </w:tr>
      <w:tr>
        <w:tc>
          <w:tcPr>
            <w:tcW w:type="dxa" w:w="5051"/>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Expansion factor</w:t>
            </w:r>
          </w:p>
        </w:tc>
        <w:tc>
          <w:tcPr>
            <w:tcW w:type="dxa" w:w="3969"/>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1.21× the source bytes</w:t>
            </w:r>
          </w:p>
        </w:tc>
      </w:tr>
      <w:tr>
        <w:tc>
          <w:tcPr>
            <w:tcW w:type="dxa" w:w="5051"/>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Per enrolment row</w:t>
            </w:r>
          </w:p>
        </w:tc>
        <w:tc>
          <w:tcPr>
            <w:tcW w:type="dxa" w:w="3969"/>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178 bytes</w:t>
            </w:r>
          </w:p>
        </w:tc>
      </w:tr>
      <w:tr>
        <w:tc>
          <w:tcPr>
            <w:tcW w:type="dxa" w:w="5051"/>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Materialising the student-grain table (8,000 rows)</w:t>
            </w:r>
          </w:p>
        </w:tc>
        <w:tc>
          <w:tcPr>
            <w:tcW w:type="dxa" w:w="3969"/>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1.1 MB</w:t>
            </w:r>
          </w:p>
        </w:tc>
      </w:tr>
      <w:tr>
        <w:tc>
          <w:tcPr>
            <w:tcW w:type="dxa" w:w="5051"/>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Materialising the enrolment-grain table (64,000 rows)</w:t>
            </w:r>
          </w:p>
        </w:tc>
        <w:tc>
          <w:tcPr>
            <w:tcW w:type="dxa" w:w="3969"/>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10.0 MB</w:t>
            </w:r>
          </w:p>
        </w:tc>
      </w:tr>
    </w:tbl>
    <w:p>
      <w:pPr>
        <w:pBdr>
          <w:left w:val="single" w:color="8A94A6" w:sz="12" w:space="8"/>
        </w:pBdr>
        <w:shd w:fill="F8F9FB" w:val="clear"/>
        <w:spacing w:after="160" w:before="120" w:line="276"/>
        <w:ind w:left="180" w:right="180"/>
      </w:pPr>
      <w:r>
        <w:rPr>
          <w:rFonts w:ascii="Calibri" w:cs="Calibri" w:eastAsia="Calibri" w:hAnsi="Calibri"/>
          <w:color w:val="1F2430"/>
          <w:sz w:val="21"/>
          <w:szCs w:val="21"/>
        </w:rPr>
        <w:t xml:space="preserve">An expansion factor near one is the figure worth noticing. </w:t>
      </w:r>
      <w:r>
        <w:rPr>
          <w:rFonts w:ascii="Calibri" w:cs="Calibri" w:eastAsia="Calibri" w:hAnsi="Calibri"/>
          <w:color w:val="1F2430"/>
          <w:sz w:val="21"/>
          <w:szCs w:val="21"/>
        </w:rPr>
        <w:t xml:space="preserve">A parser that wrapped each cell in an object would land between five and fifteen times the </w:t>
      </w:r>
      <w:r>
        <w:rPr>
          <w:rFonts w:ascii="Calibri" w:cs="Calibri" w:eastAsia="Calibri" w:hAnsi="Calibri"/>
          <w:color w:val="1F2430"/>
          <w:sz w:val="21"/>
          <w:szCs w:val="21"/>
        </w:rPr>
        <w:t xml:space="preserve">source size. Rows are stored as flat arrays of strings, and because repeated values such as </w:t>
      </w:r>
      <w:r>
        <w:rPr>
          <w:rFonts w:ascii="Calibri" w:cs="Calibri" w:eastAsia="Calibri" w:hAnsi="Calibri"/>
          <w:color w:val="1F2430"/>
          <w:sz w:val="21"/>
          <w:szCs w:val="21"/>
        </w:rPr>
        <w:t xml:space="preserve">a degree code or a course name are the same string object in every row that carries them, </w:t>
      </w:r>
      <w:r>
        <w:rPr>
          <w:rFonts w:ascii="Calibri" w:cs="Calibri" w:eastAsia="Calibri" w:hAnsi="Calibri"/>
          <w:color w:val="1F2430"/>
          <w:sz w:val="21"/>
          <w:szCs w:val="21"/>
        </w:rPr>
        <w:t xml:space="preserve">the loaded form is barely larger than the text it came from.</w:t>
      </w:r>
    </w:p>
    <w:p>
      <w:pPr>
        <w:pStyle w:val="Heading2"/>
        <w:spacing w:after="120" w:before="280"/>
      </w:pPr>
      <w:r>
        <w:t xml:space="preserve">3.3 Running a query</w:t>
      </w:r>
    </w:p>
    <w:p>
      <w:pPr>
        <w:spacing w:after="120" w:before="0" w:line="276"/>
      </w:pPr>
      <w:r>
        <w:rPr>
          <w:rFonts w:ascii="Calibri" w:cs="Calibri" w:eastAsia="Calibri" w:hAnsi="Calibri"/>
          <w:color w:val="1F2430"/>
          <w:sz w:val="21"/>
          <w:szCs w:val="21"/>
        </w:rPr>
        <w:t xml:space="preserve">All figures on the real archive, 6,053 enrolments, in the browser.</w:t>
      </w:r>
    </w:p>
    <w:tbl>
      <w:tblPr>
        <w:tblW w:type="dxa" w:w="9020"/>
        <w:tblBorders>
          <w:top w:val="single" w:color="C9CFD8" w:sz="4"/>
          <w:left w:val="none"/>
          <w:bottom w:val="single" w:color="C9CFD8" w:sz="4"/>
          <w:right w:val="none"/>
          <w:insideH w:val="single" w:color="E3E7ED" w:sz="2"/>
          <w:insideV w:val="none"/>
        </w:tblBorders>
      </w:tblPr>
      <w:tblGrid>
        <w:gridCol w:w="5052"/>
        <w:gridCol w:w="1984"/>
        <w:gridCol w:w="1984"/>
      </w:tblGrid>
      <w:tr>
        <w:trPr>
          <w:tblHeader/>
        </w:trPr>
        <w:tc>
          <w:tcPr>
            <w:tcW w:type="dxa" w:w="5052"/>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Operation</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Browser</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jsdom</w:t>
            </w:r>
          </w:p>
        </w:tc>
      </w:tr>
      <w:tr>
        <w:tc>
          <w:tcPr>
            <w:tcW w:type="dxa" w:w="5052"/>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Source to Output, student grain (780 rows)</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0.2 ms</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w:t>
            </w:r>
          </w:p>
        </w:tc>
      </w:tr>
      <w:tr>
        <w:tc>
          <w:tcPr>
            <w:tcW w:type="dxa" w:w="5052"/>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Source to Output, enrolment grain (6,053 rows)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 ms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3.3 ms</w:t>
            </w:r>
          </w:p>
        </w:tc>
      </w:tr>
      <w:tr>
        <w:tc>
          <w:tcPr>
            <w:tcW w:type="dxa" w:w="5052"/>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Six-node pipeline, engine only</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6.2 ms</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31.5 ms</w:t>
            </w:r>
          </w:p>
        </w:tc>
      </w:tr>
      <w:tr>
        <w:tc>
          <w:tcPr>
            <w:tcW w:type="dxa" w:w="5052"/>
            <w:shd w:fill="F8F9FB"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Six-node pipeline, including the DOM</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8.4 ms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39.3 ms</w:t>
            </w:r>
          </w:p>
        </w:tc>
      </w:tr>
      <w:tr>
        <w:tc>
          <w:tcPr>
            <w:tcW w:type="dxa" w:w="5052"/>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Schema walk (runs on every redraw)</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0.06 ms</w:t>
            </w:r>
          </w:p>
        </w:tc>
      </w:tr>
      <w:tr>
        <w:tc>
          <w:tcPr>
            <w:tcW w:type="dxa" w:w="5052"/>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Canvas redraw, 8 nodes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1.3 ms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11.0 ms</w:t>
            </w:r>
          </w:p>
        </w:tc>
      </w:tr>
    </w:tbl>
    <w:p>
      <w:pPr>
        <w:spacing w:after="120" w:before="0" w:line="276"/>
      </w:pPr>
      <w:r>
        <w:rPr>
          <w:rFonts w:ascii="Calibri" w:cs="Calibri" w:eastAsia="Calibri" w:hAnsi="Calibri"/>
          <w:color w:val="1F2430"/>
          <w:sz w:val="21"/>
          <w:szCs w:val="21"/>
        </w:rPr>
        <w:t xml:space="preserve">The pipeline is Source → Filter → Sort → Unique → Aggregate → Output, which is </w:t>
      </w:r>
      <w:r>
        <w:rPr>
          <w:rFonts w:ascii="Calibri" w:cs="Calibri" w:eastAsia="Calibri" w:hAnsi="Calibri"/>
          <w:color w:val="1F2430"/>
          <w:sz w:val="21"/>
          <w:szCs w:val="21"/>
        </w:rPr>
        <w:t xml:space="preserve">representative of the queries the tool was built for. The schema walk deserves its own line: </w:t>
      </w:r>
      <w:r>
        <w:rPr>
          <w:rFonts w:ascii="Calibri" w:cs="Calibri" w:eastAsia="Calibri" w:hAnsi="Calibri"/>
          <w:color w:val="1F2430"/>
          <w:sz w:val="21"/>
          <w:szCs w:val="21"/>
        </w:rPr>
        <w:t xml:space="preserve">it propagates column headers through the whole graph and runs on every single redraw, so it </w:t>
      </w:r>
      <w:r>
        <w:rPr>
          <w:rFonts w:ascii="Calibri" w:cs="Calibri" w:eastAsia="Calibri" w:hAnsi="Calibri"/>
          <w:color w:val="1F2430"/>
          <w:sz w:val="21"/>
          <w:szCs w:val="21"/>
        </w:rPr>
        <w:t xml:space="preserve">would be the first thing to make the canvas feel heavy. It carries no rows at all, which is </w:t>
      </w:r>
      <w:r>
        <w:rPr>
          <w:rFonts w:ascii="Calibri" w:cs="Calibri" w:eastAsia="Calibri" w:hAnsi="Calibri"/>
          <w:color w:val="1F2430"/>
          <w:sz w:val="21"/>
          <w:szCs w:val="21"/>
        </w:rPr>
        <w:t xml:space="preserve">why it does not register.</w:t>
      </w:r>
    </w:p>
    <w:p>
      <w:r>
        <w:br w:type="page"/>
      </w:r>
    </w:p>
    <w:p>
      <w:pPr>
        <w:pStyle w:val="Heading1"/>
        <w:pBdr>
          <w:bottom w:val="single" w:color="C9CFD8" w:sz="6" w:space="6"/>
        </w:pBdr>
        <w:spacing w:after="160" w:before="360"/>
      </w:pPr>
      <w:r>
        <w:t xml:space="preserve">4. The three properties that produce these numbers</w:t>
      </w:r>
    </w:p>
    <w:p>
      <w:pPr>
        <w:spacing w:after="120" w:before="0" w:line="276"/>
      </w:pPr>
      <w:r>
        <w:rPr>
          <w:rFonts w:ascii="Calibri" w:cs="Calibri" w:eastAsia="Calibri" w:hAnsi="Calibri"/>
          <w:color w:val="1F2430"/>
          <w:sz w:val="21"/>
          <w:szCs w:val="21"/>
        </w:rPr>
        <w:t xml:space="preserve">Each of these is a structural fact about the design rather than a micro-optimisation, each is measurable, and each is now held by a test.</w:t>
      </w:r>
    </w:p>
    <w:p>
      <w:pPr>
        <w:pStyle w:val="Heading2"/>
        <w:spacing w:after="120" w:before="280"/>
      </w:pPr>
      <w:r>
        <w:t xml:space="preserve">4.1 A shared subgraph is evaluated once</w:t>
      </w:r>
    </w:p>
    <w:p>
      <w:pPr>
        <w:spacing w:after="120" w:before="0" w:line="276"/>
      </w:pPr>
      <w:r>
        <w:rPr>
          <w:rFonts w:ascii="Calibri" w:cs="Calibri" w:eastAsia="Calibri" w:hAnsi="Calibri"/>
          <w:color w:val="1F2430"/>
          <w:sz w:val="21"/>
          <w:szCs w:val="21"/>
        </w:rPr>
        <w:t xml:space="preserve">The evaluator walks the graph in topological order and keeps each node’s result in a map </w:t>
      </w:r>
      <w:r>
        <w:rPr>
          <w:rFonts w:ascii="Calibri" w:cs="Calibri" w:eastAsia="Calibri" w:hAnsi="Calibri"/>
          <w:color w:val="1F2430"/>
          <w:sz w:val="21"/>
          <w:szCs w:val="21"/>
        </w:rPr>
        <w:t xml:space="preserve">keyed by node id. A Source feeding eight branches is therefore unfolded once and the branches </w:t>
      </w:r>
      <w:r>
        <w:rPr>
          <w:rFonts w:ascii="Calibri" w:cs="Calibri" w:eastAsia="Calibri" w:hAnsi="Calibri"/>
          <w:color w:val="1F2430"/>
          <w:sz w:val="21"/>
          <w:szCs w:val="21"/>
        </w:rPr>
        <w:t xml:space="preserve">read the same table. The alternative, evaluating a node by recursing into its inputs, would </w:t>
      </w:r>
      <w:r>
        <w:rPr>
          <w:rFonts w:ascii="Calibri" w:cs="Calibri" w:eastAsia="Calibri" w:hAnsi="Calibri"/>
          <w:color w:val="1F2430"/>
          <w:sz w:val="21"/>
          <w:szCs w:val="21"/>
        </w:rPr>
        <w:t xml:space="preserve">pass every correctness test in the suite and multiply the shared cost by the fan-out.</w:t>
      </w:r>
    </w:p>
    <w:p>
      <w:pPr>
        <w:spacing w:after="80" w:before="0" w:line="276"/>
      </w:pPr>
      <w:r>
        <w:rPr>
          <w:rFonts w:ascii="Calibri" w:cs="Calibri" w:eastAsia="Calibri" w:hAnsi="Calibri"/>
          <w:color w:val="1F2430"/>
          <w:sz w:val="21"/>
          <w:szCs w:val="21"/>
        </w:rPr>
        <w:t xml:space="preserve">Measured by adding parallel branches to one Source holding the archive at enrolment grain:</w:t>
      </w:r>
    </w:p>
    <w:tbl>
      <w:tblPr>
        <w:tblW w:type="dxa" w:w="9020"/>
        <w:tblBorders>
          <w:top w:val="single" w:color="C9CFD8" w:sz="4"/>
          <w:left w:val="none"/>
          <w:bottom w:val="single" w:color="C9CFD8" w:sz="4"/>
          <w:right w:val="none"/>
          <w:insideH w:val="single" w:color="E3E7ED" w:sz="2"/>
          <w:insideV w:val="none"/>
        </w:tblBorders>
      </w:tblPr>
      <w:tblGrid>
        <w:gridCol w:w="1263"/>
        <w:gridCol w:w="1082"/>
        <w:gridCol w:w="1714"/>
        <w:gridCol w:w="1533"/>
        <w:gridCol w:w="1714"/>
        <w:gridCol w:w="1714"/>
      </w:tblGrid>
      <w:tr>
        <w:trPr>
          <w:tblHeader/>
        </w:trPr>
        <w:tc>
          <w:tcPr>
            <w:tcW w:type="dxa" w:w="126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Branches</w:t>
            </w:r>
          </w:p>
        </w:tc>
        <w:tc>
          <w:tcPr>
            <w:tcW w:type="dxa" w:w="1082"/>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Nodes</w:t>
            </w:r>
          </w:p>
        </w:tc>
        <w:tc>
          <w:tcPr>
            <w:tcW w:type="dxa" w:w="171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Evaluate</w:t>
            </w:r>
          </w:p>
        </w:tc>
        <w:tc>
          <w:tcPr>
            <w:tcW w:type="dxa" w:w="153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Schemas</w:t>
            </w:r>
          </w:p>
        </w:tc>
        <w:tc>
          <w:tcPr>
            <w:tcW w:type="dxa" w:w="171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Redraw</w:t>
            </w:r>
          </w:p>
        </w:tc>
        <w:tc>
          <w:tcPr>
            <w:tcW w:type="dxa" w:w="171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Full run</w:t>
            </w:r>
          </w:p>
        </w:tc>
      </w:tr>
      <w:tr>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w:t>
            </w:r>
          </w:p>
        </w:tc>
        <w:tc>
          <w:tcPr>
            <w:tcW w:type="dxa" w:w="108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2.6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0.2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w:t>
            </w:r>
          </w:p>
        </w:tc>
      </w:tr>
      <w:tr>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w:t>
            </w:r>
          </w:p>
        </w:tc>
        <w:tc>
          <w:tcPr>
            <w:tcW w:type="dxa" w:w="1082"/>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1.9 ms</w:t>
            </w:r>
          </w:p>
        </w:tc>
        <w:tc>
          <w:tcPr>
            <w:tcW w:type="dxa" w:w="153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0.7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3.4 ms</w:t>
            </w:r>
          </w:p>
        </w:tc>
      </w:tr>
      <w:tr>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w:t>
            </w:r>
          </w:p>
        </w:tc>
        <w:tc>
          <w:tcPr>
            <w:tcW w:type="dxa" w:w="108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2.9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6.1 ms</w:t>
            </w:r>
          </w:p>
        </w:tc>
      </w:tr>
      <w:tr>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w:t>
            </w:r>
          </w:p>
        </w:tc>
        <w:tc>
          <w:tcPr>
            <w:tcW w:type="dxa" w:w="1082"/>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9</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 ms</w:t>
            </w:r>
          </w:p>
        </w:tc>
        <w:tc>
          <w:tcPr>
            <w:tcW w:type="dxa" w:w="153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8.3 ms</w:t>
            </w:r>
          </w:p>
        </w:tc>
      </w:tr>
      <w:tr>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w:t>
            </w:r>
          </w:p>
        </w:tc>
        <w:tc>
          <w:tcPr>
            <w:tcW w:type="dxa" w:w="108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13</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2.4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11.2 ms</w:t>
            </w:r>
          </w:p>
        </w:tc>
      </w:tr>
      <w:tr>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w:t>
            </w:r>
          </w:p>
        </w:tc>
        <w:tc>
          <w:tcPr>
            <w:tcW w:type="dxa" w:w="1082"/>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17</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3.2 ms</w:t>
            </w:r>
          </w:p>
        </w:tc>
        <w:tc>
          <w:tcPr>
            <w:tcW w:type="dxa" w:w="153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3.1 ms</w:t>
            </w:r>
          </w:p>
        </w:tc>
        <w:tc>
          <w:tcPr>
            <w:tcW w:type="dxa" w:w="171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14.1 ms</w:t>
            </w:r>
          </w:p>
        </w:tc>
      </w:tr>
      <w:tr>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w:t>
            </w:r>
          </w:p>
        </w:tc>
        <w:tc>
          <w:tcPr>
            <w:tcW w:type="dxa" w:w="108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21</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3.4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&lt; 0.05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4.4 ms</w:t>
            </w:r>
          </w:p>
        </w:tc>
        <w:tc>
          <w:tcPr>
            <w:tcW w:type="dxa" w:w="171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16.2 ms</w:t>
            </w:r>
          </w:p>
        </w:tc>
      </w:tr>
    </w:tbl>
    <w:p>
      <w:pPr>
        <w:spacing w:after="120" w:before="0" w:line="276"/>
      </w:pPr>
      <w:r>
        <w:rPr>
          <w:rFonts w:ascii="Calibri" w:cs="Calibri" w:eastAsia="Calibri" w:hAnsi="Calibri"/>
          <w:color w:val="1F2430"/>
          <w:sz w:val="21"/>
          <w:szCs w:val="21"/>
        </w:rPr>
        <w:t xml:space="preserve">Evaluation goes from 2.6 ms to 3.4 ms while the graph grows from 1 node to 21. </w:t>
      </w:r>
      <w:r>
        <w:rPr>
          <w:rFonts w:ascii="Calibri" w:cs="Calibri" w:eastAsia="Calibri" w:hAnsi="Calibri"/>
          <w:color w:val="1F2430"/>
          <w:sz w:val="21"/>
          <w:szCs w:val="21"/>
        </w:rPr>
        <w:t xml:space="preserve">Ten additional filters over 6,053 rows each cost 0.8 ms between them, because the expensive </w:t>
      </w:r>
      <w:r>
        <w:rPr>
          <w:rFonts w:ascii="Calibri" w:cs="Calibri" w:eastAsia="Calibri" w:hAnsi="Calibri"/>
          <w:color w:val="1F2430"/>
          <w:sz w:val="21"/>
          <w:szCs w:val="21"/>
        </w:rPr>
        <w:t xml:space="preserve">step they share is not repeated. Without memoisation the last row would read about 26 ms.</w:t>
      </w:r>
    </w:p>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Proven without a stopwatch. </w:t>
      </w:r>
      <w:r>
        <w:rPr>
          <w:rFonts w:ascii="Calibri" w:cs="Calibri" w:eastAsia="Calibri" w:hAnsi="Calibri"/>
          <w:color w:val="1F2430"/>
          <w:sz w:val="21"/>
          <w:szCs w:val="21"/>
        </w:rPr>
        <w:t xml:space="preserve">The regression test for this does not time anything. It asserts that every branch’s input </w:t>
      </w:r>
      <w:r>
        <w:rPr>
          <w:rFonts w:ascii="Calibri" w:cs="Calibri" w:eastAsia="Calibri" w:hAnsi="Calibri"/>
          <w:color w:val="1F2430"/>
          <w:sz w:val="21"/>
          <w:szCs w:val="21"/>
        </w:rPr>
        <w:t xml:space="preserve">is the </w:t>
      </w:r>
      <w:r>
        <w:rPr>
          <w:rFonts w:ascii="Calibri" w:cs="Calibri" w:eastAsia="Calibri" w:hAnsi="Calibri"/>
          <w:i/>
          <w:iCs/>
          <w:color w:val="1F2430"/>
          <w:sz w:val="21"/>
          <w:szCs w:val="21"/>
        </w:rPr>
        <w:t xml:space="preserve">identical array object</w:t>
      </w:r>
      <w:r>
        <w:rPr>
          <w:rFonts w:ascii="Calibri" w:cs="Calibri" w:eastAsia="Calibri" w:hAnsi="Calibri"/>
          <w:color w:val="1F2430"/>
          <w:sz w:val="21"/>
          <w:szCs w:val="21"/>
        </w:rPr>
        <w:t xml:space="preserve"> the Source produced, which is true only if the Source ran once. A timing test can fail on </w:t>
      </w:r>
      <w:r>
        <w:rPr>
          <w:rFonts w:ascii="Calibri" w:cs="Calibri" w:eastAsia="Calibri" w:hAnsi="Calibri"/>
          <w:color w:val="1F2430"/>
          <w:sz w:val="21"/>
          <w:szCs w:val="21"/>
        </w:rPr>
        <w:t xml:space="preserve">a busy machine; an identity test cannot.</w:t>
      </w:r>
    </w:p>
    <w:p>
      <w:pPr>
        <w:pStyle w:val="Heading2"/>
        <w:spacing w:after="120" w:before="280"/>
      </w:pPr>
      <w:r>
        <w:t xml:space="preserve">4.2 The result panel costs the same whatever is behind it</w:t>
      </w:r>
    </w:p>
    <w:p>
      <w:pPr>
        <w:spacing w:after="120" w:before="0" w:line="276"/>
      </w:pPr>
      <w:r>
        <w:rPr>
          <w:rFonts w:ascii="Calibri" w:cs="Calibri" w:eastAsia="Calibri" w:hAnsi="Calibri"/>
          <w:color w:val="1F2430"/>
          <w:sz w:val="21"/>
          <w:szCs w:val="21"/>
        </w:rPr>
        <w:t xml:space="preserve">The panel draws at most fifty rows and a line saying how many more there are. Copy and Save </w:t>
      </w:r>
      <w:r>
        <w:rPr>
          <w:rFonts w:ascii="Calibri" w:cs="Calibri" w:eastAsia="Calibri" w:hAnsi="Calibri"/>
          <w:color w:val="1F2430"/>
          <w:sz w:val="21"/>
          <w:szCs w:val="21"/>
        </w:rPr>
        <w:t xml:space="preserve">are untouched and write every row, so the cap is a display decision only.</w:t>
      </w:r>
    </w:p>
    <w:tbl>
      <w:tblPr>
        <w:tblW w:type="dxa" w:w="9020"/>
        <w:tblBorders>
          <w:top w:val="single" w:color="C9CFD8" w:sz="4"/>
          <w:left w:val="none"/>
          <w:bottom w:val="single" w:color="C9CFD8" w:sz="4"/>
          <w:right w:val="none"/>
          <w:insideH w:val="single" w:color="E3E7ED" w:sz="2"/>
          <w:insideV w:val="none"/>
        </w:tblBorders>
      </w:tblPr>
      <w:tblGrid>
        <w:gridCol w:w="3068"/>
        <w:gridCol w:w="1984"/>
        <w:gridCol w:w="1984"/>
        <w:gridCol w:w="1984"/>
      </w:tblGrid>
      <w:tr>
        <w:trPr>
          <w:tblHeader/>
        </w:trPr>
        <w:tc>
          <w:tcPr>
            <w:tcW w:type="dxa" w:w="3068"/>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Rows reaching the Output</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Full run</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DOM nodes</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Rows exported</w:t>
            </w:r>
          </w:p>
        </w:tc>
      </w:tr>
      <w:tr>
        <w:tc>
          <w:tcPr>
            <w:tcW w:type="dxa" w:w="3068"/>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1,500</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1,500</w:t>
            </w:r>
          </w:p>
        </w:tc>
      </w:tr>
      <w:tr>
        <w:tc>
          <w:tcPr>
            <w:tcW w:type="dxa" w:w="3068"/>
            <w:shd w:fill="F8F9FB"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150,000</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4.5 ms</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1,812</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150,000</w:t>
            </w:r>
          </w:p>
        </w:tc>
      </w:tr>
    </w:tbl>
    <w:p>
      <w:pPr>
        <w:spacing w:after="120" w:before="0" w:line="276"/>
      </w:pPr>
      <w:r>
        <w:rPr>
          <w:rFonts w:ascii="Calibri" w:cs="Calibri" w:eastAsia="Calibri" w:hAnsi="Calibri"/>
          <w:color w:val="1F2430"/>
          <w:sz w:val="21"/>
          <w:szCs w:val="21"/>
        </w:rPr>
        <w:t xml:space="preserve">A hundredfold increase in result size costs single digits more, not a hundredfold more. </w:t>
      </w:r>
      <w:r>
        <w:rPr>
          <w:rFonts w:ascii="Calibri" w:cs="Calibri" w:eastAsia="Calibri" w:hAnsi="Calibri"/>
          <w:color w:val="1F2430"/>
          <w:sz w:val="21"/>
          <w:szCs w:val="21"/>
        </w:rPr>
        <w:t xml:space="preserve">This property was once absent and the cost was visible: before the card cap was added, an </w:t>
      </w:r>
      <w:r>
        <w:rPr>
          <w:rFonts w:ascii="Calibri" w:cs="Calibri" w:eastAsia="Calibri" w:hAnsi="Calibri"/>
          <w:color w:val="1F2430"/>
          <w:sz w:val="21"/>
          <w:szCs w:val="21"/>
        </w:rPr>
        <w:t xml:space="preserve">Output behind a breakdown by course rendered 912 KB of markup in 1.7 seconds to draw </w:t>
      </w:r>
      <w:r>
        <w:rPr>
          <w:rFonts w:ascii="Calibri" w:cs="Calibri" w:eastAsia="Calibri" w:hAnsi="Calibri"/>
          <w:color w:val="1F2430"/>
          <w:sz w:val="21"/>
          <w:szCs w:val="21"/>
        </w:rPr>
        <w:t xml:space="preserve">seventy-eight tables nobody had asked for, with the grouping itself taking 11 ms. Every </w:t>
      </w:r>
      <w:r>
        <w:rPr>
          <w:rFonts w:ascii="Calibri" w:cs="Calibri" w:eastAsia="Calibri" w:hAnsi="Calibri"/>
          <w:color w:val="1F2430"/>
          <w:sz w:val="21"/>
          <w:szCs w:val="21"/>
        </w:rPr>
        <w:t xml:space="preserve">millisecond was in the view.</w:t>
      </w:r>
    </w:p>
    <w:p>
      <w:pPr>
        <w:pStyle w:val="Heading2"/>
        <w:spacing w:after="120" w:before="280"/>
      </w:pPr>
      <w:r>
        <w:t xml:space="preserve">4.3 The expensive redraw is kept off the interaction path</w:t>
      </w:r>
    </w:p>
    <w:p>
      <w:pPr>
        <w:spacing w:after="120" w:before="0" w:line="276"/>
      </w:pPr>
      <w:r>
        <w:rPr>
          <w:rFonts w:ascii="Calibri" w:cs="Calibri" w:eastAsia="Calibri" w:hAnsi="Calibri"/>
          <w:color w:val="1F2430"/>
          <w:sz w:val="21"/>
          <w:szCs w:val="21"/>
        </w:rPr>
        <w:t xml:space="preserve">A full canvas rebuild replaces every node’s DOM and costs roughly 0.19 ms per node. Dragging </w:t>
      </w:r>
      <w:r>
        <w:rPr>
          <w:rFonts w:ascii="Calibri" w:cs="Calibri" w:eastAsia="Calibri" w:hAnsi="Calibri"/>
          <w:color w:val="1F2430"/>
          <w:sz w:val="21"/>
          <w:szCs w:val="21"/>
        </w:rPr>
        <w:t xml:space="preserve">does not call it: the drag handler moves the existing elements and redraws only the arrows, </w:t>
      </w:r>
      <w:r>
        <w:rPr>
          <w:rFonts w:ascii="Calibri" w:cs="Calibri" w:eastAsia="Calibri" w:hAnsi="Calibri"/>
          <w:color w:val="1F2430"/>
          <w:sz w:val="21"/>
          <w:szCs w:val="21"/>
        </w:rPr>
        <w:t xml:space="preserve">because a node’s panel contents cannot change while it is being dragged.</w:t>
      </w:r>
    </w:p>
    <w:tbl>
      <w:tblPr>
        <w:tblW w:type="dxa" w:w="9020"/>
        <w:tblBorders>
          <w:top w:val="single" w:color="C9CFD8" w:sz="4"/>
          <w:left w:val="none"/>
          <w:bottom w:val="single" w:color="C9CFD8" w:sz="4"/>
          <w:right w:val="none"/>
          <w:insideH w:val="single" w:color="E3E7ED" w:sz="2"/>
          <w:insideV w:val="none"/>
        </w:tblBorders>
      </w:tblPr>
      <w:tblGrid>
        <w:gridCol w:w="1984"/>
        <w:gridCol w:w="2526"/>
        <w:gridCol w:w="2255"/>
        <w:gridCol w:w="2255"/>
      </w:tblGrid>
      <w:tr>
        <w:trPr>
          <w:tblHeader/>
        </w:trPr>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Nodes on canvas</w:t>
            </w:r>
          </w:p>
        </w:tc>
        <w:tc>
          <w:tcPr>
            <w:tcW w:type="dxa" w:w="2526"/>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Drag, per pointer event</w:t>
            </w:r>
          </w:p>
        </w:tc>
        <w:tc>
          <w:tcPr>
            <w:tcW w:type="dxa" w:w="2255"/>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Full rebuild</w:t>
            </w:r>
          </w:p>
        </w:tc>
        <w:tc>
          <w:tcPr>
            <w:tcW w:type="dxa" w:w="2255"/>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DOM nodes</w:t>
            </w:r>
          </w:p>
        </w:tc>
      </w:tr>
      <w:tr>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0.5 ms</w:t>
            </w:r>
          </w:p>
        </w:tc>
        <w:tc>
          <w:tcPr>
            <w:tcW w:type="dxa" w:w="225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3.1 ms</w:t>
            </w:r>
          </w:p>
        </w:tc>
        <w:tc>
          <w:tcPr>
            <w:tcW w:type="dxa" w:w="225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1,902</w:t>
            </w:r>
          </w:p>
        </w:tc>
      </w:tr>
      <w:tr>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20</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0.6 ms</w:t>
            </w:r>
          </w:p>
        </w:tc>
        <w:tc>
          <w:tcPr>
            <w:tcW w:type="dxa" w:w="2255"/>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3.7 ms</w:t>
            </w:r>
          </w:p>
        </w:tc>
        <w:tc>
          <w:tcPr>
            <w:tcW w:type="dxa" w:w="2255"/>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2,229</w:t>
            </w:r>
          </w:p>
        </w:tc>
      </w:tr>
      <w:tr>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40</w:t>
            </w:r>
          </w:p>
        </w:tc>
        <w:tc>
          <w:tcPr>
            <w:tcW w:type="dxa" w:w="252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 ms</w:t>
            </w:r>
          </w:p>
        </w:tc>
        <w:tc>
          <w:tcPr>
            <w:tcW w:type="dxa" w:w="225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7.6 ms</w:t>
            </w:r>
          </w:p>
        </w:tc>
        <w:tc>
          <w:tcPr>
            <w:tcW w:type="dxa" w:w="225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2,906</w:t>
            </w:r>
          </w:p>
        </w:tc>
      </w:tr>
      <w:tr>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60</w:t>
            </w:r>
          </w:p>
        </w:tc>
        <w:tc>
          <w:tcPr>
            <w:tcW w:type="dxa" w:w="252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1.3 ms</w:t>
            </w:r>
          </w:p>
        </w:tc>
        <w:tc>
          <w:tcPr>
            <w:tcW w:type="dxa" w:w="2255"/>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10.4 ms</w:t>
            </w:r>
          </w:p>
        </w:tc>
        <w:tc>
          <w:tcPr>
            <w:tcW w:type="dxa" w:w="2255"/>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3,583</w:t>
            </w:r>
          </w:p>
        </w:tc>
      </w:tr>
      <w:tr>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80</w:t>
            </w:r>
          </w:p>
        </w:tc>
        <w:tc>
          <w:tcPr>
            <w:tcW w:type="dxa" w:w="2526"/>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1.8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14.7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4,260</w:t>
            </w:r>
          </w:p>
        </w:tc>
      </w:tr>
      <w:tr>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120</w:t>
            </w:r>
          </w:p>
        </w:tc>
        <w:tc>
          <w:tcPr>
            <w:tcW w:type="dxa" w:w="2526"/>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2.4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21.7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5,637</w:t>
            </w:r>
          </w:p>
        </w:tc>
      </w:tr>
      <w:tr>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160</w:t>
            </w:r>
          </w:p>
        </w:tc>
        <w:tc>
          <w:tcPr>
            <w:tcW w:type="dxa" w:w="2526"/>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3.1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29.7 ms</w:t>
            </w:r>
          </w:p>
        </w:tc>
        <w:tc>
          <w:tcPr>
            <w:tcW w:type="dxa" w:w="2255"/>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7,014</w:t>
            </w:r>
          </w:p>
        </w:tc>
      </w:tr>
    </w:tbl>
    <w:p>
      <w:pPr>
        <w:spacing w:after="120" w:before="0" w:line="276"/>
      </w:pPr>
      <w:r>
        <w:rPr>
          <w:rFonts w:ascii="Calibri" w:cs="Calibri" w:eastAsia="Calibri" w:hAnsi="Calibri"/>
          <w:color w:val="1F2430"/>
          <w:sz w:val="21"/>
          <w:szCs w:val="21"/>
        </w:rPr>
        <w:t xml:space="preserve">Both costs are linear in node count. The drag path is about ten times cheaper, which is what </w:t>
      </w:r>
      <w:r>
        <w:rPr>
          <w:rFonts w:ascii="Calibri" w:cs="Calibri" w:eastAsia="Calibri" w:hAnsi="Calibri"/>
          <w:color w:val="1F2430"/>
          <w:sz w:val="21"/>
          <w:szCs w:val="21"/>
        </w:rPr>
        <w:t xml:space="preserve">keeps editing smooth: at 160 nodes a pointer event costs 3.1 ms against a 16.7 ms frame </w:t>
      </w:r>
      <w:r>
        <w:rPr>
          <w:rFonts w:ascii="Calibri" w:cs="Calibri" w:eastAsia="Calibri" w:hAnsi="Calibri"/>
          <w:color w:val="1F2430"/>
          <w:sz w:val="21"/>
          <w:szCs w:val="21"/>
        </w:rPr>
        <w:t xml:space="preserve">budget, so the canvas would stay at 60 fps to roughly 800 nodes. The shaded rows are where a </w:t>
      </w:r>
      <w:r>
        <w:rPr>
          <w:rFonts w:ascii="Calibri" w:cs="Calibri" w:eastAsia="Calibri" w:hAnsi="Calibri"/>
          <w:color w:val="1F2430"/>
          <w:sz w:val="21"/>
          <w:szCs w:val="21"/>
        </w:rPr>
        <w:t xml:space="preserve">full rebuild exceeds one frame, discussed in section 5.</w:t>
      </w:r>
    </w:p>
    <w:p>
      <w:pPr>
        <w:pStyle w:val="Heading1"/>
        <w:pBdr>
          <w:bottom w:val="single" w:color="C9CFD8" w:sz="6" w:space="6"/>
        </w:pBdr>
        <w:spacing w:after="160" w:before="360"/>
      </w:pPr>
      <w:r>
        <w:t xml:space="preserve">5. Scalability</w:t>
      </w:r>
    </w:p>
    <w:p>
      <w:pPr>
        <w:pStyle w:val="Heading2"/>
        <w:spacing w:after="120" w:before="280"/>
      </w:pPr>
      <w:r>
        <w:t xml:space="preserve">5.1 Growth with data volume</w:t>
      </w:r>
    </w:p>
    <w:p>
      <w:pPr>
        <w:spacing w:after="120" w:before="0" w:line="276"/>
      </w:pPr>
      <w:r>
        <w:rPr>
          <w:rFonts w:ascii="Calibri" w:cs="Calibri" w:eastAsia="Calibri" w:hAnsi="Calibri"/>
          <w:color w:val="1F2430"/>
          <w:sz w:val="21"/>
          <w:szCs w:val="21"/>
        </w:rPr>
        <w:t xml:space="preserve">Synthetic files at the archive’s own 27-column shape, under jsdom. The rightmost column is the figure that matters: parse cost per row.</w:t>
      </w:r>
    </w:p>
    <w:tbl>
      <w:tblPr>
        <w:tblW w:type="dxa" w:w="9020"/>
        <w:tblBorders>
          <w:top w:val="single" w:color="C9CFD8" w:sz="4"/>
          <w:left w:val="none"/>
          <w:bottom w:val="single" w:color="C9CFD8" w:sz="4"/>
          <w:right w:val="none"/>
          <w:insideH w:val="single" w:color="E3E7ED" w:sz="2"/>
          <w:insideV w:val="none"/>
        </w:tblBorders>
      </w:tblPr>
      <w:tblGrid>
        <w:gridCol w:w="1262"/>
        <w:gridCol w:w="1263"/>
        <w:gridCol w:w="1173"/>
        <w:gridCol w:w="1263"/>
        <w:gridCol w:w="1263"/>
        <w:gridCol w:w="1263"/>
        <w:gridCol w:w="1533"/>
      </w:tblGrid>
      <w:tr>
        <w:trPr>
          <w:tblHeader/>
        </w:trPr>
        <w:tc>
          <w:tcPr>
            <w:tcW w:type="dxa" w:w="1262"/>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Rows</w:t>
            </w:r>
          </w:p>
        </w:tc>
        <w:tc>
          <w:tcPr>
            <w:tcW w:type="dxa" w:w="126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Parse</w:t>
            </w:r>
          </w:p>
        </w:tc>
        <w:tc>
          <w:tcPr>
            <w:tcW w:type="dxa" w:w="117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Source</w:t>
            </w:r>
          </w:p>
        </w:tc>
        <w:tc>
          <w:tcPr>
            <w:tcW w:type="dxa" w:w="126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Pipeline</w:t>
            </w:r>
          </w:p>
        </w:tc>
        <w:tc>
          <w:tcPr>
            <w:tcW w:type="dxa" w:w="126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Full run</w:t>
            </w:r>
          </w:p>
        </w:tc>
        <w:tc>
          <w:tcPr>
            <w:tcW w:type="dxa" w:w="126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Schemas</w:t>
            </w:r>
          </w:p>
        </w:tc>
        <w:tc>
          <w:tcPr>
            <w:tcW w:type="dxa" w:w="1533"/>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Per row</w:t>
            </w:r>
          </w:p>
        </w:tc>
      </w:tr>
      <w:tr>
        <w:tc>
          <w:tcPr>
            <w:tcW w:type="dxa" w:w="126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2,000</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44 ms</w:t>
            </w:r>
          </w:p>
        </w:tc>
        <w:tc>
          <w:tcPr>
            <w:tcW w:type="dxa" w:w="117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5.5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8.3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0.08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22.1 µs</w:t>
            </w:r>
          </w:p>
        </w:tc>
      </w:tr>
      <w:tr>
        <w:tc>
          <w:tcPr>
            <w:tcW w:type="dxa" w:w="1262"/>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8,000</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139 ms</w:t>
            </w:r>
          </w:p>
        </w:tc>
        <w:tc>
          <w:tcPr>
            <w:tcW w:type="dxa" w:w="117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7.6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19.7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28.7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0.09 ms</w:t>
            </w:r>
          </w:p>
        </w:tc>
        <w:tc>
          <w:tcPr>
            <w:tcW w:type="dxa" w:w="153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17.3 µs</w:t>
            </w:r>
          </w:p>
        </w:tc>
      </w:tr>
      <w:tr>
        <w:tc>
          <w:tcPr>
            <w:tcW w:type="dxa" w:w="1262"/>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32,000</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629 ms</w:t>
            </w:r>
          </w:p>
        </w:tc>
        <w:tc>
          <w:tcPr>
            <w:tcW w:type="dxa" w:w="117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19.3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81.9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77.9 ms</w:t>
            </w:r>
          </w:p>
        </w:tc>
        <w:tc>
          <w:tcPr>
            <w:tcW w:type="dxa" w:w="126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0.04 ms</w:t>
            </w:r>
          </w:p>
        </w:tc>
        <w:tc>
          <w:tcPr>
            <w:tcW w:type="dxa" w:w="1533"/>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19.7 µs</w:t>
            </w:r>
          </w:p>
        </w:tc>
      </w:tr>
      <w:tr>
        <w:tc>
          <w:tcPr>
            <w:tcW w:type="dxa" w:w="1262"/>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128,000</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2,569 ms</w:t>
            </w:r>
          </w:p>
        </w:tc>
        <w:tc>
          <w:tcPr>
            <w:tcW w:type="dxa" w:w="117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68.0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78.5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84.7 ms</w:t>
            </w:r>
          </w:p>
        </w:tc>
        <w:tc>
          <w:tcPr>
            <w:tcW w:type="dxa" w:w="126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0.04 ms</w:t>
            </w:r>
          </w:p>
        </w:tc>
        <w:tc>
          <w:tcPr>
            <w:tcW w:type="dxa" w:w="1533"/>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20.1 µs</w:t>
            </w:r>
          </w:p>
        </w:tc>
      </w:tr>
    </w:tbl>
    <w:p>
      <w:pPr>
        <w:spacing w:after="120" w:before="0" w:line="276"/>
      </w:pPr>
      <w:r>
        <w:rPr>
          <w:rFonts w:ascii="Calibri" w:cs="Calibri" w:eastAsia="Calibri" w:hAnsi="Calibri"/>
          <w:color w:val="1F2430"/>
          <w:sz w:val="21"/>
          <w:szCs w:val="21"/>
        </w:rPr>
        <w:t xml:space="preserve">Per-row cost is flat across a sixty-fourfold increase in data: 22.1, 17.3, 19.7 and 20.1 </w:t>
      </w:r>
      <w:r>
        <w:rPr>
          <w:rFonts w:ascii="Calibri" w:cs="Calibri" w:eastAsia="Calibri" w:hAnsi="Calibri"/>
          <w:color w:val="1F2430"/>
          <w:sz w:val="21"/>
          <w:szCs w:val="21"/>
        </w:rPr>
        <w:t xml:space="preserve">microseconds. The loader is linear, with no quadratic term hiding in it. The usual way to lose </w:t>
      </w:r>
      <w:r>
        <w:rPr>
          <w:rFonts w:ascii="Calibri" w:cs="Calibri" w:eastAsia="Calibri" w:hAnsi="Calibri"/>
          <w:color w:val="1F2430"/>
          <w:sz w:val="21"/>
          <w:szCs w:val="21"/>
        </w:rPr>
        <w:t xml:space="preserve">this is a linear search inside the row loop, which is invisible on the archive’s 2,000 rows a </w:t>
      </w:r>
      <w:r>
        <w:rPr>
          <w:rFonts w:ascii="Calibri" w:cs="Calibri" w:eastAsia="Calibri" w:hAnsi="Calibri"/>
          <w:color w:val="1F2430"/>
          <w:sz w:val="21"/>
          <w:szCs w:val="21"/>
        </w:rPr>
        <w:t xml:space="preserve">year and ruinous on a real export, so it is now held by a test.</w:t>
      </w:r>
    </w:p>
    <w:p>
      <w:pPr>
        <w:spacing w:after="120" w:before="0" w:line="276"/>
      </w:pPr>
      <w:r>
        <w:rPr>
          <w:rFonts w:ascii="Calibri" w:cs="Calibri" w:eastAsia="Calibri" w:hAnsi="Calibri"/>
          <w:color w:val="1F2430"/>
          <w:sz w:val="21"/>
          <w:szCs w:val="21"/>
        </w:rPr>
        <w:t xml:space="preserve">Note also that the full run barely moves between 32,000 and 128,000 rows (77.9 ms against </w:t>
      </w:r>
      <w:r>
        <w:rPr>
          <w:rFonts w:ascii="Calibri" w:cs="Calibri" w:eastAsia="Calibri" w:hAnsi="Calibri"/>
          <w:color w:val="1F2430"/>
          <w:sz w:val="21"/>
          <w:szCs w:val="21"/>
        </w:rPr>
        <w:t xml:space="preserve">84.7 ms). That is the display cap from section 4.2 doing its work.</w:t>
      </w:r>
    </w:p>
    <w:p>
      <w:pPr>
        <w:pStyle w:val="Heading2"/>
        <w:spacing w:after="120" w:before="280"/>
      </w:pPr>
      <w:r>
        <w:t xml:space="preserve">5.2 Declared limits, and which one actually binds</w:t>
      </w:r>
    </w:p>
    <w:p>
      <w:pPr>
        <w:spacing w:after="120" w:before="0" w:line="276"/>
      </w:pPr>
      <w:r>
        <w:rPr>
          <w:rFonts w:ascii="Calibri" w:cs="Calibri" w:eastAsia="Calibri" w:hAnsi="Calibri"/>
          <w:color w:val="1F2430"/>
          <w:sz w:val="21"/>
          <w:szCs w:val="21"/>
        </w:rPr>
        <w:t xml:space="preserve">The loader states its ceilings explicitly and refuses a file that exceeds them, with a message naming the limit.</w:t>
      </w:r>
    </w:p>
    <w:tbl>
      <w:tblPr>
        <w:tblW w:type="dxa" w:w="9020"/>
        <w:tblBorders>
          <w:top w:val="single" w:color="C9CFD8" w:sz="4"/>
          <w:left w:val="none"/>
          <w:bottom w:val="single" w:color="C9CFD8" w:sz="4"/>
          <w:right w:val="none"/>
          <w:insideH w:val="single" w:color="E3E7ED" w:sz="2"/>
          <w:insideV w:val="none"/>
        </w:tblBorders>
      </w:tblPr>
      <w:tblGrid>
        <w:gridCol w:w="3066"/>
        <w:gridCol w:w="1624"/>
        <w:gridCol w:w="4330"/>
      </w:tblGrid>
      <w:tr>
        <w:trPr>
          <w:tblHeader/>
        </w:trPr>
        <w:tc>
          <w:tcPr>
            <w:tcW w:type="dxa" w:w="3066"/>
            <w:shd w:fill="EEF1F5" w:val="clear"/>
            <w:tcMar>
              <w:top w:type="dxa" w:w="70"/>
              <w:left w:type="dxa" w:w="110"/>
              <w:bottom w:type="dxa" w:w="70"/>
              <w:right w:type="dxa" w:w="110"/>
            </w:tcMar>
            <w:vAlign w:val="center"/>
          </w:tcPr>
          <w:p>
            <w:pPr>
              <w:spacing w:after="0" w:line="252"/>
              <w:jc w:val="left"/>
            </w:pPr>
            <w:r>
              <w:rPr>
                <w:rFonts w:ascii="Consolas" w:cs="Consolas" w:eastAsia="Consolas" w:hAnsi="Consolas"/>
                <w:b/>
                <w:bCs/>
                <w:color w:val="1F2430"/>
                <w:sz w:val="18"/>
                <w:szCs w:val="18"/>
              </w:rPr>
              <w:t xml:space="preserve">Limit</w:t>
            </w:r>
          </w:p>
        </w:tc>
        <w:tc>
          <w:tcPr>
            <w:tcW w:type="dxa" w:w="162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Value</w:t>
            </w:r>
          </w:p>
        </w:tc>
        <w:tc>
          <w:tcPr>
            <w:tcW w:type="dxa" w:w="4330"/>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Reached in practice?</w:t>
            </w:r>
          </w:p>
        </w:tc>
      </w:tr>
      <w:tr>
        <w:tc>
          <w:tcPr>
            <w:tcW w:type="dxa" w:w="306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MAX_DATA_FILE_BYTES</w:t>
            </w:r>
          </w:p>
        </w:tc>
        <w:tc>
          <w:tcPr>
            <w:tcW w:type="dxa" w:w="162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32 MB</w:t>
            </w:r>
          </w:p>
        </w:tc>
        <w:tc>
          <w:tcPr>
            <w:tcW w:type="dxa" w:w="433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Yes. This is the binding limit for archive-shaped files.</w:t>
            </w:r>
          </w:p>
        </w:tc>
      </w:tr>
      <w:tr>
        <w:tc>
          <w:tcPr>
            <w:tcW w:type="dxa" w:w="306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MAX_DATA_ROWS</w:t>
            </w:r>
          </w:p>
        </w:tc>
        <w:tc>
          <w:tcPr>
            <w:tcW w:type="dxa" w:w="162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250,000</w:t>
            </w:r>
          </w:p>
        </w:tc>
        <w:tc>
          <w:tcPr>
            <w:tcW w:type="dxa" w:w="433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Not for the archive’s 27 columns: 250,000 such rows is about 36 MB, so the byte cap refuses the file first. It binds for narrow tables, where it is the only thing that would.</w:t>
            </w:r>
          </w:p>
        </w:tc>
      </w:tr>
      <w:tr>
        <w:tc>
          <w:tcPr>
            <w:tcW w:type="dxa" w:w="306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MAX_YEAR_FILES</w:t>
            </w:r>
          </w:p>
        </w:tc>
        <w:tc>
          <w:tcPr>
            <w:tcW w:type="dxa" w:w="162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w:t>
            </w:r>
          </w:p>
        </w:tc>
        <w:tc>
          <w:tcPr>
            <w:tcW w:type="dxa" w:w="433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 Longer than the archive has existed.</w:t>
            </w:r>
          </w:p>
        </w:tc>
      </w:tr>
      <w:tr>
        <w:tc>
          <w:tcPr>
            <w:tcW w:type="dxa" w:w="306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MAX_HEADER_COLUMNS</w:t>
            </w:r>
          </w:p>
        </w:tc>
        <w:tc>
          <w:tcPr>
            <w:tcW w:type="dxa" w:w="162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256</w:t>
            </w:r>
          </w:p>
        </w:tc>
        <w:tc>
          <w:tcPr>
            <w:tcW w:type="dxa" w:w="433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 The archive’s own header is 27 columns.</w:t>
            </w:r>
          </w:p>
        </w:tc>
      </w:tr>
      <w:tr>
        <w:tc>
          <w:tcPr>
            <w:tcW w:type="dxa" w:w="306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MAX_FIELD_CHARS</w:t>
            </w:r>
          </w:p>
        </w:tc>
        <w:tc>
          <w:tcPr>
            <w:tcW w:type="dxa" w:w="162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512</w:t>
            </w:r>
          </w:p>
        </w:tc>
        <w:tc>
          <w:tcPr>
            <w:tcW w:type="dxa" w:w="433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 The longest field in the archive is an email address.</w:t>
            </w:r>
          </w:p>
        </w:tc>
      </w:tr>
      <w:tr>
        <w:tc>
          <w:tcPr>
            <w:tcW w:type="dxa" w:w="306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DISPLAY_ROW_LIMIT</w:t>
            </w:r>
          </w:p>
        </w:tc>
        <w:tc>
          <w:tcPr>
            <w:tcW w:type="dxa" w:w="162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w:t>
            </w:r>
          </w:p>
        </w:tc>
        <w:tc>
          <w:tcPr>
            <w:tcW w:type="dxa" w:w="433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Always, and deliberately. Display only; exports are uncapped.</w:t>
            </w:r>
          </w:p>
        </w:tc>
      </w:tr>
    </w:tbl>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A small inconsistency worth recording. </w:t>
      </w:r>
      <w:r>
        <w:rPr>
          <w:rFonts w:ascii="Calibri" w:cs="Calibri" w:eastAsia="Calibri" w:hAnsi="Calibri"/>
          <w:color w:val="1F2430"/>
          <w:sz w:val="21"/>
          <w:szCs w:val="21"/>
        </w:rPr>
        <w:t xml:space="preserve">The row cap’s own comment describes it as allowing “a quarter of a million enrolments”, </w:t>
      </w:r>
      <w:r>
        <w:rPr>
          <w:rFonts w:ascii="Calibri" w:cs="Calibri" w:eastAsia="Calibri" w:hAnsi="Calibri"/>
          <w:color w:val="1F2430"/>
          <w:sz w:val="21"/>
          <w:szCs w:val="21"/>
        </w:rPr>
        <w:t xml:space="preserve">which cannot happen in one archive file because the byte cap fires at about 220,000 rows of </w:t>
      </w:r>
      <w:r>
        <w:rPr>
          <w:rFonts w:ascii="Calibri" w:cs="Calibri" w:eastAsia="Calibri" w:hAnsi="Calibri"/>
          <w:color w:val="1F2430"/>
          <w:sz w:val="21"/>
          <w:szCs w:val="21"/>
        </w:rPr>
        <w:t xml:space="preserve">27 columns. The cap is not redundant: it is the only guard for a narrow table, where a </w:t>
      </w:r>
      <w:r>
        <w:rPr>
          <w:rFonts w:ascii="Calibri" w:cs="Calibri" w:eastAsia="Calibri" w:hAnsi="Calibri"/>
          <w:color w:val="1F2430"/>
          <w:sz w:val="21"/>
          <w:szCs w:val="21"/>
        </w:rPr>
        <w:t xml:space="preserve">quarter of a million rows is a few megabytes. But the two limits are documented as though </w:t>
      </w:r>
      <w:r>
        <w:rPr>
          <w:rFonts w:ascii="Calibri" w:cs="Calibri" w:eastAsia="Calibri" w:hAnsi="Calibri"/>
          <w:color w:val="1F2430"/>
          <w:sz w:val="21"/>
          <w:szCs w:val="21"/>
        </w:rPr>
        <w:t xml:space="preserve">either might bind first, and only one ever does for the archive.</w:t>
      </w:r>
    </w:p>
    <w:p>
      <w:pPr>
        <w:pStyle w:val="Heading2"/>
        <w:spacing w:after="120" w:before="280"/>
      </w:pPr>
      <w:r>
        <w:t xml:space="preserve">5.3 The one real ceiling</w:t>
      </w:r>
    </w:p>
    <w:p>
      <w:pPr>
        <w:spacing w:after="120" w:before="0" w:line="276"/>
      </w:pPr>
      <w:r>
        <w:rPr>
          <w:rFonts w:ascii="Calibri" w:cs="Calibri" w:eastAsia="Calibri" w:hAnsi="Calibri"/>
          <w:color w:val="1F2430"/>
          <w:sz w:val="21"/>
          <w:szCs w:val="21"/>
        </w:rPr>
        <w:t xml:space="preserve">A full canvas rebuild crosses the 16.7 ms frame budget at approximately 90 nodes (section 4.3). </w:t>
      </w:r>
      <w:r>
        <w:rPr>
          <w:rFonts w:ascii="Calibri" w:cs="Calibri" w:eastAsia="Calibri" w:hAnsi="Calibri"/>
          <w:color w:val="1F2430"/>
          <w:sz w:val="21"/>
          <w:szCs w:val="21"/>
        </w:rPr>
        <w:t xml:space="preserve">This is the only measured limit inside the tool’s plausible use envelope.</w:t>
      </w:r>
    </w:p>
    <w:p>
      <w:pPr>
        <w:spacing w:after="120" w:before="0" w:line="276"/>
      </w:pPr>
      <w:r>
        <w:rPr>
          <w:rFonts w:ascii="Calibri" w:cs="Calibri" w:eastAsia="Calibri" w:hAnsi="Calibri"/>
          <w:color w:val="1F2430"/>
          <w:sz w:val="21"/>
          <w:szCs w:val="21"/>
        </w:rPr>
        <w:t xml:space="preserve">It was judged not worth fixing, on three grounds. </w:t>
      </w:r>
      <w:r>
        <w:rPr>
          <w:rFonts w:ascii="Calibri" w:cs="Calibri" w:eastAsia="Calibri" w:hAnsi="Calibri"/>
          <w:color w:val="1F2430"/>
          <w:sz w:val="21"/>
          <w:szCs w:val="21"/>
        </w:rPr>
        <w:t xml:space="preserve">A rebuild happens on a discrete user action (adding a node, drawing a wire, changing a </w:t>
      </w:r>
      <w:r>
        <w:rPr>
          <w:rFonts w:ascii="Calibri" w:cs="Calibri" w:eastAsia="Calibri" w:hAnsi="Calibri"/>
          <w:color w:val="1F2430"/>
          <w:sz w:val="21"/>
          <w:szCs w:val="21"/>
        </w:rPr>
        <w:t xml:space="preserve">setting) and not per animation frame, so the cost is one dropped frame on a deliberate act </w:t>
      </w:r>
      <w:r>
        <w:rPr>
          <w:rFonts w:ascii="Calibri" w:cs="Calibri" w:eastAsia="Calibri" w:hAnsi="Calibri"/>
          <w:color w:val="1F2430"/>
          <w:sz w:val="21"/>
          <w:szCs w:val="21"/>
        </w:rPr>
        <w:t xml:space="preserve">rather than visible stutter. Dragging and panning, which are the per-frame paths, do not call </w:t>
      </w:r>
      <w:r>
        <w:rPr>
          <w:rFonts w:ascii="Calibri" w:cs="Calibri" w:eastAsia="Calibri" w:hAnsi="Calibri"/>
          <w:color w:val="1F2430"/>
          <w:sz w:val="21"/>
          <w:szCs w:val="21"/>
        </w:rPr>
        <w:t xml:space="preserve">it. And a realistic query is five to fifteen nodes: the measured graphs in this document are </w:t>
      </w:r>
      <w:r>
        <w:rPr>
          <w:rFonts w:ascii="Calibri" w:cs="Calibri" w:eastAsia="Calibri" w:hAnsi="Calibri"/>
          <w:color w:val="1F2430"/>
          <w:sz w:val="21"/>
          <w:szCs w:val="21"/>
        </w:rPr>
        <w:t xml:space="preserve">deliberately far larger than anything the tool is used for. An incremental renderer that </w:t>
      </w:r>
      <w:r>
        <w:rPr>
          <w:rFonts w:ascii="Calibri" w:cs="Calibri" w:eastAsia="Calibri" w:hAnsi="Calibri"/>
          <w:color w:val="1F2430"/>
          <w:sz w:val="21"/>
          <w:szCs w:val="21"/>
        </w:rPr>
        <w:t xml:space="preserve">rebuilt only changed nodes would raise the ceiling, at the cost of tracking which nodes are </w:t>
      </w:r>
      <w:r>
        <w:rPr>
          <w:rFonts w:ascii="Calibri" w:cs="Calibri" w:eastAsia="Calibri" w:hAnsi="Calibri"/>
          <w:color w:val="1F2430"/>
          <w:sz w:val="21"/>
          <w:szCs w:val="21"/>
        </w:rPr>
        <w:t xml:space="preserve">dirty, and the measurement says that complexity would buy nothing a user would notice.</w:t>
      </w:r>
    </w:p>
    <w:p>
      <w:r>
        <w:br w:type="page"/>
      </w:r>
    </w:p>
    <w:p>
      <w:pPr>
        <w:pStyle w:val="Heading1"/>
        <w:pBdr>
          <w:bottom w:val="single" w:color="C9CFD8" w:sz="6" w:space="6"/>
        </w:pBdr>
        <w:spacing w:after="160" w:before="360"/>
      </w:pPr>
      <w:r>
        <w:t xml:space="preserve">6. Defects the measurement exposed</w:t>
      </w:r>
    </w:p>
    <w:p>
      <w:pPr>
        <w:spacing w:after="120" w:before="0" w:line="276"/>
      </w:pPr>
      <w:r>
        <w:rPr>
          <w:rFonts w:ascii="Calibri" w:cs="Calibri" w:eastAsia="Calibri" w:hAnsi="Calibri"/>
          <w:color w:val="1F2430"/>
          <w:sz w:val="21"/>
          <w:szCs w:val="21"/>
        </w:rPr>
        <w:t xml:space="preserve">Both were found by pushing the tool past the data it was developed against, both were reproduced end to end against the shipped code before being fixed, and both are now held by tests that were verified to fail when the bug is put back.</w:t>
      </w:r>
    </w:p>
    <w:p>
      <w:pPr>
        <w:pStyle w:val="Heading2"/>
        <w:spacing w:after="120" w:before="280"/>
      </w:pPr>
      <w:r>
        <w:t xml:space="preserve">6.1 Minimum and Maximum crashed above about 125,000 values</w:t>
      </w:r>
    </w:p>
    <w:tbl>
      <w:tblPr>
        <w:tblW w:type="dxa" w:w="9020"/>
        <w:tblBorders>
          <w:top w:val="single" w:color="C9CFD8" w:sz="4"/>
          <w:left w:val="none"/>
          <w:bottom w:val="single" w:color="C9CFD8" w:sz="4"/>
          <w:right w:val="none"/>
          <w:insideH w:val="single" w:color="E3E7ED" w:sz="2"/>
          <w:insideV w:val="none"/>
        </w:tblBorders>
      </w:tblPr>
      <w:tblGrid>
        <w:gridCol w:w="1984"/>
        <w:gridCol w:w="7036"/>
      </w:tblGrid>
      <w:tr>
        <w:tc>
          <w:tcPr>
            <w:tcW w:type="dxa" w:w="1984"/>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Symptom</w:t>
            </w:r>
          </w:p>
        </w:tc>
        <w:tc>
          <w:tcPr>
            <w:tcW w:type="dxa" w:w="703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The Run button appeared to do nothing. No error, no message.</w:t>
            </w:r>
          </w:p>
        </w:tc>
      </w:tr>
      <w:tr>
        <w:tc>
          <w:tcPr>
            <w:tcW w:type="dxa" w:w="1984"/>
            <w:shd w:fill="F8F9FB"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Cause</w:t>
            </w:r>
          </w:p>
        </w:tc>
        <w:tc>
          <w:tcPr>
            <w:tcW w:type="dxa" w:w="703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Math.min.apply(null, nums) spreads every value as a separate function argument. Above roughly 125,000 arguments V8 throws a RangeError.</w:t>
            </w:r>
          </w:p>
        </w:tc>
      </w:tr>
      <w:tr>
        <w:tc>
          <w:tcPr>
            <w:tcW w:type="dxa" w:w="1984"/>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Why it was hidden</w:t>
            </w:r>
          </w:p>
        </w:tc>
        <w:tc>
          <w:tcPr>
            <w:tcW w:type="dxa" w:w="703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The error was thrown out of the click handler, and a throw from a DOM event handler is swallowed by the browser rather than surfaced.</w:t>
            </w:r>
          </w:p>
        </w:tc>
      </w:tr>
      <w:tr>
        <w:tc>
          <w:tcPr>
            <w:tcW w:type="dxa" w:w="1984"/>
            <w:shd w:fill="F8F9FB"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Scope</w:t>
            </w:r>
          </w:p>
        </w:tc>
        <w:tc>
          <w:tcPr>
            <w:tcW w:type="dxa" w:w="703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Three call sites: the Minimum and Maximum measures on Aggregate, and the Histogram’s bin edges and automatic bin width.</w:t>
            </w:r>
          </w:p>
        </w:tc>
      </w:tr>
      <w:tr>
        <w:tc>
          <w:tcPr>
            <w:tcW w:type="dxa" w:w="1984"/>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Inside the envelope?</w:t>
            </w:r>
          </w:p>
        </w:tc>
        <w:tc>
          <w:tcPr>
            <w:tcW w:type="dxa" w:w="703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Yes. The loader admits 250,000 rows in one file, so the crash was reachable without exceeding any documented limit.</w:t>
            </w:r>
          </w:p>
        </w:tc>
      </w:tr>
    </w:tbl>
    <w:p>
      <w:pPr>
        <w:pStyle w:val="Heading3"/>
        <w:spacing w:after="100" w:before="220"/>
      </w:pPr>
      <w:r>
        <w:t xml:space="preserve">Measured threshold</w:t>
      </w:r>
    </w:p>
    <w:tbl>
      <w:tblPr>
        <w:tblW w:type="dxa" w:w="9020"/>
        <w:tblBorders>
          <w:top w:val="single" w:color="C9CFD8" w:sz="4"/>
          <w:left w:val="none"/>
          <w:bottom w:val="single" w:color="C9CFD8" w:sz="4"/>
          <w:right w:val="none"/>
          <w:insideH w:val="single" w:color="E3E7ED" w:sz="2"/>
          <w:insideV w:val="none"/>
        </w:tblBorders>
      </w:tblPr>
      <w:tblGrid>
        <w:gridCol w:w="2706"/>
        <w:gridCol w:w="6314"/>
      </w:tblGrid>
      <w:tr>
        <w:trPr>
          <w:tblHeader/>
        </w:trPr>
        <w:tc>
          <w:tcPr>
            <w:tcW w:type="dxa" w:w="2706"/>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Values</w:t>
            </w:r>
          </w:p>
        </w:tc>
        <w:tc>
          <w:tcPr>
            <w:tcW w:type="dxa" w:w="6314"/>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Result</w:t>
            </w:r>
          </w:p>
        </w:tc>
      </w:tr>
      <w:tr>
        <w:tc>
          <w:tcPr>
            <w:tcW w:type="dxa" w:w="270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1,000</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Returns</w:t>
            </w:r>
          </w:p>
        </w:tc>
      </w:tr>
      <w:tr>
        <w:tc>
          <w:tcPr>
            <w:tcW w:type="dxa" w:w="270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10,000</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Returns</w:t>
            </w:r>
          </w:p>
        </w:tc>
      </w:tr>
      <w:tr>
        <w:tc>
          <w:tcPr>
            <w:tcW w:type="dxa" w:w="2706"/>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50,000</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Returns</w:t>
            </w:r>
          </w:p>
        </w:tc>
      </w:tr>
      <w:tr>
        <w:tc>
          <w:tcPr>
            <w:tcW w:type="dxa" w:w="2706"/>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100,000</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Returns</w:t>
            </w:r>
          </w:p>
        </w:tc>
      </w:tr>
      <w:tr>
        <w:tc>
          <w:tcPr>
            <w:tcW w:type="dxa" w:w="2706"/>
            <w:shd w:fill="FBECEC"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125,000</w:t>
            </w:r>
          </w:p>
        </w:tc>
        <w:tc>
          <w:tcPr>
            <w:tcW w:type="dxa" w:w="6314"/>
            <w:shd w:fill="FBECEC"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RangeError: Maximum call stack size exceeded</w:t>
            </w:r>
          </w:p>
        </w:tc>
      </w:tr>
      <w:tr>
        <w:tc>
          <w:tcPr>
            <w:tcW w:type="dxa" w:w="2706"/>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200,000</w:t>
            </w:r>
          </w:p>
        </w:tc>
        <w:tc>
          <w:tcPr>
            <w:tcW w:type="dxa" w:w="6314"/>
            <w:shd w:fill="FBEC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RangeError</w:t>
            </w:r>
          </w:p>
        </w:tc>
      </w:tr>
      <w:tr>
        <w:tc>
          <w:tcPr>
            <w:tcW w:type="dxa" w:w="2706"/>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250,000</w:t>
            </w:r>
          </w:p>
        </w:tc>
        <w:tc>
          <w:tcPr>
            <w:tcW w:type="dxa" w:w="6314"/>
            <w:shd w:fill="FBECEC"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RangeError</w:t>
            </w:r>
          </w:p>
        </w:tc>
      </w:tr>
    </w:tbl>
    <w:p>
      <w:pPr>
        <w:pStyle w:val="Heading3"/>
        <w:spacing w:after="100" w:before="220"/>
      </w:pPr>
      <w:r>
        <w:t xml:space="preserve">Reproduced end to end, before and after</w:t>
      </w:r>
    </w:p>
    <w:p>
      <w:pPr>
        <w:spacing w:after="120" w:before="0" w:line="276"/>
      </w:pPr>
      <w:r>
        <w:rPr>
          <w:rFonts w:ascii="Calibri" w:cs="Calibri" w:eastAsia="Calibri" w:hAnsi="Calibri"/>
          <w:color w:val="1F2430"/>
          <w:sz w:val="21"/>
          <w:szCs w:val="21"/>
        </w:rPr>
        <w:t xml:space="preserve">A one-column numeric table of 150,000 rows cycling 1 to 100, so every expected answer is exact.</w:t>
      </w:r>
    </w:p>
    <w:tbl>
      <w:tblPr>
        <w:tblW w:type="dxa" w:w="9020"/>
        <w:tblBorders>
          <w:top w:val="single" w:color="C9CFD8" w:sz="4"/>
          <w:left w:val="none"/>
          <w:bottom w:val="single" w:color="C9CFD8" w:sz="4"/>
          <w:right w:val="none"/>
          <w:insideH w:val="single" w:color="E3E7ED" w:sz="2"/>
          <w:insideV w:val="none"/>
        </w:tblBorders>
      </w:tblPr>
      <w:tblGrid>
        <w:gridCol w:w="1985"/>
        <w:gridCol w:w="1984"/>
        <w:gridCol w:w="3067"/>
        <w:gridCol w:w="1984"/>
      </w:tblGrid>
      <w:tr>
        <w:trPr>
          <w:tblHeader/>
        </w:trPr>
        <w:tc>
          <w:tcPr>
            <w:tcW w:type="dxa" w:w="1985"/>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Measure</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Expected</w:t>
            </w:r>
          </w:p>
        </w:tc>
        <w:tc>
          <w:tcPr>
            <w:tcW w:type="dxa" w:w="3067"/>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Before the fix</w:t>
            </w:r>
          </w:p>
        </w:tc>
        <w:tc>
          <w:tcPr>
            <w:tcW w:type="dxa" w:w="1984"/>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After</w:t>
            </w:r>
          </w:p>
        </w:tc>
      </w:tr>
      <w:tr>
        <w:tc>
          <w:tcPr>
            <w:tcW w:type="dxa" w:w="1985"/>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Count</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150,000</w:t>
            </w:r>
          </w:p>
        </w:tc>
        <w:tc>
          <w:tcPr>
            <w:tcW w:type="dxa" w:w="3067"/>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Correct</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150,000</w:t>
            </w:r>
          </w:p>
        </w:tc>
      </w:tr>
      <w:tr>
        <w:tc>
          <w:tcPr>
            <w:tcW w:type="dxa" w:w="1985"/>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Sum</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7,575,000</w:t>
            </w:r>
          </w:p>
        </w:tc>
        <w:tc>
          <w:tcPr>
            <w:tcW w:type="dxa" w:w="3067"/>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Correct</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7,575,000</w:t>
            </w:r>
          </w:p>
        </w:tc>
      </w:tr>
      <w:tr>
        <w:tc>
          <w:tcPr>
            <w:tcW w:type="dxa" w:w="1985"/>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Average</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50.5</w:t>
            </w:r>
          </w:p>
        </w:tc>
        <w:tc>
          <w:tcPr>
            <w:tcW w:type="dxa" w:w="3067"/>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Correct</w:t>
            </w:r>
          </w:p>
        </w:tc>
        <w:tc>
          <w:tcPr>
            <w:tcW w:type="dxa" w:w="1984"/>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50.5</w:t>
            </w:r>
          </w:p>
        </w:tc>
      </w:tr>
      <w:tr>
        <w:tc>
          <w:tcPr>
            <w:tcW w:type="dxa" w:w="1985"/>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Median</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50.5</w:t>
            </w:r>
          </w:p>
        </w:tc>
        <w:tc>
          <w:tcPr>
            <w:tcW w:type="dxa" w:w="3067"/>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Correct</w:t>
            </w:r>
          </w:p>
        </w:tc>
        <w:tc>
          <w:tcPr>
            <w:tcW w:type="dxa" w:w="1984"/>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50.5</w:t>
            </w:r>
          </w:p>
        </w:tc>
      </w:tr>
      <w:tr>
        <w:tc>
          <w:tcPr>
            <w:tcW w:type="dxa" w:w="1985"/>
            <w:shd w:fill="FBECEC"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Minimum</w:t>
            </w:r>
          </w:p>
        </w:tc>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w:t>
            </w:r>
          </w:p>
        </w:tc>
        <w:tc>
          <w:tcPr>
            <w:tcW w:type="dxa" w:w="3067"/>
            <w:shd w:fill="FBECEC"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RangeError thrown</w:t>
            </w:r>
          </w:p>
        </w:tc>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1</w:t>
            </w:r>
          </w:p>
        </w:tc>
      </w:tr>
      <w:tr>
        <w:tc>
          <w:tcPr>
            <w:tcW w:type="dxa" w:w="1985"/>
            <w:shd w:fill="FBECEC"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Maximum</w:t>
            </w:r>
          </w:p>
        </w:tc>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100</w:t>
            </w:r>
          </w:p>
        </w:tc>
        <w:tc>
          <w:tcPr>
            <w:tcW w:type="dxa" w:w="3067"/>
            <w:shd w:fill="FBECEC"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RangeError thrown</w:t>
            </w:r>
          </w:p>
        </w:tc>
        <w:tc>
          <w:tcPr>
            <w:tcW w:type="dxa" w:w="1984"/>
            <w:shd w:fill="FBECEC"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100</w:t>
            </w:r>
          </w:p>
        </w:tc>
      </w:tr>
    </w:tbl>
    <w:p>
      <w:pPr>
        <w:spacing w:after="120" w:before="0" w:line="276"/>
      </w:pPr>
      <w:r>
        <w:rPr>
          <w:rFonts w:ascii="Calibri" w:cs="Calibri" w:eastAsia="Calibri" w:hAnsi="Calibri"/>
          <w:color w:val="1F2430"/>
          <w:sz w:val="21"/>
          <w:szCs w:val="21"/>
        </w:rPr>
        <w:t xml:space="preserve">Sum, average and median were never affected because reduce and sort take the array rather </w:t>
      </w:r>
      <w:r>
        <w:rPr>
          <w:rFonts w:ascii="Calibri" w:cs="Calibri" w:eastAsia="Calibri" w:hAnsi="Calibri"/>
          <w:color w:val="1F2430"/>
          <w:sz w:val="21"/>
          <w:szCs w:val="21"/>
        </w:rPr>
        <w:t xml:space="preserve">than spreading it, which is why they are measured alongside: they are the control that shows </w:t>
      </w:r>
      <w:r>
        <w:rPr>
          <w:rFonts w:ascii="Calibri" w:cs="Calibri" w:eastAsia="Calibri" w:hAnsi="Calibri"/>
          <w:color w:val="1F2430"/>
          <w:sz w:val="21"/>
          <w:szCs w:val="21"/>
        </w:rPr>
        <w:t xml:space="preserve">the defect was the spread and not the data.</w:t>
      </w:r>
    </w:p>
    <w:p>
      <w:pPr>
        <w:pStyle w:val="Heading3"/>
        <w:spacing w:after="100" w:before="220"/>
      </w:pPr>
      <w:r>
        <w:t xml:space="preserve">Fix</w:t>
      </w:r>
    </w:p>
    <w:p>
      <w:pPr>
        <w:spacing w:after="120" w:before="0" w:line="276"/>
      </w:pPr>
      <w:r>
        <w:rPr>
          <w:rFonts w:ascii="Calibri" w:cs="Calibri" w:eastAsia="Calibri" w:hAnsi="Calibri"/>
          <w:color w:val="1F2430"/>
          <w:sz w:val="21"/>
          <w:szCs w:val="21"/>
        </w:rPr>
        <w:t xml:space="preserve">Two shared helpers in the engine core, used by all three call sites. Linear, allocation-free, and they return null for an empty column rather than Infinity, which would print in a result cell as though it were a value.</w:t>
      </w:r>
    </w:p>
    <w:p>
      <w:pPr>
        <w:pBdr>
          <w:left w:val="single" w:color="C9CFD8" w:sz="12" w:space="8"/>
        </w:pBdr>
        <w:shd w:fill="F4F5F7" w:val="clear"/>
        <w:spacing w:after="140" w:before="100"/>
        <w:ind w:left="180" w:right="180"/>
      </w:pPr>
      <w:r>
        <w:rPr>
          <w:rFonts w:ascii="Consolas" w:cs="Consolas" w:eastAsia="Consolas" w:hAnsi="Consolas"/>
          <w:color w:val="1F2430"/>
          <w:sz w:val="19"/>
          <w:szCs w:val="19"/>
        </w:rPr>
        <w:t xml:space="preserve">function minOf(nums) {</w:t>
      </w:r>
      <w:r>
        <w:br/>
      </w:r>
      <w:r>
        <w:rPr>
          <w:rFonts w:ascii="Consolas" w:cs="Consolas" w:eastAsia="Consolas" w:hAnsi="Consolas"/>
          <w:color w:val="1F2430"/>
          <w:sz w:val="19"/>
          <w:szCs w:val="19"/>
        </w:rPr>
        <w:t xml:space="preserve">  if (!nums || !nums.length) return null;</w:t>
      </w:r>
      <w:r>
        <w:br/>
      </w:r>
      <w:r>
        <w:rPr>
          <w:rFonts w:ascii="Consolas" w:cs="Consolas" w:eastAsia="Consolas" w:hAnsi="Consolas"/>
          <w:color w:val="1F2430"/>
          <w:sz w:val="19"/>
          <w:szCs w:val="19"/>
        </w:rPr>
        <w:t xml:space="preserve">  var acc = nums[0];</w:t>
      </w:r>
      <w:r>
        <w:br/>
      </w:r>
      <w:r>
        <w:rPr>
          <w:rFonts w:ascii="Consolas" w:cs="Consolas" w:eastAsia="Consolas" w:hAnsi="Consolas"/>
          <w:color w:val="1F2430"/>
          <w:sz w:val="19"/>
          <w:szCs w:val="19"/>
        </w:rPr>
        <w:t xml:space="preserve">  for (var i = 1; i &lt; nums.length; i++) if (nums[i] &lt; acc) acc = nums[i];</w:t>
      </w:r>
      <w:r>
        <w:br/>
      </w:r>
      <w:r>
        <w:rPr>
          <w:rFonts w:ascii="Consolas" w:cs="Consolas" w:eastAsia="Consolas" w:hAnsi="Consolas"/>
          <w:color w:val="1F2430"/>
          <w:sz w:val="19"/>
          <w:szCs w:val="19"/>
        </w:rPr>
        <w:t xml:space="preserve">  return acc;</w:t>
      </w:r>
      <w:r>
        <w:br/>
      </w:r>
      <w:r>
        <w:rPr>
          <w:rFonts w:ascii="Consolas" w:cs="Consolas" w:eastAsia="Consolas" w:hAnsi="Consolas"/>
          <w:color w:val="1F2430"/>
          <w:sz w:val="19"/>
          <w:szCs w:val="19"/>
        </w:rPr>
        <w:t xml:space="preserve">}</w:t>
      </w:r>
    </w:p>
    <w:p>
      <w:pPr>
        <w:pStyle w:val="Heading2"/>
        <w:spacing w:after="120" w:before="280"/>
      </w:pPr>
      <w:r>
        <w:t xml:space="preserve">6.2 Values sharing a name with a JavaScript built-in were silently discarded</w:t>
      </w:r>
    </w:p>
    <w:tbl>
      <w:tblPr>
        <w:tblW w:type="dxa" w:w="9020"/>
        <w:tblBorders>
          <w:top w:val="single" w:color="C9CFD8" w:sz="4"/>
          <w:left w:val="none"/>
          <w:bottom w:val="single" w:color="C9CFD8" w:sz="4"/>
          <w:right w:val="none"/>
          <w:insideH w:val="single" w:color="E3E7ED" w:sz="2"/>
          <w:insideV w:val="none"/>
        </w:tblBorders>
      </w:tblPr>
      <w:tblGrid>
        <w:gridCol w:w="1984"/>
        <w:gridCol w:w="7036"/>
      </w:tblGrid>
      <w:tr>
        <w:tc>
          <w:tcPr>
            <w:tcW w:type="dxa" w:w="1984"/>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Symptom</w:t>
            </w:r>
          </w:p>
        </w:tc>
        <w:tc>
          <w:tcPr>
            <w:tcW w:type="dxa" w:w="703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Rows vanished from a result. No error, no warning, no log line: the row was dropped exactly the way a genuine duplicate is dropped, and the output looked like output.</w:t>
            </w:r>
          </w:p>
        </w:tc>
      </w:tr>
      <w:tr>
        <w:tc>
          <w:tcPr>
            <w:tcW w:type="dxa" w:w="1984"/>
            <w:shd w:fill="F8F9FB"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Cause</w:t>
            </w:r>
          </w:p>
        </w:tc>
        <w:tc>
          <w:tcPr>
            <w:tcW w:type="dxa" w:w="703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Deduplication written as seen[value] on a plain object. A plain object inherits from Object.prototype, so seen["constructor"] reads back a function and is truthy before anything has been stored.</w:t>
            </w:r>
          </w:p>
        </w:tc>
      </w:tr>
      <w:tr>
        <w:tc>
          <w:tcPr>
            <w:tcW w:type="dxa" w:w="1984"/>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Affected values</w:t>
            </w:r>
          </w:p>
        </w:tc>
        <w:tc>
          <w:tcPr>
            <w:tcW w:type="dxa" w:w="703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constructor, toString, valueOf, hasOwnProperty, isPrototypeOf, propertyIsEnumerable, __proto__</w:t>
            </w:r>
          </w:p>
        </w:tc>
      </w:tr>
      <w:tr>
        <w:tc>
          <w:tcPr>
            <w:tcW w:type="dxa" w:w="1984"/>
            <w:shd w:fill="F8F9FB"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Why it became reachable</w:t>
            </w:r>
          </w:p>
        </w:tc>
        <w:tc>
          <w:tcPr>
            <w:tcW w:type="dxa" w:w="703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It never affected the student archive, whose keys are IDs, grades and course codes. Generalising Source to read any table made it reachable, because a tag, category or band column holds ordinary English and these are ordinary English words.</w:t>
            </w:r>
          </w:p>
        </w:tc>
      </w:tr>
    </w:tbl>
    <w:p>
      <w:pPr>
        <w:pStyle w:val="Heading3"/>
        <w:spacing w:after="100" w:before="220"/>
      </w:pPr>
      <w:r>
        <w:t xml:space="preserve">Reproduced</w:t>
      </w:r>
    </w:p>
    <w:p>
      <w:pPr>
        <w:spacing w:after="120" w:before="0" w:line="276"/>
      </w:pPr>
      <w:r>
        <w:rPr>
          <w:rFonts w:ascii="Calibri" w:cs="Calibri" w:eastAsia="Calibri" w:hAnsi="Calibri"/>
          <w:color w:val="1F2430"/>
          <w:sz w:val="21"/>
          <w:szCs w:val="21"/>
        </w:rPr>
        <w:t xml:space="preserve">A one-column table of eight distinct values passed through a Unique node:</w:t>
      </w:r>
    </w:p>
    <w:p>
      <w:pPr>
        <w:pBdr>
          <w:left w:val="single" w:color="C9CFD8" w:sz="12" w:space="8"/>
        </w:pBdr>
        <w:shd w:fill="F4F5F7" w:val="clear"/>
        <w:spacing w:after="140" w:before="100"/>
        <w:ind w:left="180" w:right="180"/>
      </w:pPr>
      <w:r>
        <w:rPr>
          <w:rFonts w:ascii="Consolas" w:cs="Consolas" w:eastAsia="Consolas" w:hAnsi="Consolas"/>
          <w:color w:val="1F2430"/>
          <w:sz w:val="19"/>
          <w:szCs w:val="19"/>
        </w:rPr>
        <w:t xml:space="preserve">in  : SWEN, CYBR, constructor, toString, __proto__, valueOf,</w:t>
      </w:r>
      <w:r>
        <w:br/>
      </w:r>
      <w:r>
        <w:rPr>
          <w:rFonts w:ascii="Consolas" w:cs="Consolas" w:eastAsia="Consolas" w:hAnsi="Consolas"/>
          <w:color w:val="1F2430"/>
          <w:sz w:val="19"/>
          <w:szCs w:val="19"/>
        </w:rPr>
        <w:t xml:space="preserve">      hasOwnProperty, isPrototypeOf</w:t>
      </w:r>
      <w:r>
        <w:br/>
      </w:r>
      <w:r>
        <w:rPr>
          <w:rFonts w:ascii="Consolas" w:cs="Consolas" w:eastAsia="Consolas" w:hAnsi="Consolas"/>
          <w:color w:val="1F2430"/>
          <w:sz w:val="19"/>
          <w:szCs w:val="19"/>
        </w:rPr>
        <w:t xml:space="preserve">out : SWEN, CYBR</w:t>
      </w:r>
      <w:r>
        <w:br/>
      </w:r>
      <w:r>
        <w:rPr>
          <w:rFonts w:ascii="Consolas" w:cs="Consolas" w:eastAsia="Consolas" w:hAnsi="Consolas"/>
          <w:color w:val="1F2430"/>
          <w:sz w:val="19"/>
          <w:szCs w:val="19"/>
        </w:rPr>
        <w:t xml:space="preserve"/>
      </w:r>
      <w:r>
        <w:br/>
      </w:r>
      <w:r>
        <w:rPr>
          <w:rFonts w:ascii="Consolas" w:cs="Consolas" w:eastAsia="Consolas" w:hAnsi="Consolas"/>
          <w:color w:val="1F2430"/>
          <w:sz w:val="19"/>
          <w:szCs w:val="19"/>
        </w:rPr>
        <w:t xml:space="preserve">SILENTLY DROPPED: 6 of 8 distinct values</w:t>
      </w:r>
    </w:p>
    <w:p>
      <w:pPr>
        <w:pStyle w:val="Heading3"/>
        <w:spacing w:after="100" w:before="220"/>
      </w:pPr>
      <w:r>
        <w:t xml:space="preserve">Scope: six sites, four of them unguarded</w:t>
      </w:r>
    </w:p>
    <w:p>
      <w:pPr>
        <w:spacing w:after="120" w:before="0" w:line="276"/>
      </w:pPr>
      <w:r>
        <w:rPr>
          <w:rFonts w:ascii="Calibri" w:cs="Calibri" w:eastAsia="Calibri" w:hAnsi="Calibri"/>
          <w:color w:val="1F2430"/>
          <w:sz w:val="21"/>
          <w:szCs w:val="21"/>
        </w:rPr>
        <w:t xml:space="preserve">The two that were already correct are the strongest evidence that the other four were an oversight rather than a decision.</w:t>
      </w:r>
    </w:p>
    <w:tbl>
      <w:tblPr>
        <w:tblW w:type="dxa" w:w="9020"/>
        <w:tblBorders>
          <w:top w:val="single" w:color="C9CFD8" w:sz="4"/>
          <w:left w:val="none"/>
          <w:bottom w:val="single" w:color="C9CFD8" w:sz="4"/>
          <w:right w:val="none"/>
          <w:insideH w:val="single" w:color="E3E7ED" w:sz="2"/>
          <w:insideV w:val="none"/>
        </w:tblBorders>
      </w:tblPr>
      <w:tblGrid>
        <w:gridCol w:w="2706"/>
        <w:gridCol w:w="3608"/>
        <w:gridCol w:w="2706"/>
      </w:tblGrid>
      <w:tr>
        <w:trPr>
          <w:tblHeader/>
        </w:trPr>
        <w:tc>
          <w:tcPr>
            <w:tcW w:type="dxa" w:w="2706"/>
            <w:shd w:fill="EEF1F5" w:val="clear"/>
            <w:tcMar>
              <w:top w:type="dxa" w:w="70"/>
              <w:left w:type="dxa" w:w="110"/>
              <w:bottom w:type="dxa" w:w="70"/>
              <w:right w:type="dxa" w:w="110"/>
            </w:tcMar>
            <w:vAlign w:val="center"/>
          </w:tcPr>
          <w:p>
            <w:pPr>
              <w:spacing w:after="0" w:line="252"/>
              <w:jc w:val="left"/>
            </w:pPr>
            <w:r>
              <w:rPr>
                <w:rFonts w:ascii="Consolas" w:cs="Consolas" w:eastAsia="Consolas" w:hAnsi="Consolas"/>
                <w:b/>
                <w:bCs/>
                <w:color w:val="1F2430"/>
                <w:sz w:val="18"/>
                <w:szCs w:val="18"/>
              </w:rPr>
              <w:t xml:space="preserve">Site</w:t>
            </w:r>
          </w:p>
        </w:tc>
        <w:tc>
          <w:tcPr>
            <w:tcW w:type="dxa" w:w="3608"/>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Keyed on</w:t>
            </w:r>
          </w:p>
        </w:tc>
        <w:tc>
          <w:tcPr>
            <w:tcW w:type="dxa" w:w="2706"/>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Before</w:t>
            </w:r>
          </w:p>
        </w:tc>
      </w:tr>
      <w:tr>
        <w:tc>
          <w:tcPr>
            <w:tcW w:type="dxa" w:w="270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engine/combine.js</w:t>
            </w:r>
          </w:p>
        </w:tc>
        <w:tc>
          <w:tcPr>
            <w:tcW w:type="dxa" w:w="3608"/>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Join keys</w:t>
            </w:r>
          </w:p>
        </w:tc>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2C6B3F"/>
                <w:sz w:val="18"/>
                <w:szCs w:val="18"/>
              </w:rPr>
              <w:t xml:space="preserve">Already guarded (prefixed)</w:t>
            </w:r>
          </w:p>
        </w:tc>
      </w:tr>
      <w:tr>
        <w:tc>
          <w:tcPr>
            <w:tcW w:type="dxa" w:w="270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engine/core.js (rowKey)</w:t>
            </w:r>
          </w:p>
        </w:tc>
        <w:tc>
          <w:tcPr>
            <w:tcW w:type="dxa" w:w="3608"/>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Whole rows, for the union</w:t>
            </w:r>
          </w:p>
        </w:tc>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2C6B3F"/>
                <w:sz w:val="18"/>
                <w:szCs w:val="18"/>
              </w:rPr>
              <w:t xml:space="preserve">Already guarded (prefixed)</w:t>
            </w:r>
          </w:p>
        </w:tc>
      </w:tr>
      <w:tr>
        <w:tc>
          <w:tcPr>
            <w:tcW w:type="dxa" w:w="270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engine/unique-select.js</w:t>
            </w:r>
          </w:p>
        </w:tc>
        <w:tc>
          <w:tcPr>
            <w:tcW w:type="dxa" w:w="3608"/>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Cell values, in Unique</w:t>
            </w:r>
          </w:p>
        </w:tc>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A03030"/>
                <w:sz w:val="18"/>
                <w:szCs w:val="18"/>
              </w:rPr>
              <w:t xml:space="preserve">Vulnerable</w:t>
            </w:r>
          </w:p>
        </w:tc>
      </w:tr>
      <w:tr>
        <w:tc>
          <w:tcPr>
            <w:tcW w:type="dxa" w:w="270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engine/selectfor.js</w:t>
            </w:r>
          </w:p>
        </w:tc>
        <w:tc>
          <w:tcPr>
            <w:tcW w:type="dxa" w:w="3608"/>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Group labels, and band names</w:t>
            </w:r>
          </w:p>
        </w:tc>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A03030"/>
                <w:sz w:val="18"/>
                <w:szCs w:val="18"/>
              </w:rPr>
              <w:t xml:space="preserve">Vulnerable (3 places)</w:t>
            </w:r>
          </w:p>
        </w:tc>
      </w:tr>
      <w:tr>
        <w:tc>
          <w:tcPr>
            <w:tcW w:type="dxa" w:w="270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nodes/model.js</w:t>
            </w:r>
          </w:p>
        </w:tc>
        <w:tc>
          <w:tcPr>
            <w:tcW w:type="dxa" w:w="3608"/>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Values typed into a filter list</w:t>
            </w:r>
          </w:p>
        </w:tc>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A03030"/>
                <w:sz w:val="18"/>
                <w:szCs w:val="18"/>
              </w:rPr>
              <w:t xml:space="preserve">Vulnerable</w:t>
            </w:r>
          </w:p>
        </w:tc>
      </w:tr>
      <w:tr>
        <w:tc>
          <w:tcPr>
            <w:tcW w:type="dxa" w:w="2706"/>
            <w:shd w:fill="F8F9FB" w:val="clear"/>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data/sources.js</w:t>
            </w:r>
          </w:p>
        </w:tc>
        <w:tc>
          <w:tcPr>
            <w:tcW w:type="dxa" w:w="3608"/>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Column names from the header file</w:t>
            </w:r>
          </w:p>
        </w:tc>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A03030"/>
                <w:sz w:val="18"/>
                <w:szCs w:val="18"/>
              </w:rPr>
              <w:t xml:space="preserve">Vulnerable</w:t>
            </w:r>
          </w:p>
        </w:tc>
      </w:tr>
      <w:tr>
        <w:tc>
          <w:tcPr>
            <w:tcW w:type="dxa" w:w="2706"/>
            <w:tcMar>
              <w:top w:type="dxa" w:w="70"/>
              <w:left w:type="dxa" w:w="110"/>
              <w:bottom w:type="dxa" w:w="70"/>
              <w:right w:type="dxa" w:w="110"/>
            </w:tcMar>
            <w:vAlign w:val="center"/>
          </w:tcPr>
          <w:p>
            <w:pPr>
              <w:spacing w:after="0" w:line="252"/>
              <w:jc w:val="left"/>
            </w:pPr>
            <w:r>
              <w:rPr>
                <w:rFonts w:ascii="Consolas" w:cs="Consolas" w:eastAsia="Consolas" w:hAnsi="Consolas"/>
                <w:color w:val="1F2430"/>
                <w:sz w:val="18"/>
                <w:szCs w:val="18"/>
              </w:rPr>
              <w:t xml:space="preserve">queries/library-store.js</w:t>
            </w:r>
          </w:p>
        </w:tc>
        <w:tc>
          <w:tcPr>
            <w:tcW w:type="dxa" w:w="3608"/>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Entry ids in an imported library</w:t>
            </w:r>
          </w:p>
        </w:tc>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A03030"/>
                <w:sz w:val="18"/>
                <w:szCs w:val="18"/>
              </w:rPr>
              <w:t xml:space="preserve">Vulnerable</w:t>
            </w:r>
          </w:p>
        </w:tc>
      </w:tr>
    </w:tbl>
    <w:p>
      <w:pPr>
        <w:pStyle w:val="Heading3"/>
        <w:spacing w:after="100" w:before="220"/>
      </w:pPr>
      <w:r>
        <w:t xml:space="preserve">Fix</w:t>
      </w:r>
    </w:p>
    <w:p>
      <w:pPr>
        <w:spacing w:after="120" w:before="0" w:line="276"/>
      </w:pPr>
      <w:r>
        <w:rPr>
          <w:rFonts w:ascii="Calibri" w:cs="Calibri" w:eastAsia="Calibri" w:hAnsi="Calibri"/>
          <w:color w:val="1F2430"/>
          <w:sz w:val="21"/>
          <w:szCs w:val="21"/>
        </w:rPr>
        <w:t xml:space="preserve">A one-character prefix on the lookup key, so it can no longer name an inherited property. The same guard the two correct sites already used.</w:t>
      </w:r>
    </w:p>
    <w:p>
      <w:pPr>
        <w:pBdr>
          <w:left w:val="single" w:color="C9CFD8" w:sz="12" w:space="8"/>
        </w:pBdr>
        <w:shd w:fill="F4F5F7" w:val="clear"/>
        <w:spacing w:after="140" w:before="100"/>
        <w:ind w:left="180" w:right="180"/>
      </w:pPr>
      <w:r>
        <w:rPr>
          <w:rFonts w:ascii="Consolas" w:cs="Consolas" w:eastAsia="Consolas" w:hAnsi="Consolas"/>
          <w:color w:val="1F2430"/>
          <w:sz w:val="19"/>
          <w:szCs w:val="19"/>
        </w:rPr>
        <w:t xml:space="preserve">- if (seen[k]) return;</w:t>
      </w:r>
      <w:r>
        <w:br/>
      </w:r>
      <w:r>
        <w:rPr>
          <w:rFonts w:ascii="Consolas" w:cs="Consolas" w:eastAsia="Consolas" w:hAnsi="Consolas"/>
          <w:color w:val="1F2430"/>
          <w:sz w:val="19"/>
          <w:szCs w:val="19"/>
        </w:rPr>
        <w:t xml:space="preserve">- seen[k] = true;</w:t>
      </w:r>
      <w:r>
        <w:br/>
      </w:r>
      <w:r>
        <w:rPr>
          <w:rFonts w:ascii="Consolas" w:cs="Consolas" w:eastAsia="Consolas" w:hAnsi="Consolas"/>
          <w:color w:val="1F2430"/>
          <w:sz w:val="19"/>
          <w:szCs w:val="19"/>
        </w:rPr>
        <w:t xml:space="preserve">+ if (seen['v' + k]) return;</w:t>
      </w:r>
      <w:r>
        <w:br/>
      </w:r>
      <w:r>
        <w:rPr>
          <w:rFonts w:ascii="Consolas" w:cs="Consolas" w:eastAsia="Consolas" w:hAnsi="Consolas"/>
          <w:color w:val="1F2430"/>
          <w:sz w:val="19"/>
          <w:szCs w:val="19"/>
        </w:rPr>
        <w:t xml:space="preserve">+ seen['v' + k] = true;</w:t>
      </w:r>
    </w:p>
    <w:p>
      <w:pPr>
        <w:pBdr>
          <w:left w:val="single" w:color="8A94A6" w:sz="12" w:space="8"/>
        </w:pBdr>
        <w:shd w:fill="F8F9FB" w:val="clear"/>
        <w:spacing w:after="160" w:before="120" w:line="276"/>
        <w:ind w:left="180" w:right="180"/>
      </w:pPr>
      <w:r>
        <w:rPr>
          <w:rFonts w:ascii="Calibri" w:cs="Calibri" w:eastAsia="Calibri" w:hAnsi="Calibri"/>
          <w:color w:val="1F2430"/>
          <w:sz w:val="21"/>
          <w:szCs w:val="21"/>
        </w:rPr>
        <w:t xml:space="preserve">The header-column case had a second symptom worth noting. </w:t>
      </w:r>
      <w:r>
        <w:rPr>
          <w:rFonts w:ascii="Calibri" w:cs="Calibri" w:eastAsia="Calibri" w:hAnsi="Calibri"/>
          <w:color w:val="1F2430"/>
          <w:sz w:val="21"/>
          <w:szCs w:val="21"/>
        </w:rPr>
        <w:t xml:space="preserve">A column honestly named “constructor” looked to the renaming loop like a repeat of a column </w:t>
      </w:r>
      <w:r>
        <w:rPr>
          <w:rFonts w:ascii="Calibri" w:cs="Calibri" w:eastAsia="Calibri" w:hAnsi="Calibri"/>
          <w:color w:val="1F2430"/>
          <w:sz w:val="21"/>
          <w:szCs w:val="21"/>
        </w:rPr>
        <w:t xml:space="preserve">that did not exist, so it was renamed to “constructor_2” on sight and then disagreed with </w:t>
      </w:r>
      <w:r>
        <w:rPr>
          <w:rFonts w:ascii="Calibri" w:cs="Calibri" w:eastAsia="Calibri" w:hAnsi="Calibri"/>
          <w:color w:val="1F2430"/>
          <w:sz w:val="21"/>
          <w:szCs w:val="21"/>
        </w:rPr>
        <w:t xml:space="preserve">its own label in every dropdown built from it.</w:t>
      </w:r>
    </w:p>
    <w:p>
      <w:pPr>
        <w:pStyle w:val="Heading1"/>
        <w:pBdr>
          <w:bottom w:val="single" w:color="C9CFD8" w:sz="6" w:space="6"/>
        </w:pBdr>
        <w:spacing w:after="160" w:before="360"/>
      </w:pPr>
      <w:r>
        <w:t xml:space="preserve">7. The tests that hold these results</w:t>
      </w:r>
    </w:p>
    <w:p>
      <w:pPr>
        <w:spacing w:after="120" w:before="0" w:line="276"/>
      </w:pPr>
      <w:r>
        <w:rPr>
          <w:rFonts w:ascii="Calibri" w:cs="Calibri" w:eastAsia="Calibri" w:hAnsi="Calibri"/>
          <w:color w:val="1F2430"/>
          <w:sz w:val="21"/>
          <w:szCs w:val="21"/>
        </w:rPr>
        <w:t xml:space="preserve">Twenty-three tests were added across two new suites, taking the project suite from 1,642 to </w:t>
      </w:r>
      <w:r>
        <w:rPr>
          <w:rFonts w:ascii="Calibri" w:cs="Calibri" w:eastAsia="Calibri" w:hAnsi="Calibri"/>
          <w:color w:val="1F2430"/>
          <w:sz w:val="21"/>
          <w:szCs w:val="21"/>
        </w:rPr>
        <w:t xml:space="preserve">1,665 passing tests. The design principle is that </w:t>
      </w:r>
      <w:r>
        <w:rPr>
          <w:rFonts w:ascii="Calibri" w:cs="Calibri" w:eastAsia="Calibri" w:hAnsi="Calibri"/>
          <w:b/>
          <w:bCs/>
          <w:color w:val="1F2430"/>
          <w:sz w:val="21"/>
          <w:szCs w:val="21"/>
        </w:rPr>
        <w:t xml:space="preserve">a performance test should assert a property, not a stopwatch reading</w:t>
      </w:r>
      <w:r>
        <w:rPr>
          <w:rFonts w:ascii="Calibri" w:cs="Calibri" w:eastAsia="Calibri" w:hAnsi="Calibri"/>
          <w:color w:val="1F2430"/>
          <w:sz w:val="21"/>
          <w:szCs w:val="21"/>
        </w:rPr>
        <w:t xml:space="preserve">, wherever that is possible: a test that says “this took under 40 ms” fails on a loaded machine </w:t>
      </w:r>
      <w:r>
        <w:rPr>
          <w:rFonts w:ascii="Calibri" w:cs="Calibri" w:eastAsia="Calibri" w:hAnsi="Calibri"/>
          <w:color w:val="1F2430"/>
          <w:sz w:val="21"/>
          <w:szCs w:val="21"/>
        </w:rPr>
        <w:t xml:space="preserve">and passes on a fast one, and neither outcome says anything about the code.</w:t>
      </w:r>
    </w:p>
    <w:p>
      <w:pPr>
        <w:pStyle w:val="Heading2"/>
        <w:spacing w:after="120" w:before="280"/>
      </w:pPr>
      <w:r>
        <w:t xml:space="preserve">7.1 Suite 45: performance</w:t>
      </w:r>
    </w:p>
    <w:tbl>
      <w:tblPr>
        <w:tblW w:type="dxa" w:w="9020"/>
        <w:tblBorders>
          <w:top w:val="single" w:color="C9CFD8" w:sz="4"/>
          <w:left w:val="none"/>
          <w:bottom w:val="single" w:color="C9CFD8" w:sz="4"/>
          <w:right w:val="none"/>
          <w:insideH w:val="single" w:color="E3E7ED" w:sz="2"/>
          <w:insideV w:val="none"/>
        </w:tblBorders>
      </w:tblPr>
      <w:tblGrid>
        <w:gridCol w:w="2706"/>
        <w:gridCol w:w="6314"/>
      </w:tblGrid>
      <w:tr>
        <w:trPr>
          <w:tblHeader/>
        </w:trPr>
        <w:tc>
          <w:tcPr>
            <w:tcW w:type="dxa" w:w="2706"/>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Group</w:t>
            </w:r>
          </w:p>
        </w:tc>
        <w:tc>
          <w:tcPr>
            <w:tcW w:type="dxa" w:w="6314"/>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What is asserted, and how</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A shared subgraph is evaluated once</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Object identity: every branch’s input must be the same array instance the Source produced. Cannot be flaky. Plus a loose timing ratio as a second signal.</w:t>
            </w:r>
          </w:p>
        </w:tc>
      </w:tr>
      <w:tr>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The panel is bounded by its cap</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150,000 rows must render as at most 51 table rows, and must still export 150,000. Capping the export would make the first half pass and the tool wrong, so both are asserted.</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Parse cost is linear</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Four times the rows must cost well under sixteen times the time. Linear is about 4× and quadratic about 16×, so the threshold sits between them with room on both sides.</w:t>
            </w:r>
          </w:p>
        </w:tc>
      </w:tr>
      <w:tr>
        <w:tc>
          <w:tcPr>
            <w:tcW w:type="dxa" w:w="2706"/>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Large columns do not crash</w:t>
            </w:r>
          </w:p>
        </w:tc>
        <w:tc>
          <w:tcPr>
            <w:tcW w:type="dxa" w:w="6314"/>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Every measure over 150,000 rows returns its exact expected value, the Histogram bins all 150,000, and the full run returns rather than throwing.</w:t>
            </w:r>
          </w:p>
        </w:tc>
      </w:tr>
      <w:tr>
        <w:tc>
          <w:tcPr>
            <w:tcW w:type="dxa" w:w="2706"/>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Nothing is an order of magnitude slower</w:t>
            </w:r>
          </w:p>
        </w:tc>
        <w:tc>
          <w:tcPr>
            <w:tcW w:type="dxa" w:w="6314"/>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Three wall-clock budgets, each about ten times the measured median. An alarm, not a target. PERF_BUDGETS=0 disables them.</w:t>
            </w:r>
          </w:p>
        </w:tc>
      </w:tr>
    </w:tbl>
    <w:p>
      <w:pPr>
        <w:pStyle w:val="Heading2"/>
        <w:spacing w:after="120" w:before="280"/>
      </w:pPr>
      <w:r>
        <w:t xml:space="preserve">7.2 Suite 46: key collisions</w:t>
      </w:r>
    </w:p>
    <w:p>
      <w:pPr>
        <w:spacing w:after="120" w:before="0" w:line="276"/>
      </w:pPr>
      <w:r>
        <w:rPr>
          <w:rFonts w:ascii="Calibri" w:cs="Calibri" w:eastAsia="Calibri" w:hAnsi="Calibri"/>
          <w:color w:val="1F2430"/>
          <w:sz w:val="21"/>
          <w:szCs w:val="21"/>
        </w:rPr>
        <w:t xml:space="preserve">Ten tests covering each of the vulnerable sites, using the full set of colliding names rather than one example, because the sites differ in how they coerce the value and __proto__ in particular behaves differently from the rest.</w:t>
      </w:r>
    </w:p>
    <w:p>
      <w:pPr>
        <w:spacing w:after="120" w:before="0" w:line="276"/>
      </w:pPr>
      <w:r>
        <w:rPr>
          <w:rFonts w:ascii="Calibri" w:cs="Calibri" w:eastAsia="Calibri" w:hAnsi="Calibri"/>
          <w:color w:val="1F2430"/>
          <w:sz w:val="21"/>
          <w:szCs w:val="21"/>
        </w:rPr>
        <w:t xml:space="preserve">Each group pairs the fix with its control. “A column of distinct values comes back whole” is </w:t>
      </w:r>
      <w:r>
        <w:rPr>
          <w:rFonts w:ascii="Calibri" w:cs="Calibri" w:eastAsia="Calibri" w:hAnsi="Calibri"/>
          <w:color w:val="1F2430"/>
          <w:sz w:val="21"/>
          <w:szCs w:val="21"/>
        </w:rPr>
        <w:t xml:space="preserve">accompanied by “a genuine repeat is still removed”, because removing the deduplication </w:t>
      </w:r>
      <w:r>
        <w:rPr>
          <w:rFonts w:ascii="Calibri" w:cs="Calibri" w:eastAsia="Calibri" w:hAnsi="Calibri"/>
          <w:color w:val="1F2430"/>
          <w:sz w:val="21"/>
          <w:szCs w:val="21"/>
        </w:rPr>
        <w:t xml:space="preserve">entirely would satisfy the first test on its own.</w:t>
      </w:r>
    </w:p>
    <w:p>
      <w:pPr>
        <w:pStyle w:val="Heading2"/>
        <w:spacing w:after="120" w:before="280"/>
      </w:pPr>
      <w:r>
        <w:t xml:space="preserve">7.3 Verification: every test was made to fail</w:t>
      </w:r>
    </w:p>
    <w:p>
      <w:pPr>
        <w:spacing w:after="120" w:before="0" w:line="276"/>
      </w:pPr>
      <w:r>
        <w:rPr>
          <w:rFonts w:ascii="Calibri" w:cs="Calibri" w:eastAsia="Calibri" w:hAnsi="Calibri"/>
          <w:color w:val="1F2430"/>
          <w:sz w:val="21"/>
          <w:szCs w:val="21"/>
        </w:rPr>
        <w:t xml:space="preserve">This project’s test conventions require that a test asserting the absence of a bug be checked </w:t>
      </w:r>
      <w:r>
        <w:rPr>
          <w:rFonts w:ascii="Calibri" w:cs="Calibri" w:eastAsia="Calibri" w:hAnsi="Calibri"/>
          <w:color w:val="1F2430"/>
          <w:sz w:val="21"/>
          <w:szCs w:val="21"/>
        </w:rPr>
        <w:t xml:space="preserve">by reintroducing the bug. Both defects were reverted in the source and the suites re-run:</w:t>
      </w:r>
    </w:p>
    <w:tbl>
      <w:tblPr>
        <w:tblW w:type="dxa" w:w="9020"/>
        <w:tblBorders>
          <w:top w:val="single" w:color="C9CFD8" w:sz="4"/>
          <w:left w:val="none"/>
          <w:bottom w:val="single" w:color="C9CFD8" w:sz="4"/>
          <w:right w:val="none"/>
          <w:insideH w:val="single" w:color="E3E7ED" w:sz="2"/>
          <w:insideV w:val="none"/>
        </w:tblBorders>
      </w:tblPr>
      <w:tblGrid>
        <w:gridCol w:w="4150"/>
        <w:gridCol w:w="2435"/>
        <w:gridCol w:w="2435"/>
      </w:tblGrid>
      <w:tr>
        <w:trPr>
          <w:tblHeader/>
        </w:trPr>
        <w:tc>
          <w:tcPr>
            <w:tcW w:type="dxa" w:w="4150"/>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Bug reintroduced</w:t>
            </w:r>
          </w:p>
        </w:tc>
        <w:tc>
          <w:tcPr>
            <w:tcW w:type="dxa" w:w="2435"/>
            <w:shd w:fill="EEF1F5" w:val="clear"/>
            <w:tcMar>
              <w:top w:type="dxa" w:w="70"/>
              <w:left w:type="dxa" w:w="110"/>
              <w:bottom w:type="dxa" w:w="70"/>
              <w:right w:type="dxa" w:w="110"/>
            </w:tcMar>
            <w:vAlign w:val="center"/>
          </w:tcPr>
          <w:p>
            <w:pPr>
              <w:spacing w:after="0" w:line="252"/>
              <w:jc w:val="right"/>
            </w:pPr>
            <w:r>
              <w:rPr>
                <w:rFonts w:ascii="Calibri" w:cs="Calibri" w:eastAsia="Calibri" w:hAnsi="Calibri"/>
                <w:b/>
                <w:bCs/>
                <w:color w:val="1F2430"/>
                <w:sz w:val="18"/>
                <w:szCs w:val="18"/>
              </w:rPr>
              <w:t xml:space="preserve">Tests that went red</w:t>
            </w:r>
          </w:p>
        </w:tc>
        <w:tc>
          <w:tcPr>
            <w:tcW w:type="dxa" w:w="2435"/>
            <w:shd w:fill="EEF1F5" w:val="clear"/>
            <w:tcMar>
              <w:top w:type="dxa" w:w="70"/>
              <w:left w:type="dxa" w:w="110"/>
              <w:bottom w:type="dxa" w:w="70"/>
              <w:right w:type="dxa" w:w="110"/>
            </w:tcMar>
            <w:vAlign w:val="center"/>
          </w:tcPr>
          <w:p>
            <w:pPr>
              <w:spacing w:after="0" w:line="252"/>
              <w:jc w:val="left"/>
            </w:pPr>
            <w:r>
              <w:rPr>
                <w:rFonts w:ascii="Calibri" w:cs="Calibri" w:eastAsia="Calibri" w:hAnsi="Calibri"/>
                <w:b/>
                <w:bCs/>
                <w:color w:val="1F2430"/>
                <w:sz w:val="18"/>
                <w:szCs w:val="18"/>
              </w:rPr>
              <w:t xml:space="preserve">Outcome</w:t>
            </w:r>
          </w:p>
        </w:tc>
      </w:tr>
      <w:tr>
        <w:tc>
          <w:tcPr>
            <w:tcW w:type="dxa" w:w="415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Math.min.apply restored</w:t>
            </w:r>
          </w:p>
        </w:tc>
        <w:tc>
          <w:tcPr>
            <w:tcW w:type="dxa" w:w="243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4 of 13</w:t>
            </w:r>
          </w:p>
        </w:tc>
        <w:tc>
          <w:tcPr>
            <w:tcW w:type="dxa" w:w="2435"/>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Confirmed</w:t>
            </w:r>
          </w:p>
        </w:tc>
      </w:tr>
      <w:tr>
        <w:tc>
          <w:tcPr>
            <w:tcW w:type="dxa" w:w="4150"/>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Key prefixes removed</w:t>
            </w:r>
          </w:p>
        </w:tc>
        <w:tc>
          <w:tcPr>
            <w:tcW w:type="dxa" w:w="2435"/>
            <w:shd w:fill="F8F9FB" w:val="clear"/>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8 of 10</w:t>
            </w:r>
          </w:p>
        </w:tc>
        <w:tc>
          <w:tcPr>
            <w:tcW w:type="dxa" w:w="2435"/>
            <w:shd w:fill="F8F9FB" w:val="clear"/>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Confirmed</w:t>
            </w:r>
          </w:p>
        </w:tc>
      </w:tr>
      <w:tr>
        <w:tc>
          <w:tcPr>
            <w:tcW w:type="dxa" w:w="4150"/>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Both together</w:t>
            </w:r>
          </w:p>
        </w:tc>
        <w:tc>
          <w:tcPr>
            <w:tcW w:type="dxa" w:w="2435"/>
            <w:tcMar>
              <w:top w:type="dxa" w:w="70"/>
              <w:left w:type="dxa" w:w="110"/>
              <w:bottom w:type="dxa" w:w="70"/>
              <w:right w:type="dxa" w:w="110"/>
            </w:tcMar>
            <w:vAlign w:val="center"/>
          </w:tcPr>
          <w:p>
            <w:pPr>
              <w:spacing w:after="0" w:line="252"/>
              <w:jc w:val="right"/>
            </w:pPr>
            <w:r>
              <w:rPr>
                <w:rFonts w:ascii="Calibri" w:cs="Calibri" w:eastAsia="Calibri" w:hAnsi="Calibri"/>
                <w:color w:val="1F2430"/>
                <w:sz w:val="18"/>
                <w:szCs w:val="18"/>
              </w:rPr>
              <w:t xml:space="preserve">12 of 23</w:t>
            </w:r>
          </w:p>
        </w:tc>
        <w:tc>
          <w:tcPr>
            <w:tcW w:type="dxa" w:w="2435"/>
            <w:tcMar>
              <w:top w:type="dxa" w:w="70"/>
              <w:left w:type="dxa" w:w="110"/>
              <w:bottom w:type="dxa" w:w="70"/>
              <w:right w:type="dxa" w:w="110"/>
            </w:tcMar>
            <w:vAlign w:val="center"/>
          </w:tcPr>
          <w:p>
            <w:pPr>
              <w:spacing w:after="0" w:line="252"/>
              <w:jc w:val="left"/>
            </w:pPr>
            <w:r>
              <w:rPr>
                <w:rFonts w:ascii="Calibri" w:cs="Calibri" w:eastAsia="Calibri" w:hAnsi="Calibri"/>
                <w:color w:val="1F2430"/>
                <w:sz w:val="18"/>
                <w:szCs w:val="18"/>
              </w:rPr>
              <w:t xml:space="preserve">Confirmed</w:t>
            </w:r>
          </w:p>
        </w:tc>
      </w:tr>
    </w:tbl>
    <w:p>
      <w:pPr>
        <w:pBdr>
          <w:left w:val="single" w:color="8A94A6" w:sz="12" w:space="8"/>
        </w:pBdr>
        <w:shd w:fill="F8F9FB" w:val="clear"/>
        <w:spacing w:after="160" w:before="120" w:line="276"/>
        <w:ind w:left="180" w:right="180"/>
      </w:pPr>
      <w:r>
        <w:rPr>
          <w:rFonts w:ascii="Calibri" w:cs="Calibri" w:eastAsia="Calibri" w:hAnsi="Calibri"/>
          <w:b/>
          <w:bCs/>
          <w:color w:val="1F2430"/>
          <w:sz w:val="21"/>
          <w:szCs w:val="21"/>
        </w:rPr>
        <w:t xml:space="preserve">One test was found to be worthless by this exercise, which is the argument for doing it. </w:t>
      </w:r>
      <w:r>
        <w:rPr>
          <w:rFonts w:ascii="Calibri" w:cs="Calibri" w:eastAsia="Calibri" w:hAnsi="Calibri"/>
          <w:color w:val="1F2430"/>
          <w:sz w:val="21"/>
          <w:szCs w:val="21"/>
        </w:rPr>
        <w:t xml:space="preserve">The Histogram test passed with the bug in place. It had been written against the wrong node </w:t>
      </w:r>
      <w:r>
        <w:rPr>
          <w:rFonts w:ascii="Calibri" w:cs="Calibri" w:eastAsia="Calibri" w:hAnsi="Calibri"/>
          <w:color w:val="1F2430"/>
          <w:sz w:val="21"/>
          <w:szCs w:val="21"/>
        </w:rPr>
        <w:t xml:space="preserve">type, so the code under test was never reached. A second version sets the bin column </w:t>
      </w:r>
      <w:r>
        <w:rPr>
          <w:rFonts w:ascii="Calibri" w:cs="Calibri" w:eastAsia="Calibri" w:hAnsi="Calibri"/>
          <w:color w:val="1F2430"/>
          <w:sz w:val="21"/>
          <w:szCs w:val="21"/>
        </w:rPr>
        <w:t xml:space="preserve">explicitly and sums the bin counts to prove the node really binned 150,000 rows; it fails </w:t>
      </w:r>
      <w:r>
        <w:rPr>
          <w:rFonts w:ascii="Calibri" w:cs="Calibri" w:eastAsia="Calibri" w:hAnsi="Calibri"/>
          <w:color w:val="1F2430"/>
          <w:sz w:val="21"/>
          <w:szCs w:val="21"/>
        </w:rPr>
        <w:t xml:space="preserve">correctly. A similar problem was found in the filter-list test, which referred to a function </w:t>
      </w:r>
      <w:r>
        <w:rPr>
          <w:rFonts w:ascii="Calibri" w:cs="Calibri" w:eastAsia="Calibri" w:hAnsi="Calibri"/>
          <w:color w:val="1F2430"/>
          <w:sz w:val="21"/>
          <w:szCs w:val="21"/>
        </w:rPr>
        <w:t xml:space="preserve">name that does not exist, returned early, and reported a pass.</w:t>
      </w:r>
    </w:p>
    <w:p>
      <w:pPr>
        <w:pStyle w:val="Heading1"/>
        <w:pBdr>
          <w:bottom w:val="single" w:color="C9CFD8" w:sz="6" w:space="6"/>
        </w:pBdr>
        <w:spacing w:after="160" w:before="360"/>
      </w:pPr>
      <w:r>
        <w:t xml:space="preserve">8. What these figures do not show</w:t>
      </w:r>
    </w:p>
    <w:p>
      <w:pPr>
        <w:spacing w:after="120" w:before="0" w:line="276"/>
      </w:pPr>
      <w:r>
        <w:rPr>
          <w:rFonts w:ascii="Calibri" w:cs="Calibri" w:eastAsia="Calibri" w:hAnsi="Calibri"/>
          <w:color w:val="1F2430"/>
          <w:sz w:val="21"/>
          <w:szCs w:val="21"/>
        </w:rPr>
        <w:t xml:space="preserve">Stated so the measurement is not read as covering more than it does.</w:t>
      </w:r>
    </w:p>
    <w:p>
      <w:pPr>
        <w:pStyle w:val="ListParagraph"/>
        <w:numPr>
          <w:ilvl w:val="0"/>
          <w:numId w:val="2"/>
        </w:numPr>
        <w:spacing w:after="90" w:line="276"/>
      </w:pPr>
      <w:r>
        <w:rPr>
          <w:rFonts w:ascii="Calibri" w:cs="Calibri" w:eastAsia="Calibri" w:hAnsi="Calibri"/>
          <w:b/>
          <w:bCs/>
          <w:color w:val="1F2430"/>
          <w:sz w:val="21"/>
          <w:szCs w:val="21"/>
        </w:rPr>
        <w:t xml:space="preserve">One machine, one browser.</w:t>
      </w:r>
      <w:r>
        <w:rPr>
          <w:rFonts w:ascii="Calibri" w:cs="Calibri" w:eastAsia="Calibri" w:hAnsi="Calibri"/>
          <w:color w:val="1F2430"/>
          <w:sz w:val="21"/>
          <w:szCs w:val="21"/>
        </w:rPr>
        <w:t xml:space="preserve"> All browser figures are from Chromium on Apple silicon. A low-end laptop would be </w:t>
      </w:r>
      <w:r>
        <w:rPr>
          <w:rFonts w:ascii="Calibri" w:cs="Calibri" w:eastAsia="Calibri" w:hAnsi="Calibri"/>
          <w:color w:val="1F2430"/>
          <w:sz w:val="21"/>
          <w:szCs w:val="21"/>
        </w:rPr>
        <w:t xml:space="preserve">slower by some constant factor; the linearity results and the identity-based property </w:t>
      </w:r>
      <w:r>
        <w:rPr>
          <w:rFonts w:ascii="Calibri" w:cs="Calibri" w:eastAsia="Calibri" w:hAnsi="Calibri"/>
          <w:color w:val="1F2430"/>
          <w:sz w:val="21"/>
          <w:szCs w:val="21"/>
        </w:rPr>
        <w:t xml:space="preserve">tests are machine-independent, but the millisecond figures are not.</w:t>
      </w:r>
    </w:p>
    <w:p>
      <w:pPr>
        <w:pStyle w:val="ListParagraph"/>
        <w:numPr>
          <w:ilvl w:val="0"/>
          <w:numId w:val="2"/>
        </w:numPr>
        <w:spacing w:after="90" w:line="276"/>
      </w:pPr>
      <w:r>
        <w:rPr>
          <w:rFonts w:ascii="Calibri" w:cs="Calibri" w:eastAsia="Calibri" w:hAnsi="Calibri"/>
          <w:b/>
          <w:bCs/>
          <w:color w:val="1F2430"/>
          <w:sz w:val="21"/>
          <w:szCs w:val="21"/>
        </w:rPr>
        <w:t xml:space="preserve">Synthetic data above 6,053 rows.</w:t>
      </w:r>
      <w:r>
        <w:rPr>
          <w:rFonts w:ascii="Calibri" w:cs="Calibri" w:eastAsia="Calibri" w:hAnsi="Calibri"/>
          <w:color w:val="1F2430"/>
          <w:sz w:val="21"/>
          <w:szCs w:val="21"/>
        </w:rPr>
        <w:t xml:space="preserve"> The archive is the only real data available and it is small. Larger figures use </w:t>
      </w:r>
      <w:r>
        <w:rPr>
          <w:rFonts w:ascii="Calibri" w:cs="Calibri" w:eastAsia="Calibri" w:hAnsi="Calibri"/>
          <w:color w:val="1F2430"/>
          <w:sz w:val="21"/>
          <w:szCs w:val="21"/>
        </w:rPr>
        <w:t xml:space="preserve">generated files at the archive’s column shape, which exercises the same code paths but </w:t>
      </w:r>
      <w:r>
        <w:rPr>
          <w:rFonts w:ascii="Calibri" w:cs="Calibri" w:eastAsia="Calibri" w:hAnsi="Calibri"/>
          <w:color w:val="1F2430"/>
          <w:sz w:val="21"/>
          <w:szCs w:val="21"/>
        </w:rPr>
        <w:t xml:space="preserve">has more uniform value distributions than a real export.</w:t>
      </w:r>
    </w:p>
    <w:p>
      <w:pPr>
        <w:pStyle w:val="ListParagraph"/>
        <w:numPr>
          <w:ilvl w:val="0"/>
          <w:numId w:val="2"/>
        </w:numPr>
        <w:spacing w:after="90" w:line="276"/>
      </w:pPr>
      <w:r>
        <w:rPr>
          <w:rFonts w:ascii="Calibri" w:cs="Calibri" w:eastAsia="Calibri" w:hAnsi="Calibri"/>
          <w:b/>
          <w:bCs/>
          <w:color w:val="1F2430"/>
          <w:sz w:val="21"/>
          <w:szCs w:val="21"/>
        </w:rPr>
        <w:t xml:space="preserve">No concurrent load.</w:t>
      </w:r>
      <w:r>
        <w:rPr>
          <w:rFonts w:ascii="Calibri" w:cs="Calibri" w:eastAsia="Calibri" w:hAnsi="Calibri"/>
          <w:color w:val="1F2430"/>
          <w:sz w:val="21"/>
          <w:szCs w:val="21"/>
        </w:rPr>
        <w:t xml:space="preserve"> The tool is a single page with no server, no network calls and no shared state, so </w:t>
      </w:r>
      <w:r>
        <w:rPr>
          <w:rFonts w:ascii="Calibri" w:cs="Calibri" w:eastAsia="Calibri" w:hAnsi="Calibri"/>
          <w:color w:val="1F2430"/>
          <w:sz w:val="21"/>
          <w:szCs w:val="21"/>
        </w:rPr>
        <w:t xml:space="preserve">there is no multi-user dimension to measure. Scalability here means data volume and </w:t>
      </w:r>
      <w:r>
        <w:rPr>
          <w:rFonts w:ascii="Calibri" w:cs="Calibri" w:eastAsia="Calibri" w:hAnsi="Calibri"/>
          <w:color w:val="1F2430"/>
          <w:sz w:val="21"/>
          <w:szCs w:val="21"/>
        </w:rPr>
        <w:t xml:space="preserve">graph size, not request throughput.</w:t>
      </w:r>
    </w:p>
    <w:p>
      <w:pPr>
        <w:pStyle w:val="ListParagraph"/>
        <w:numPr>
          <w:ilvl w:val="0"/>
          <w:numId w:val="2"/>
        </w:numPr>
        <w:spacing w:after="90" w:line="276"/>
      </w:pPr>
      <w:r>
        <w:rPr>
          <w:rFonts w:ascii="Calibri" w:cs="Calibri" w:eastAsia="Calibri" w:hAnsi="Calibri"/>
          <w:b/>
          <w:bCs/>
          <w:color w:val="1F2430"/>
          <w:sz w:val="21"/>
          <w:szCs w:val="21"/>
        </w:rPr>
        <w:t xml:space="preserve">Export timing not isolated.</w:t>
      </w:r>
      <w:r>
        <w:rPr>
          <w:rFonts w:ascii="Calibri" w:cs="Calibri" w:eastAsia="Calibri" w:hAnsi="Calibri"/>
          <w:color w:val="1F2430"/>
          <w:sz w:val="21"/>
          <w:szCs w:val="21"/>
        </w:rPr>
        <w:t xml:space="preserve"> Copy and Save build a string over every row and are therefore linear in result size. </w:t>
      </w:r>
      <w:r>
        <w:rPr>
          <w:rFonts w:ascii="Calibri" w:cs="Calibri" w:eastAsia="Calibri" w:hAnsi="Calibri"/>
          <w:color w:val="1F2430"/>
          <w:sz w:val="21"/>
          <w:szCs w:val="21"/>
        </w:rPr>
        <w:t xml:space="preserve">The 150,000-row export completes, but the string-building step was not separately timed.</w:t>
      </w:r>
    </w:p>
    <w:p>
      <w:pPr>
        <w:pStyle w:val="Heading1"/>
        <w:pBdr>
          <w:bottom w:val="single" w:color="C9CFD8" w:sz="6" w:space="6"/>
        </w:pBdr>
        <w:spacing w:after="160" w:before="360"/>
      </w:pPr>
      <w:r>
        <w:t xml:space="preserve">9. Conclusion</w:t>
      </w:r>
    </w:p>
    <w:p>
      <w:pPr>
        <w:spacing w:after="120" w:before="0" w:line="276"/>
      </w:pPr>
      <w:r>
        <w:rPr>
          <w:rFonts w:ascii="Calibri" w:cs="Calibri" w:eastAsia="Calibri" w:hAnsi="Calibri"/>
          <w:color w:val="1F2430"/>
          <w:sz w:val="21"/>
          <w:szCs w:val="21"/>
        </w:rPr>
        <w:t xml:space="preserve">Against the five requirements in section 1 the tool has between five and twenty-two times the </w:t>
      </w:r>
      <w:r>
        <w:rPr>
          <w:rFonts w:ascii="Calibri" w:cs="Calibri" w:eastAsia="Calibri" w:hAnsi="Calibri"/>
          <w:color w:val="1F2430"/>
          <w:sz w:val="21"/>
          <w:szCs w:val="21"/>
        </w:rPr>
        <w:t xml:space="preserve">headroom it needs, and the three properties responsible are design decisions rather than </w:t>
      </w:r>
      <w:r>
        <w:rPr>
          <w:rFonts w:ascii="Calibri" w:cs="Calibri" w:eastAsia="Calibri" w:hAnsi="Calibri"/>
          <w:color w:val="1F2430"/>
          <w:sz w:val="21"/>
          <w:szCs w:val="21"/>
        </w:rPr>
        <w:t xml:space="preserve">incidental: results are memoised across a shared graph, the view is capped independently of </w:t>
      </w:r>
      <w:r>
        <w:rPr>
          <w:rFonts w:ascii="Calibri" w:cs="Calibri" w:eastAsia="Calibri" w:hAnsi="Calibri"/>
          <w:color w:val="1F2430"/>
          <w:sz w:val="21"/>
          <w:szCs w:val="21"/>
        </w:rPr>
        <w:t xml:space="preserve">the data, and the costly redraw is kept off the per-frame path. Growth with data volume is </w:t>
      </w:r>
      <w:r>
        <w:rPr>
          <w:rFonts w:ascii="Calibri" w:cs="Calibri" w:eastAsia="Calibri" w:hAnsi="Calibri"/>
          <w:color w:val="1F2430"/>
          <w:sz w:val="21"/>
          <w:szCs w:val="21"/>
        </w:rPr>
        <w:t xml:space="preserve">linear and memory expansion is 1.21 times the source.</w:t>
      </w:r>
    </w:p>
    <w:p>
      <w:pPr>
        <w:spacing w:after="120" w:before="0" w:line="276"/>
      </w:pPr>
      <w:r>
        <w:rPr>
          <w:rFonts w:ascii="Calibri" w:cs="Calibri" w:eastAsia="Calibri" w:hAnsi="Calibri"/>
          <w:color w:val="1F2430"/>
          <w:sz w:val="21"/>
          <w:szCs w:val="21"/>
        </w:rPr>
        <w:t xml:space="preserve">The measurement was worth doing for what it found rather than what it confirmed. Two defects </w:t>
      </w:r>
      <w:r>
        <w:rPr>
          <w:rFonts w:ascii="Calibri" w:cs="Calibri" w:eastAsia="Calibri" w:hAnsi="Calibri"/>
          <w:color w:val="1F2430"/>
          <w:sz w:val="21"/>
          <w:szCs w:val="21"/>
        </w:rPr>
        <w:t xml:space="preserve">were reachable inside the tool’s own documented limits, and both failed silently: one threw </w:t>
      </w:r>
      <w:r>
        <w:rPr>
          <w:rFonts w:ascii="Calibri" w:cs="Calibri" w:eastAsia="Calibri" w:hAnsi="Calibri"/>
          <w:color w:val="1F2430"/>
          <w:sz w:val="21"/>
          <w:szCs w:val="21"/>
        </w:rPr>
        <w:t xml:space="preserve">an error the browser swallowed, the other dropped rows exactly as though they were duplicates. </w:t>
      </w:r>
      <w:r>
        <w:rPr>
          <w:rFonts w:ascii="Calibri" w:cs="Calibri" w:eastAsia="Calibri" w:hAnsi="Calibri"/>
          <w:color w:val="1F2430"/>
          <w:sz w:val="21"/>
          <w:szCs w:val="21"/>
        </w:rPr>
        <w:t xml:space="preserve">Neither would have been found by the correctness suite, because neither produces a visibly </w:t>
      </w:r>
      <w:r>
        <w:rPr>
          <w:rFonts w:ascii="Calibri" w:cs="Calibri" w:eastAsia="Calibri" w:hAnsi="Calibri"/>
          <w:color w:val="1F2430"/>
          <w:sz w:val="21"/>
          <w:szCs w:val="21"/>
        </w:rPr>
        <w:t xml:space="preserve">wrong answer on the data the tool was developed against. Both are fixed, and both are now held </w:t>
      </w:r>
      <w:r>
        <w:rPr>
          <w:rFonts w:ascii="Calibri" w:cs="Calibri" w:eastAsia="Calibri" w:hAnsi="Calibri"/>
          <w:color w:val="1F2430"/>
          <w:sz w:val="21"/>
          <w:szCs w:val="21"/>
        </w:rPr>
        <w:t xml:space="preserve">by tests that were verified to fail when the defect is put back.</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lvl w:ilvl="1" w: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val="false"/>
      <w:bCs w:val="false"/>
      <w:color w:val="1F2430"/>
      <w:sz w:val="30"/>
      <w:szCs w:val="30"/>
    </w:rPr>
  </w:style>
  <w:style w:type="paragraph" w:styleId="Heading2">
    <w:name w:val="Heading 2"/>
    <w:basedOn w:val="Normal"/>
    <w:next w:val="Normal"/>
    <w:qFormat/>
    <w:rPr>
      <w:rFonts w:ascii="Calibri" w:cs="Calibri" w:eastAsia="Calibri" w:hAnsi="Calibri"/>
      <w:b/>
      <w:bCs/>
      <w:color w:val="1F2430"/>
      <w:sz w:val="24"/>
      <w:szCs w:val="24"/>
    </w:rPr>
  </w:style>
  <w:style w:type="paragraph" w:styleId="Heading3">
    <w:name w:val="Heading 3"/>
    <w:basedOn w:val="Normal"/>
    <w:next w:val="Normal"/>
    <w:qFormat/>
    <w:rPr>
      <w:rFonts w:ascii="Calibri" w:cs="Calibri" w:eastAsia="Calibri" w:hAnsi="Calibri"/>
      <w:b/>
      <w:bCs/>
      <w:color w:val="36404F"/>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Student Data Analyser</dc:title>
  <dc:creator>Johann Moses</dc:creator>
  <dc:description>Measured performance characteristics, scalability limits and the regression tests that hold them</dc:description>
  <cp:lastModifiedBy>Un-named</cp:lastModifiedBy>
  <cp:revision>1</cp:revision>
  <dcterms:created xsi:type="dcterms:W3CDTF">2026-10-02T10:13:33.057Z</dcterms:created>
  <dcterms:modified xsi:type="dcterms:W3CDTF">2026-10-02T10:13:33.059Z</dcterms:modified>
</cp:coreProperties>
</file>

<file path=docProps/custom.xml><?xml version="1.0" encoding="utf-8"?>
<Properties xmlns="http://schemas.openxmlformats.org/officeDocument/2006/custom-properties" xmlns:vt="http://schemas.openxmlformats.org/officeDocument/2006/docPropsVTypes"/>
</file>