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2 775 d'entre elles, soit 19,7 pour cent sur dénominateur non nul (les formations n'admettant aucun candidat sont exclues du calcul, sans quoi un taux nul mécanique se lirait à tort comme une extrême faible féminisation), comptent moins de 20 pour cent de femmes parmi leurs admis, et 17,9 pour cent en comptent plus de 80 pour cent ; seules 21,5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entraîné et tracé dans MLflow), explicabilité SHAP à venir</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30 484 fiches dont 7 000 actives (export du 29 août 2026, republié chaque jour)</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 à construire, ce périmètre n'existe pas encore. Le modèle analytique en étoile qui structure les données d'orientation, lui, est déjà construit (E16) : la table de faits porte les cellules d'observation, avec pour dimensions la formation, le candidat, la session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Sécurité et supervision prévues, non encore mises en œuvre :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agrégation de la base Sirene par commune et par secteur d'activité, calcul des dynamiques de créations et cessations sur dix ans, puis élargissement au bassin d'emploi. Volumétrie de l'ordre de la dizaine de gigaoctets. Deux moteurs implémentés et testés contre le même résultat : Polars en exécution courante, PySpark branché sur le mode cluster.</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soit 82 Mo mesurés sur disque, ne justifient en aucun cas un cluster distribué. La chaîne de décision est donc traitée en mono-nœud avec Polars et dbt : ce point-là ne fait pas débat.</w:t>
            </w:r>
          </w:p>
          <w:p>
            <w:r>
              <w:t>Pour la chaîne de volume, la question a été tranchée par la mesure et non par principe. Sur le fichier Sirene complet (43 896 818 lignes, 54 colonnes, réduites à 9 colonnes utiles), même filtre, même regroupement en 1 929 179 cellules : Polars traite le fichier en 18,2 secondes, PySpark en 87,0 secondes (démarrage de la JVM inclus) — Spark est 4,8 fois plus lent que Polars sur ce volume, pour un résultat rigoureusement identique. La conclusion n'est pas que Spark est inutile, mais qu'il n'apporte rien tant que le calcul tient sur un seul nœud.</w:t>
            </w:r>
          </w:p>
          <w:p>
            <w:r>
              <w:t>Ce qui empêche d'écarter Spark pour autant : l'une des quatre sources Sirene retenues, l'historique des établissements, compte à elle seule 95 865 102 lignes, et le stock est republié chaque mois. Une fusion future de plusieurs de ces fichiers change d'ordre de grandeur. Le job Spark est donc implémenté, testé (même résultat que Polars, vérifié ligne à ligne sur un échantillon commun) et branché sur le mode cluster de la configuration (`execution.moteur_volume`) — prêt à prendre le relais sans réécriture, mais pas employé par défaut faute de bénéfice mesuré aujourd'hui.</w:t>
            </w:r>
          </w:p>
          <w:p>
            <w:r>
              <w:t>Le seuil qui ferait basculer l'exécution courante vers Spark : la fusion de plusieurs des quatre fichiers Sirene retenus, ou tout calcul intermédiaire qui ne tiendrait plus dans la mémoire d'un poste de développement. Tant que ce seuil n'est pas franchi, Polars reste le chemin de production réel, et le choix contraire — imposer Spark par principe — serait pénalisable au titre des critères d'arbitrage, de FinOps et de GreenOps.</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Les contrôles qualité, déjà construits et exécutés (E14), portent sur le schéma, la complétude et la cohérence, au moyen de contrôles versionnés (schémas Pandera pour Parcoursup, compteurs écrits à la main pour Sirene et les référentiels, retenus après mesure du coût de Great Expectations sur ce volume — inutile ici) : un taux hors de l'intervalle admissible, un effectif incohérent ou un millésime manquant bloquent la mise à jour, vérifié par une exécution réelle qui sort en échec sur les données du dépôt. Ce blocage n'est pas une précaution facultative : sans lui, une donnée corrompue se propage jusqu'au modèle sans que personne ne le constate. La conformité RGPD est assurée par la minimisation et la traçabilité, la couche de volume ne contenant par construction aucune donnée à caractère personnel.</w:t>
      </w:r>
    </w:p>
    <w:p>
      <w:r>
        <w:rPr>
          <w:b w:val="0"/>
          <w:i w:val="0"/>
        </w:rPr>
        <w:t>Ce qui reste à construire : l'enchaînement de ces contrôles avec les étapes en amont et en aval est aujourd'hui piloté manuellement (`Makefile`), pas encore par un orchestrateur. Apache Airflow assurera la planification, la reprise sur erreur avec temporisation croissante et le lignage, pour que la chaîne s'exécute sans intervention manuelle, de la collecte jusqu'à l'évaluation du modèle. La supervision suivra la volumétrie traitée, le taux d'échec et la durée d'exécution, avec alertes proactives. Ce choix est déjà arbitré (Airflow est exigé par le référentiel de certification et retenu depuis l'architecture de référence), et son exécution est la matière de l'étape suivante du pipeline, non encore commencée.</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 six exploitables pour l'entraînement (2020-2025), le numérateur du label n'étant pas publié en 2018-2019</w:t>
            </w:r>
          </w:p>
        </w:tc>
        <w:tc>
          <w:tcPr>
            <w:tcW w:type="dxa" w:w="2160"/>
          </w:tcPr>
          <w:p>
            <w:r/>
            <w:r>
              <w:t>MODÈLE APPRIS (LightGBM, entraîné et tracé dans MLflow). C'est le composant d'intelligence artificielle du système ; l'explicabilité SHAP reste à construire.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seront combinés de façon multiplicative — le module qui les assemble (`matching/`) reste à écrire (E28) ; seul le terme d'accessibilité, le modèle appris, est construit à ce jour. Si l'affinité est nulle, la formation ne correspondra pas ; si l'accessibilité est nulle, elle sera hors de portée ; si les débouchés sont nuls, elle ne mènera nulle part. Dans les trois cas la recommandation devra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alimenteront en outre le modèle d'accessibilité, par un mécanisme explicite : la densité d'employeurs d'un secteur détermine la demande locale de formation, donc la tension entre vœux et capacité, donc la sélectivité. Cette hypothèse reste à tester, non postulée : voir l'étude d'ablation ci-dessous, non encore réalisée.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entraînement tracé dans MLflow (paramètres, métriques, artefact du modèle). Le gradient boosting est retenu plutôt qu'un réseau de neurones : les variables sont tabulaires, le coût d'inférence doit rester faible, et l'explicabilité par valeurs de Shapley y est exacte et directement applicable. Il sera couplé à SHAP, qui fournira pour chaque recommandation les facteurs déterminants, exigence directe de l'AI Act et du droit à explication du RGPD — le calcul est prévu à l'étape suivante, pas encore écrit.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est prévu comme brique secondaire, pas encore construite dans ce dépôt (le dossier `src/edumatch/rag/` est vide à ce jour) : il sera réécrit plutôt que repris tel quel du MVP décrit en section 2, dont l'ingestion et l'infrastructure ne répondent pas aux exigences de conformité et de montée en charge du présent projet. Son rôle prévu est de restituer en langue naturelle, avec citation des sources officielles, les éléments qui fondent une recommandation, sans faire l'objet du dispositif de réentraînement et de détection de dérive du modèle d'accessibilité. Les briques du MVP (embeddings CamemBERT, recherche vectorielle FAISS, orchestration LangChain, génération Mistral-small) sont d'ores et déjà pressenties pour la version réécrite, Mistral et CamemBERT étant souverains et francophones : c'est un point de départ à revalider, pas une décision arrêtée pour un composant qui reste à écrire.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pour la session 2025 ; 440 030 observations sur les six sessions où le label est calculable (2020-2025)</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réellement (le numérateur ventilé par type de baccalauréat n'est pas publié en 2018-2019) : y inclure ces deux millésimes aurait placé une cible absente dans l'entraînement. Une séparation aléatoire, elle,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déjà mesurée par l'erreur absolue moyenne pondérée par l'effectif (baseline et entraînement, tracées dans MLflow). Restent à construire la qualité de calibration — puisque le système annoncera une probabilité d'admission à un candidat, un score bien ordonné mais mal calibré serait nuisible — et la courbe d'apprentissage, obtenue en entraînant sur des fractions croissantes des observations pour établir si le volume disponible est suffisant plutôt que de l'affirmer.</w:t>
      </w:r>
    </w:p>
    <w:p>
      <w:r>
        <w:rPr>
          <w:b w:val="0"/>
          <w:i w:val="0"/>
        </w:rPr>
        <w:t>Restitution prévue. L'estimation sera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à écrire dans l'écran de supervision et l'API (non construits à ce jour),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à construire sur le modèle entraîné. Les écarts de parité, l'égalité des chances et le ratio d'impact disparate seront évalués sur quatre dimensions : type de baccalauréat, statut de boursier, genre et territoire. Le travail préalable est déjà fait : l'analyse exploratoire mesure d'ores et déjà l'écart d'admission à formation égale et les substituts possibles du genre parmi les variables candidates (section 1.1). La dimension territoriale ne sera rendue mesurable que par la base Sirene, qui permettra de vérifier qu'un candidat issu d'un bassin à faible densité d'employeurs n'est pas pénalisé. Elle répond à la deuxième cause structurelle identifiée en section 1.2, les déterminismes sociaux et territoriaux, qui reste sans dispositif de mesure à ce jour.</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sera mesuré, non postulé</w:t>
            </w:r>
          </w:p>
          <w:p>
            <w:r>
              <w:t>Une source de données qui n'est pas réellement utilisée par le modèle finit par paraître ajoutée artificiellement. Pour l'éviter, l'apport des variables issues de Sirene sera établi par une étude d'ablation — non encore réalisée à ce jour.</w:t>
            </w:r>
          </w:p>
          <w:p>
            <w:r>
              <w:t>Deux modèles seront entraînés dans les mêmes conditions : le premier sur les seules variables issues des données d'admission, le second en y ajoutant les variables de tissu économique. L'écart de performance sera mesuré sur le jeu de test temporel, et l'analyse SHAP indiquera si ces variables figurent effectivement parmi les contributeurs principaux.</w:t>
            </w:r>
          </w:p>
          <w:p>
            <w:r>
              <w:t>Si l'apport prédictif s'avère nul, il sera rapporté comme tel : les variables seraient alors retirées du modèle d'accessibilité, et Sirene ne subsisterait que dans le terme de débouchés, qui repose sur des agrégats et non sur de l'apprentissage. Dans les deux cas la source reste justifiée, mais la justification sera celle que la mesure établira.</w:t>
            </w:r>
          </w:p>
        </w:tc>
      </w:tr>
    </w:tbl>
    <w:p/>
    <w:p>
      <w:r>
        <w:rPr>
          <w:b w:val="0"/>
          <w:i w:val="0"/>
        </w:rPr>
        <w:t>Intégration, à construire : le modèle sera exposé par une API FastAPI conteneurisée, avec gestion des erreurs et sécurisation — le dossier `src/edumatch/api/` est vide à ce jour. Les recommandations alimenteront l'écran de supervision consulté par les conseillers d'orientation, qui matérialisera l'exigence de contrôle humain posée par l'article 14 du règlement sur l'IA : le conseiller y reverra chaque recommandation, la contextualisera à partir du dossier réel de l'élève, que le modèle ne connaît pas, et pourra l'écarter en motivant sa décision.</w:t>
      </w:r>
    </w:p>
    <w:p>
      <w:r>
        <w:rPr>
          <w:b w:val="0"/>
          <w:i w:val="0"/>
        </w:rPr>
        <w:t>CI/CD, à construire : un pipeline GitHub Actions automatisera les tests, la construction d'images, le suivi des expériences avec MLflow et le déploiement versionné — aucun workflow n'est écrit à ce jour. Deux dépôts distincts sont prévus, l'un pour la solution IA, l'autre pour la chaîne d'intégration et de déploiement ; seul le premier existe aujourd'hui.</w:t>
      </w:r>
    </w:p>
    <w:p>
      <w:r>
        <w:rPr>
          <w:b w:val="0"/>
          <w:i w:val="0"/>
        </w:rPr>
        <w:t>Dérive, déjà mesurée sur des données réelles (E34) : l'indice de stabilité de population (PSI) et le test de Kolmogorov-Smirnov sont calculés directement sur les six sessions où le label existe (2020-2025), pour trois familles distinctes — variables, cible, prédictions du modèle. Evidently a été écarté : sa dernière version compatible avec le reste du projet entraîne un conflit de dépendance transitive avec le paquet dont FastAPI dépend déjà, reproduit et non contourné (ADR 0018). Le seuil de 0,20 s'applique à la médiane du PSI des variables plutôt qu'à leur maximum, pour ne pas déclencher en permanence sur deux colonnes de nomenclature instable sans rapport avec la performance du modèle. Ce que cette mesure ne permet pas de conclure est écrit dans la décision : la dégradation déjà observée entre validation et test reste sous ce seuil. Réentraînement, à construire : la détection journalise un avertissement mais ne déclenche encore rien ; l'automatisation reste à coupler à l'orchestrateur. Le monitoring en production couvrira la performance du modèle, la latence de l'API et la disponibilité, avec alertes sur seuils — rien de ce dernier dispositif n'est en place aujourd'hui.</w:t>
      </w:r>
    </w:p>
    <w:p>
      <w:r>
        <w:rPr>
          <w:b w:val="0"/>
          <w:i w:val="0"/>
        </w:rPr>
        <w:t>Conformité et accessibilité, à construire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