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PROJET DE CERTIFICATION</w:t>
      </w:r>
    </w:p>
    <w:p>
      <w:pPr>
        <w:jc w:val="center"/>
      </w:pPr>
      <w:r>
        <w:rPr>
          <w:b w:val="0"/>
          <w:i w:val="0"/>
        </w:rPr>
        <w:t>Architecte en Intelligence Artificielle (RNCP38777, Niveau 7)</w:t>
      </w:r>
    </w:p>
    <w:p>
      <w:pPr>
        <w:jc w:val="center"/>
      </w:pPr>
      <w:r>
        <w:rPr>
          <w:b/>
          <w:i w:val="0"/>
          <w:sz w:val="44"/>
        </w:rPr>
        <w:t>EduMatch</w:t>
      </w:r>
    </w:p>
    <w:p>
      <w:pPr>
        <w:jc w:val="center"/>
      </w:pPr>
      <w:r>
        <w:rPr>
          <w:b w:val="0"/>
          <w:i/>
        </w:rPr>
        <w:t>Moteur de matching explicable entre candidats et formations : chances d'admission et débouchés territoriaux</w:t>
      </w:r>
    </w:p>
    <w:p/>
    <w:tbl>
      <w:tblPr>
        <w:tblStyle w:val="TableGrid"/>
        <w:tblW w:type="auto" w:w="0"/>
        <w:jc w:val="center"/>
        <w:tblLook w:firstColumn="1" w:firstRow="1" w:lastColumn="0" w:lastRow="0" w:noHBand="0" w:noVBand="1" w:val="04A0"/>
      </w:tblPr>
      <w:tblGrid>
        <w:gridCol w:w="4320"/>
        <w:gridCol w:w="4320"/>
      </w:tblGrid>
      <w:tr>
        <w:tc>
          <w:tcPr>
            <w:tcW w:type="dxa" w:w="4320"/>
          </w:tcPr>
          <w:p>
            <w:r/>
            <w:r>
              <w:t>Nom et prénom</w:t>
            </w:r>
          </w:p>
        </w:tc>
        <w:tc>
          <w:tcPr>
            <w:tcW w:type="dxa" w:w="4320"/>
          </w:tcPr>
          <w:p>
            <w:r/>
            <w:r>
              <w:t>KIONGHAT Johann Guewol</w:t>
            </w:r>
          </w:p>
        </w:tc>
      </w:tr>
      <w:tr>
        <w:tc>
          <w:tcPr>
            <w:tcW w:type="dxa" w:w="4320"/>
          </w:tcPr>
          <w:p>
            <w:r/>
            <w:r>
              <w:t>Titre du projet</w:t>
            </w:r>
          </w:p>
        </w:tc>
        <w:tc>
          <w:tcPr>
            <w:tcW w:type="dxa" w:w="4320"/>
          </w:tcPr>
          <w:p>
            <w:r/>
            <w:r>
              <w:t>EduMatch : moteur de matching explicable entre candidats et formations, estimant les chances d'admission et les débouchés territoriaux, au service de l'orientation scolaire et professionnelle</w:t>
            </w:r>
          </w:p>
        </w:tc>
      </w:tr>
      <w:tr>
        <w:tc>
          <w:tcPr>
            <w:tcW w:type="dxa" w:w="4320"/>
          </w:tcPr>
          <w:p>
            <w:r/>
            <w:r>
              <w:t>Certification</w:t>
            </w:r>
          </w:p>
        </w:tc>
        <w:tc>
          <w:tcPr>
            <w:tcW w:type="dxa" w:w="4320"/>
          </w:tcPr>
          <w:p>
            <w:r/>
            <w:r>
              <w:t>Architecte en Intelligence Artificielle - Mastère 2 (AIA01)</w:t>
            </w:r>
          </w:p>
        </w:tc>
      </w:tr>
      <w:tr>
        <w:tc>
          <w:tcPr>
            <w:tcW w:type="dxa" w:w="4320"/>
          </w:tcPr>
          <w:p>
            <w:r/>
            <w:r>
              <w:t>Date</w:t>
            </w:r>
          </w:p>
        </w:tc>
        <w:tc>
          <w:tcPr>
            <w:tcW w:type="dxa" w:w="4320"/>
          </w:tcPr>
          <w:p>
            <w:r/>
            <w:r>
              <w:t>Août 2026 (version 2)</w:t>
            </w:r>
          </w:p>
        </w:tc>
      </w:tr>
    </w:tbl>
    <w:p/>
    <w:p>
      <w:r>
        <w:rPr>
          <w:b w:val="0"/>
          <w:i/>
        </w:rPr>
        <w:t>Ce document présente le projet et justifie ses choix structurants selon la forme « X plutôt que Y parce que… ». Les volumétries et les taux qui y figurent ont été vérifiés par téléchargement et recalculés à partir des fichiers sources ; ils sont reproductibles à partir des références citées.</w:t>
      </w:r>
    </w:p>
    <w:p>
      <w:r>
        <w:br w:type="page"/>
      </w:r>
    </w:p>
    <w:p>
      <w:pPr>
        <w:pStyle w:val="Heading1"/>
      </w:pPr>
      <w:r>
        <w:t>1. Présentation générale du projet</w:t>
      </w:r>
    </w:p>
    <w:p>
      <w:pPr>
        <w:pStyle w:val="Heading2"/>
      </w:pPr>
      <w:r>
        <w:t>1.1 Secteur et organisation</w:t>
      </w:r>
    </w:p>
    <w:p>
      <w:r>
        <w:rPr>
          <w:b w:val="0"/>
          <w:i w:val="0"/>
        </w:rPr>
        <w:t>EduMatch est une jeune entreprise EdTech française basée en Île-de-France, en phase d'amorçage (levée de type seed de 350 000 euros). Elle édite une plateforme SaaS d'orientation scolaire et professionnelle, sur un modèle B2B2C : ses clients sont des établissements (lycées, collèges, CFA, organismes de formation) et ses utilisateurs finaux des élèves, étudiants et personnes en reconversion.</w:t>
      </w:r>
    </w:p>
    <w:p>
      <w:r>
        <w:rPr>
          <w:b w:val="0"/>
          <w:i w:val="0"/>
        </w:rPr>
        <w:t>Le secteur de l'orientation est doublement structurant. Il repose sur l'agrégation de données publiques de référence : les résultats d'admission Parcoursup publiés par le ministère, la base Sirene de l'INSEE qui décrit le tissu économique et donc les débouchés, les référentiels de formations et de métiers, et il est sensible et réglementé : le public combine des mineurs et des adultes, et un système qui influence l'accès à l'éducation relève des usages à haut risque au sens du règlement européen sur l'intelligence artificielle (annexe III, point 3). Ce double caractère rend les quatre blocs naturellement nécessaires.</w:t>
      </w:r>
    </w:p>
    <w:p>
      <w:r>
        <w:rPr>
          <w:b w:val="0"/>
          <w:i w:val="0"/>
        </w:rPr>
        <w:t>La ségrégation par le genre est le trait le plus frappant de ces données. Sur la session Parcoursup 2025, qui couvre 14 252 formations, 2 954 d'entre elles, soit 20,7 pour cent, comptent moins de 20 pour cent de femmes parmi leurs admis, et 2 517 en comptent plus de 80 pour cent ; seules 21,3 pour cent se situent dans une zone équilibrée, entre 40 et 60 pour cent. L'écart est structurel : la médiane du taux de féminisation atteint 18 pour cent en école d'ingénieur, contre 86 pour cent en institut de formation en soins infirmiers et 90 pour cent dans les formations du travail social.</w:t>
      </w:r>
    </w:p>
    <w:p>
      <w:r>
        <w:rPr>
          <w:b w:val="0"/>
          <w:i w:val="0"/>
        </w:rPr>
        <w:t>Il ne s'agit pas d'une sous-représentation globale : les femmes constituent 56,3 pour cent des admis, toutes formations confondues. Elles sont donc majoritaires, mais très inégalement réparties. Ce n'est pas l'accès à l'enseignement supérieur qui est en cause, c'est l'orientation qui y conduit, précisément l'objet de ce projet.</w:t>
      </w:r>
    </w:p>
    <w:p>
      <w:r>
        <w:rPr>
          <w:b w:val="0"/>
          <w:i w:val="0"/>
        </w:rPr>
        <w:t>À cette ségrégation s'ajoute une inégalité d'accès selon le baccalauréat d'origine. Sur la même session, 36,7 pour cent des vœux formulés par des bacheliers généraux ont donné lieu à une proposition d'admission, contre 29,5 pour cent pour les bacheliers technologiques et 26,9 pour cent pour les bacheliers professionnels : à vœu comparable, les chances d'un bachelier professionnel sont réduites de plus d'un quart.</w:t>
      </w:r>
    </w:p>
    <w:p>
      <w:r>
        <w:rPr>
          <w:b w:val="0"/>
          <w:i/>
        </w:rPr>
        <w:t>Précision de lecture : ces taux sont calculés par vœu et non par candidat : un lycéen formulant une dizaine de vœux conserve une probabilité élevée d'obtenir au moins une proposition, c'est l'accès à chaque formation prise isolément qui est inégal. Il s'agit en outre du taux agrégé sur l'ensemble des vœux, et non de la moyenne des taux formation par formation, qui accorderait le même poids à une formation recevant trente vœux et à une formation en recevant trente mille.</w:t>
      </w:r>
    </w:p>
    <w:p>
      <w:r>
        <w:rPr>
          <w:b w:val="0"/>
          <w:i w:val="0"/>
        </w:rPr>
        <w:t>Ces deux phénomènes n'appellent pas la même réponse du système, et la distinction est structurante. L'inégalité d'accès selon le baccalauréat est ce que le moteur doit estimer et restituer honnêtement au candidat : c'est la réalité de la sélection, et la lui cacher serait lui nuire. La ségrégation par le genre est au contraire ce que le système ne doit en aucun cas amplifier : aucune variable de genre n'entre dans le modèle, et l'audit d'équité vérifie qu'aucune variable de substitution ne la reconstitue. Mesurer l'une, neutraliser l'autre : c'est l'exigence de conception centrale du projet.</w:t>
      </w:r>
    </w:p>
    <w:p>
      <w:r>
        <w:rPr>
          <w:b w:val="0"/>
          <w:i/>
        </w:rPr>
        <w:t>Source : ministère de l'Enseignement supérieur et de la Recherche, données ouvertes Parcoursup, session 2025 (jeu fr-esr-parcoursup, Licence Ouverte Etalab v2.0). Les valeurs ci-dessus ont été recalculées à partir du fichier source.</w:t>
      </w:r>
    </w:p>
    <w:p>
      <w:r>
        <w:br w:type="page"/>
      </w:r>
    </w:p>
    <w:p>
      <w:pPr>
        <w:pStyle w:val="Heading2"/>
      </w:pPr>
      <w:r>
        <w:t>1.2 Problématique métier</w:t>
      </w:r>
    </w:p>
    <w:p>
      <w:r>
        <w:rPr>
          <w:b w:val="0"/>
          <w:i w:val="0"/>
        </w:rPr>
        <w:t>Trois causes structurelles expliquent les mauvais choix d'orientation : un manque d'information sur les formations et leurs débouchés, des déterminismes sociaux et territoriaux qui orientent selon le milieu d'origine, et des stéréotypes de genre qui enferment les choix.</w:t>
      </w:r>
    </w:p>
    <w:p>
      <w:r>
        <w:rPr>
          <w:b w:val="0"/>
          <w:i w:val="0"/>
        </w:rPr>
        <w:t>Ces causes ont une conséquence directe sur la conception d'EduMatch : le système ne doit surtout pas les reproduire, ce qui fait de la non-discrimination et de l'explicabilité une exigence de cœur, et non un habillage réglementaire.</w:t>
      </w:r>
    </w:p>
    <w:p>
      <w:r>
        <w:rPr>
          <w:b/>
          <w:i w:val="0"/>
        </w:rPr>
        <w:t>Le score de recommandation combine trois termes, dont un seul est appris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rPr>
              <w:t>Terme</w:t>
            </w:r>
          </w:p>
        </w:tc>
        <w:tc>
          <w:tcPr>
            <w:tcW w:type="dxa" w:w="2160"/>
          </w:tcPr>
          <w:p>
            <w:r/>
            <w:r>
              <w:rPr>
                <w:b/>
              </w:rPr>
              <w:t>Question</w:t>
            </w:r>
          </w:p>
        </w:tc>
        <w:tc>
          <w:tcPr>
            <w:tcW w:type="dxa" w:w="2160"/>
          </w:tcPr>
          <w:p>
            <w:r/>
            <w:r>
              <w:rPr>
                <w:b/>
              </w:rPr>
              <w:t>Source</w:t>
            </w:r>
          </w:p>
        </w:tc>
        <w:tc>
          <w:tcPr>
            <w:tcW w:type="dxa" w:w="2160"/>
          </w:tcPr>
          <w:p>
            <w:r/>
            <w:r>
              <w:rPr>
                <w:b/>
              </w:rPr>
              <w:t>Nature</w:t>
            </w:r>
          </w:p>
        </w:tc>
      </w:tr>
      <w:tr>
        <w:tc>
          <w:tcPr>
            <w:tcW w:type="dxa" w:w="2160"/>
          </w:tcPr>
          <w:p>
            <w:r/>
            <w:r>
              <w:t>Affinité</w:t>
            </w:r>
          </w:p>
        </w:tc>
        <w:tc>
          <w:tcPr>
            <w:tcW w:type="dxa" w:w="2160"/>
          </w:tcPr>
          <w:p>
            <w:r/>
            <w:r>
              <w:t>Cela correspond-il aux centres d'intérêt du candidat ?</w:t>
            </w:r>
          </w:p>
        </w:tc>
        <w:tc>
          <w:tcPr>
            <w:tcW w:type="dxa" w:w="2160"/>
          </w:tcPr>
          <w:p>
            <w:r/>
            <w:r>
              <w:t>Intérêts déclarés dans la requête</w:t>
            </w:r>
          </w:p>
        </w:tc>
        <w:tc>
          <w:tcPr>
            <w:tcW w:type="dxa" w:w="2160"/>
          </w:tcPr>
          <w:p>
            <w:r/>
            <w:r>
              <w:t>Règles métier, aucun apprentissage</w:t>
            </w:r>
          </w:p>
        </w:tc>
      </w:tr>
      <w:tr>
        <w:tc>
          <w:tcPr>
            <w:tcW w:type="dxa" w:w="2160"/>
          </w:tcPr>
          <w:p>
            <w:r/>
            <w:r>
              <w:t>Accessibilité</w:t>
            </w:r>
          </w:p>
        </w:tc>
        <w:tc>
          <w:tcPr>
            <w:tcW w:type="dxa" w:w="2160"/>
          </w:tcPr>
          <w:p>
            <w:r/>
            <w:r>
              <w:t>Le candidat a-t-il une chance d'être admis ?</w:t>
            </w:r>
          </w:p>
        </w:tc>
        <w:tc>
          <w:tcPr>
            <w:tcW w:type="dxa" w:w="2160"/>
          </w:tcPr>
          <w:p>
            <w:r/>
            <w:r>
              <w:t>Parcoursup, huit millésimes</w:t>
            </w:r>
          </w:p>
        </w:tc>
        <w:tc>
          <w:tcPr>
            <w:tcW w:type="dxa" w:w="2160"/>
          </w:tcPr>
          <w:p>
            <w:r/>
            <w:r>
              <w:t>MODÈLE APPRIS (LightGBM), explicabilité SHAP</w:t>
            </w:r>
          </w:p>
        </w:tc>
      </w:tr>
      <w:tr>
        <w:tc>
          <w:tcPr>
            <w:tcW w:type="dxa" w:w="2160"/>
          </w:tcPr>
          <w:p>
            <w:r/>
            <w:r>
              <w:t>Débouchés</w:t>
            </w:r>
          </w:p>
        </w:tc>
        <w:tc>
          <w:tcPr>
            <w:tcW w:type="dxa" w:w="2160"/>
          </w:tcPr>
          <w:p>
            <w:r/>
            <w:r>
              <w:t>La formation mène-t-elle à un emploi atteignable ?</w:t>
            </w:r>
          </w:p>
        </w:tc>
        <w:tc>
          <w:tcPr>
            <w:tcW w:type="dxa" w:w="2160"/>
          </w:tcPr>
          <w:p>
            <w:r/>
            <w:r>
              <w:t>Base Sirene, référentiels métiers</w:t>
            </w:r>
          </w:p>
        </w:tc>
        <w:tc>
          <w:tcPr>
            <w:tcW w:type="dxa" w:w="2160"/>
          </w:tcPr>
          <w:p>
            <w:r/>
            <w:r>
              <w:t>Agrégats de densité et de dynamique des employeurs, aucun apprentissage</w:t>
            </w:r>
          </w:p>
        </w:tc>
      </w:tr>
    </w:tbl>
    <w:p>
      <w:r>
        <w:rPr>
          <w:b w:val="0"/>
          <w:i w:val="0"/>
        </w:rPr>
        <w:t>Les trois termes sont combinés de façon multiplicative : si l'un s'annule, la recommandation disparaît. Recommander une formation accessible mais sans affinité, ou adéquate mais sans aucun employeur du secteur dans un rayon atteignable, serait une mauvaise orientation.</w:t>
      </w:r>
    </w:p>
    <w:p>
      <w:r>
        <w:rPr>
          <w:b/>
          <w:i w:val="0"/>
        </w:rPr>
        <w:t>Périmètre de la certification. Le produit EduMatch comporte plusieurs fonctionnalités, mais la certification porte sur un seul système décisionnel :</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Composant</w:t>
            </w:r>
          </w:p>
        </w:tc>
        <w:tc>
          <w:tcPr>
            <w:tcW w:type="dxa" w:w="4320"/>
          </w:tcPr>
          <w:p>
            <w:r/>
            <w:r>
              <w:rPr>
                <w:b/>
              </w:rPr>
              <w:t>Rôle dans la certification</w:t>
            </w:r>
          </w:p>
        </w:tc>
      </w:tr>
      <w:tr>
        <w:tc>
          <w:tcPr>
            <w:tcW w:type="dxa" w:w="4320"/>
          </w:tcPr>
          <w:p>
            <w:r/>
            <w:r>
              <w:t>Moteur d'orientation explicable</w:t>
            </w:r>
          </w:p>
        </w:tc>
        <w:tc>
          <w:tcPr>
            <w:tcW w:type="dxa" w:w="4320"/>
          </w:tcPr>
          <w:p>
            <w:r/>
            <w:r>
              <w:t>Composant central et seul modèle industrialisé de bout en bout (blocs 1 à 4). Décision automatisée à fort enjeu : c'est lui qui ancre les exigences d'explicabilité, de non-discrimination et de supervision humaine.</w:t>
            </w:r>
          </w:p>
        </w:tc>
      </w:tr>
      <w:tr>
        <w:tc>
          <w:tcPr>
            <w:tcW w:type="dxa" w:w="4320"/>
          </w:tcPr>
          <w:p>
            <w:r/>
            <w:r>
              <w:t>Chatbot fondé sur la génération augmentée par récupération (RAG)</w:t>
            </w:r>
          </w:p>
        </w:tc>
        <w:tc>
          <w:tcPr>
            <w:tcW w:type="dxa" w:w="4320"/>
          </w:tcPr>
          <w:p>
            <w:r/>
            <w:r>
              <w:t>Brique secondaire. Il restitue en langue naturelle, avec citation des sources officielles, les éléments qui fondent une recommandation. Intégré et supervisé, mais non industrialisé au même niveau d'exigence.</w:t>
            </w:r>
          </w:p>
        </w:tc>
      </w:tr>
    </w:tbl>
    <w:p>
      <w:r>
        <w:rPr>
          <w:b w:val="0"/>
          <w:i/>
        </w:rPr>
        <w:t>Le périmètre certifiant se limite à ces deux briques. L'écran de supervision destiné aux conseillers d'orientation n'est pas une fonctionnalité produit : c'est un composant de conformité, imposé par l'exigence de contrôle humain de l'AI Act, traité en section 7.</w:t>
      </w:r>
    </w:p>
    <w:p>
      <w:r>
        <w:rPr>
          <w:b w:val="0"/>
          <w:i w:val="0"/>
        </w:rPr>
        <w:t>Le projet est soumis à des contraintes qui imposent des arbitrages :</w:t>
      </w:r>
    </w:p>
    <w:p>
      <w:pPr>
        <w:pStyle w:val="ListBullet"/>
      </w:pPr>
      <w:r>
        <w:t>Volumétrie et hétérogénéité : cinq sources publiques dont les tailles s'échelonnent sur plus de deux ordres de grandeur, du référentiel de quelques mégaoctets à une base de 43,9 millions d'établissements. Les confondre conduirait soit à sous-dimensionner, soit à surdimensionner l'architecture (section 2).</w:t>
      </w:r>
    </w:p>
    <w:p>
      <w:pPr>
        <w:pStyle w:val="ListBullet"/>
      </w:pPr>
      <w:r>
        <w:t>Performance et fraîcheur : la recommandation doit être calculée en latence interactive, alors que les sources se mettent à jour à des rythmes très différents : Parcoursup une fois par an à l'issue de la campagne, Sirene chaque mois, les référentiels de façon continue.</w:t>
      </w:r>
    </w:p>
    <w:p>
      <w:pPr>
        <w:pStyle w:val="ListBullet"/>
      </w:pPr>
      <w:r>
        <w:t>Budget : structure de coûts d'une startup en amorçage, imposant un pilotage FinOps de l'inférence et un arbitrage permanent entre services managés et auto-hébergement.</w:t>
      </w:r>
    </w:p>
    <w:p>
      <w:pPr>
        <w:pStyle w:val="ListBullet"/>
      </w:pPr>
      <w:r>
        <w:t>Conformité : traitement de données personnelles de mineurs et d'adultes. Les caractéristiques scolaires et les appétences transmises au moteur, mises en correspondance avec des formations, constituent un profilage produisant une décision automatisée au sens de l'article 22. Cela exige une base légale, le consentement, la minimisation, la transparence sur la logique et une analyse d'impact. S'y ajoutent l'explicabilité et la non-discrimination exigées par l'AI Act, et le respect des licences de réutilisation (section 3).</w:t>
      </w:r>
    </w:p>
    <w:p>
      <w:pPr>
        <w:pStyle w:val="Heading2"/>
      </w:pPr>
      <w:r>
        <w:t>1.3 Parties prenantes</w:t>
      </w:r>
    </w:p>
    <w:tbl>
      <w:tblPr>
        <w:tblStyle w:val="TableGrid"/>
        <w:tblW w:type="auto" w:w="0"/>
        <w:jc w:val="center"/>
        <w:tblLook w:firstColumn="1" w:firstRow="1" w:lastColumn="0" w:lastRow="0" w:noHBand="0" w:noVBand="1" w:val="04A0"/>
      </w:tblPr>
      <w:tblGrid>
        <w:gridCol w:w="4320"/>
        <w:gridCol w:w="4320"/>
      </w:tblGrid>
      <w:tr>
        <w:tc>
          <w:tcPr>
            <w:tcW w:type="dxa" w:w="4320"/>
          </w:tcPr>
          <w:p>
            <w:r/>
            <w:r>
              <w:t>Direction (3 associés)</w:t>
            </w:r>
          </w:p>
        </w:tc>
        <w:tc>
          <w:tcPr>
            <w:tcW w:type="dxa" w:w="4320"/>
          </w:tcPr>
          <w:p>
            <w:r/>
            <w:r>
              <w:t>Fixent la stratégie produit et arbitrent le rapport valeur / coût / conformité ; sponsors du projet.</w:t>
            </w:r>
          </w:p>
        </w:tc>
      </w:tr>
      <w:tr>
        <w:tc>
          <w:tcPr>
            <w:tcW w:type="dxa" w:w="4320"/>
          </w:tcPr>
          <w:p>
            <w:r/>
            <w:r>
              <w:t>Cheffe de projet agile</w:t>
            </w:r>
          </w:p>
        </w:tc>
        <w:tc>
          <w:tcPr>
            <w:tcW w:type="dxa" w:w="4320"/>
          </w:tcPr>
          <w:p>
            <w:r/>
            <w:r>
              <w:t>Pilote le backlog, les sprints et la coordination de l'équipe.</w:t>
            </w:r>
          </w:p>
        </w:tc>
      </w:tr>
      <w:tr>
        <w:tc>
          <w:tcPr>
            <w:tcW w:type="dxa" w:w="4320"/>
          </w:tcPr>
          <w:p>
            <w:r/>
            <w:r>
              <w:t>Architecte IA</w:t>
            </w:r>
          </w:p>
        </w:tc>
        <w:tc>
          <w:tcPr>
            <w:tcW w:type="dxa" w:w="4320"/>
          </w:tcPr>
          <w:p>
            <w:r/>
            <w:r>
              <w:t>Conçoit l'architecture, arbitre les choix technologiques, pilote la gouvernance des données et de l'IA et la mise en production.</w:t>
            </w:r>
          </w:p>
        </w:tc>
      </w:tr>
      <w:tr>
        <w:tc>
          <w:tcPr>
            <w:tcW w:type="dxa" w:w="4320"/>
          </w:tcPr>
          <w:p>
            <w:r/>
            <w:r>
              <w:t>DPO</w:t>
            </w:r>
          </w:p>
        </w:tc>
        <w:tc>
          <w:tcPr>
            <w:tcW w:type="dxa" w:w="4320"/>
          </w:tcPr>
          <w:p>
            <w:r/>
            <w:r>
              <w:t>Garant de la conformité RGPD : données de mineurs et d'adultes, licéité de la réutilisation des données publiques.</w:t>
            </w:r>
          </w:p>
        </w:tc>
      </w:tr>
      <w:tr>
        <w:tc>
          <w:tcPr>
            <w:tcW w:type="dxa" w:w="4320"/>
          </w:tcPr>
          <w:p>
            <w:r/>
            <w:r>
              <w:t>Équipe de développement</w:t>
            </w:r>
          </w:p>
        </w:tc>
        <w:tc>
          <w:tcPr>
            <w:tcW w:type="dxa" w:w="4320"/>
          </w:tcPr>
          <w:p>
            <w:r/>
            <w:r>
              <w:t>Met en œuvre les pipelines, le moteur et le RAG sous la responsabilité de l'architecte.</w:t>
            </w:r>
          </w:p>
        </w:tc>
      </w:tr>
      <w:tr>
        <w:tc>
          <w:tcPr>
            <w:tcW w:type="dxa" w:w="4320"/>
          </w:tcPr>
          <w:p>
            <w:r/>
            <w:r>
              <w:t>Conseillers d'orientation</w:t>
            </w:r>
          </w:p>
        </w:tc>
        <w:tc>
          <w:tcPr>
            <w:tcW w:type="dxa" w:w="4320"/>
          </w:tcPr>
          <w:p>
            <w:r/>
            <w:r>
              <w:t>Superviseurs humains des recommandations : ils revoient, contextualisent et peuvent écarter une recommandation.</w:t>
            </w:r>
          </w:p>
        </w:tc>
      </w:tr>
      <w:tr>
        <w:tc>
          <w:tcPr>
            <w:tcW w:type="dxa" w:w="4320"/>
          </w:tcPr>
          <w:p>
            <w:r/>
            <w:r>
              <w:t>Établissements clients et utilisateurs</w:t>
            </w:r>
          </w:p>
        </w:tc>
        <w:tc>
          <w:tcPr>
            <w:tcW w:type="dxa" w:w="4320"/>
          </w:tcPr>
          <w:p>
            <w:r/>
            <w:r>
              <w:t>Lycées, CFA, organismes de formation ; élèves, étudiants, personnes en reconversion et familles.</w:t>
            </w:r>
          </w:p>
        </w:tc>
      </w:tr>
      <w:tr>
        <w:tc>
          <w:tcPr>
            <w:tcW w:type="dxa" w:w="4320"/>
          </w:tcPr>
          <w:p>
            <w:r/>
            <w:r>
              <w:t>Fournisseurs de données</w:t>
            </w:r>
          </w:p>
        </w:tc>
        <w:tc>
          <w:tcPr>
            <w:tcW w:type="dxa" w:w="4320"/>
          </w:tcPr>
          <w:p>
            <w:r/>
            <w:r>
              <w:t>Ministère de l'Enseignement supérieur (Parcoursup) ; INSEE (base Sirene) ; France Compétences, ONISEP, IDEO métier.</w:t>
            </w:r>
          </w:p>
        </w:tc>
      </w:tr>
      <w:tr>
        <w:tc>
          <w:tcPr>
            <w:tcW w:type="dxa" w:w="4320"/>
          </w:tcPr>
          <w:p>
            <w:r/>
            <w:r>
              <w:t>Référent accessibilité</w:t>
            </w:r>
          </w:p>
        </w:tc>
        <w:tc>
          <w:tcPr>
            <w:tcW w:type="dxa" w:w="4320"/>
          </w:tcPr>
          <w:p>
            <w:r/>
            <w:r>
              <w:t>Garantit la conformité RGAA pour les personnes en situation de handicap.</w:t>
            </w:r>
          </w:p>
        </w:tc>
      </w:tr>
    </w:tbl>
    <w:p>
      <w:r>
        <w:br w:type="page"/>
      </w:r>
    </w:p>
    <w:p>
      <w:pPr>
        <w:pStyle w:val="Heading1"/>
      </w:pPr>
      <w:r>
        <w:t>2. Environnement technique existant</w:t>
      </w:r>
    </w:p>
    <w:p>
      <w:r>
        <w:rPr>
          <w:b w:val="0"/>
          <w:i w:val="0"/>
        </w:rPr>
        <w:t>J'ai conçu et développé moi-même la première version d'EduMatch : un MVP fonctionnel qui valide le concept et sert aujourd'hui de point de départ. Il repose sur un front Next.js et React (TypeScript, Redux) et un back FastAPI ; l'assistant RAG y enchaîne embeddings CamemBERT, recherche vectorielle FAISS, orchestration LangChain et génération Mistral-small. Ces choix ont été faits pour livrer vite et prouver la valeur du produit, non pour la production à grande échelle : l'ingestion reste semi-manuelle, sans orchestration ni contrôle qualité, l'infrastructure n'est pensée ni pour la conformité ni pour la montée en charge, et le moteur d'orientation n'est pas encore développé. Le présent projet est la suite directe de ce travail : restructurer et industrialiser cette base.</w:t>
      </w:r>
    </w:p>
    <w:p>
      <w:r>
        <w:rPr>
          <w:b/>
          <w:i w:val="0"/>
        </w:rPr>
        <w:t>Les trois sources, leur rôle et leur volumétrie.</w:t>
      </w:r>
    </w:p>
    <w:p>
      <w:r>
        <w:rPr>
          <w:b w:val="0"/>
          <w:i w:val="0"/>
        </w:rPr>
        <w:t>Chaque source répond à une question précise du système : aucune n'est présente pour justifier une architecture, et aucune ne peut être retirée sans amputer une des dimensions de la décision.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rPr>
              <w:t>Source</w:t>
            </w:r>
          </w:p>
        </w:tc>
        <w:tc>
          <w:tcPr>
            <w:tcW w:type="dxa" w:w="2160"/>
          </w:tcPr>
          <w:p>
            <w:r/>
            <w:r>
              <w:rPr>
                <w:b/>
              </w:rPr>
              <w:t>Ce qu'elle apporte</w:t>
            </w:r>
          </w:p>
        </w:tc>
        <w:tc>
          <w:tcPr>
            <w:tcW w:type="dxa" w:w="2160"/>
          </w:tcPr>
          <w:p>
            <w:r/>
            <w:r>
              <w:rPr>
                <w:b/>
              </w:rPr>
              <w:t>Volumétrie vérifiée</w:t>
            </w:r>
          </w:p>
        </w:tc>
        <w:tc>
          <w:tcPr>
            <w:tcW w:type="dxa" w:w="2160"/>
          </w:tcPr>
          <w:p>
            <w:r/>
            <w:r>
              <w:rPr>
                <w:b/>
              </w:rPr>
              <w:t>Licence</w:t>
            </w:r>
          </w:p>
        </w:tc>
      </w:tr>
      <w:tr>
        <w:tc>
          <w:tcPr>
            <w:tcW w:type="dxa" w:w="2160"/>
          </w:tcPr>
          <w:p>
            <w:r/>
            <w:r>
              <w:t>Parcoursup, sessions 2018 à 2025 (MESR)</w:t>
            </w:r>
          </w:p>
        </w:tc>
        <w:tc>
          <w:tcPr>
            <w:tcW w:type="dxa" w:w="2160"/>
          </w:tcPr>
          <w:p>
            <w:r/>
            <w:r>
              <w:t>Résultats d'admission par formation et par profil de candidat. Source du label du modèle appris.</w:t>
            </w:r>
          </w:p>
        </w:tc>
        <w:tc>
          <w:tcPr>
            <w:tcW w:type="dxa" w:w="2160"/>
          </w:tcPr>
          <w:p>
            <w:r/>
            <w:r>
              <w:t>104 274 formation-années, 118 colonnes (2025), 82 Mo mesurés sur les 8 CSV posés sur disque. 77 159 cellules exploitables par millésime</w:t>
            </w:r>
          </w:p>
        </w:tc>
        <w:tc>
          <w:tcPr>
            <w:tcW w:type="dxa" w:w="2160"/>
          </w:tcPr>
          <w:p>
            <w:r/>
            <w:r>
              <w:t>Licence Ouverte v2.0</w:t>
            </w:r>
          </w:p>
        </w:tc>
      </w:tr>
      <w:tr>
        <w:tc>
          <w:tcPr>
            <w:tcW w:type="dxa" w:w="2160"/>
          </w:tcPr>
          <w:p>
            <w:r/>
            <w:r>
              <w:t>Base Sirene (INSEE)</w:t>
            </w:r>
          </w:p>
        </w:tc>
        <w:tc>
          <w:tcPr>
            <w:tcW w:type="dxa" w:w="2160"/>
          </w:tcPr>
          <w:p>
            <w:r/>
            <w:r>
              <w:t>Tissu économique : activité, commune, effectifs, créations et cessations depuis 1973. Densité et dynamique des employeurs par secteur et par bassin.</w:t>
            </w:r>
          </w:p>
        </w:tc>
        <w:tc>
          <w:tcPr>
            <w:tcW w:type="dxa" w:w="2160"/>
          </w:tcPr>
          <w:p>
            <w:r/>
            <w:r>
              <w:t>43 896 818 établissements et 29 922 486 unités légales ; 6,44 Go compressés (ZIP) et 4,63 Go en Parquet pour les quatre fichiers retenus, stock du 1er août 2026</w:t>
            </w:r>
          </w:p>
        </w:tc>
        <w:tc>
          <w:tcPr>
            <w:tcW w:type="dxa" w:w="2160"/>
          </w:tcPr>
          <w:p>
            <w:r/>
            <w:r>
              <w:t>Licence Ouverte v2.0</w:t>
            </w:r>
          </w:p>
        </w:tc>
      </w:tr>
      <w:tr>
        <w:tc>
          <w:tcPr>
            <w:tcW w:type="dxa" w:w="2160"/>
          </w:tcPr>
          <w:p>
            <w:r/>
            <w:r>
              <w:t>Référentiels ONISEP, IDEO et RNCP</w:t>
            </w:r>
          </w:p>
        </w:tc>
        <w:tc>
          <w:tcPr>
            <w:tcW w:type="dxa" w:w="2160"/>
          </w:tcPr>
          <w:p>
            <w:r/>
            <w:r>
              <w:t>Description des formations, des métiers et des certifications ; support de la mise en correspondance entre activité économique et formation.</w:t>
            </w:r>
          </w:p>
        </w:tc>
        <w:tc>
          <w:tcPr>
            <w:tcW w:type="dxa" w:w="2160"/>
          </w:tcPr>
          <w:p>
            <w:r/>
            <w:r>
              <w:t>IDÉO : 5 869 formations, 1 534 métiers, 24 278 structures (15,9 Mo). RNCP et Répertoire spécifique : 30 484 fiches dont 7 000 actives (export du 29 août 2026, republié chaque jour)</w:t>
            </w:r>
          </w:p>
        </w:tc>
        <w:tc>
          <w:tcPr>
            <w:tcW w:type="dxa" w:w="2160"/>
          </w:tcPr>
          <w:p>
            <w:r/>
            <w:r>
              <w:t>ONISEP et IDÉO : ODbL — partage à l'identique obligatoire sur tout dérivé redistribué. RNCP (France Compétences) : Licence Ouverte v2.0</w:t>
            </w:r>
          </w:p>
        </w:tc>
      </w:tr>
    </w:tbl>
    <w:p>
      <w:r>
        <w:rPr>
          <w:b w:val="0"/>
          <w:i w:val="0"/>
        </w:rPr>
        <w:t>Les données présentent les trois dimensions (3V) de façon non triviale :</w:t>
      </w:r>
    </w:p>
    <w:p>
      <w:pPr>
        <w:pStyle w:val="ListBullet"/>
      </w:pPr>
      <w:r>
        <w:t>Volume : 43,9 millions d'établissements à joindre et agréger par secteur et par territoire, soit 25 à 30 Go décompressés, à côté d'un référentiel d'admission d'une centaine de mégaoctets.</w:t>
      </w:r>
    </w:p>
    <w:p>
      <w:pPr>
        <w:pStyle w:val="ListBullet"/>
      </w:pPr>
      <w:r>
        <w:t>Vélocité : publications périodiques traitées en batch (Parcoursup annuel, Sirene mensuel, référentiels continus), face à des recommandations servies en latence interactive.</w:t>
      </w:r>
    </w:p>
    <w:p>
      <w:pPr>
        <w:pStyle w:val="ListBullet"/>
      </w:pPr>
      <w:r>
        <w:t>Variété : fichiers CSV structurés, fichiers Parquet volumineux, réponses d'API, référentiels et données déclaratives des candidats. L'hétérogénéité des nomenclatures (activité NAF, métier ROME, codes de formation) est au cœur du défi de pipeline.</w:t>
      </w:r>
    </w:p>
    <w:p>
      <w:r>
        <w:br w:type="page"/>
      </w:r>
    </w:p>
    <w:p>
      <w:pPr>
        <w:pStyle w:val="Heading1"/>
      </w:pPr>
      <w:r>
        <w:t>3. Contraintes réglementaires</w:t>
      </w:r>
    </w:p>
    <w:p>
      <w:pPr>
        <w:pStyle w:val="ListBullet"/>
      </w:pPr>
      <w:r>
        <w:t>RGPD et loi Informatique et Libertés. L'architecture sépare nettement deux régimes, ce qui réduit fortement la surface de risque. L'entraînement du modèle ne mobilise aucune donnée à caractère personnel : les résultats Parcoursup sont des comptages agrégés par formation et la base Sirene décrit des établissements, non des personnes. Les données personnelles n'interviennent qu'à l'inférence, lorsqu'un candidat renseigne ses caractéristiques scolaires et ses centres d'intérêt. Il ne s'agit pas d'un profil de compte alimenté par l'usage de l'application : aucune donnée de navigation, d'historique ou de comportement n'intervient, ni à l'entraînement, ni à l'inférence.</w:t>
      </w:r>
    </w:p>
    <w:p>
      <w:pPr>
        <w:pStyle w:val="ListBullet"/>
      </w:pPr>
      <w:r>
        <w:t>Ces informations se limitent au type de baccalauréat, à la mention, au statut de boursier, au territoire et aux centres d'intérêt déclarés : c'est le strict nécessaire au calcul, en application du principe de minimisation. Le public comprenant des mineurs, la base légale repose sur le consentement, recueilli auprès du titulaire de l'autorité parentale en dessous de quinze ans. La recommandation constituant une décision individuelle automatisée au sens de l'article 22, l'utilisateur dispose d'un droit à l'information sur la logique sous-jacente : c'est la fonction des explications produites par SHAP. Les droits d'accès, de rectification, d'effacement et d'opposition au profilage sont mis en œuvre.</w:t>
      </w:r>
    </w:p>
    <w:p>
      <w:pPr>
        <w:pStyle w:val="ListBullet"/>
      </w:pPr>
      <w:r>
        <w:t>Un arbitrage doit être explicité entre deux exigences en tension. L'article 12 du règlement sur l'IA impose la journalisation des inférences pour assurer la traçabilité des décisions ; le RGPD impose au contraire une limitation des durées de conservation. La conciliation retenue est une durée définie et documentée, au terme de laquelle les journaux sont pseudonymisés puis agrégés, de façon à conserver la capacité d'audit sans conserver l'identification. Une analyse d'impact est conduite, le profilage systématique de mineurs la rendant obligatoire.</w:t>
      </w:r>
    </w:p>
    <w:p>
      <w:pPr>
        <w:pStyle w:val="ListBullet"/>
      </w:pPr>
      <w:r>
        <w:t>Réutilisation des données publiques : les jeux du ministère et de l'INSEE sont diffusés sous Licence Ouverte v2.0 (Etalab), qui autorise la réutilisation, y compris commerciale, sous réserve de mention de la source. Un registre des sources et de leurs conditions de réutilisation est tenu et audité au même titre que le registre des traitements.</w:t>
      </w:r>
    </w:p>
    <w:p>
      <w:pPr>
        <w:pStyle w:val="ListBullet"/>
      </w:pPr>
      <w:r>
        <w:t>Règlement européen sur l'IA : le système relève de l'annexe III, point 3, qui vise les systèmes destinés à déterminer l'accès ou l'admission de personnes physiques à des établissements d'enseignement. Il en découle des obligations de gestion des risques, de gouvernance des données, de documentation, de journalisation, de transparence, de contrôle humain, d'exactitude et de robustesse, détaillées au bloc 1.</w:t>
      </w:r>
    </w:p>
    <w:p>
      <w:pPr>
        <w:pStyle w:val="ListBullet"/>
      </w:pPr>
      <w:r>
        <w:t>Sécurité (ISO 27001) et souveraineté : chiffrement, moindre privilège, journalisation. L'hébergement européen est retenu comme mesure de réduction du risque lié au traitement de données de mineurs.</w:t>
      </w:r>
    </w:p>
    <w:p>
      <w:r>
        <w:br w:type="page"/>
      </w:r>
    </w:p>
    <w:p>
      <w:pPr>
        <w:pStyle w:val="Heading1"/>
      </w:pPr>
      <w:r>
        <w:t>4. Bloc 1 - Gouvernance des données</w:t>
      </w:r>
    </w:p>
    <w:p>
      <w:r>
        <w:rPr>
          <w:b w:val="0"/>
          <w:i/>
        </w:rPr>
        <w:t>Ce que le projet rend inévitable : données personnelles de mineurs et d'adultes, réutilisation de plusieurs sources publiques aux licences distinctes, contexte multi-parties prenantes et exigence de conformité AI Act non triviale.</w:t>
      </w:r>
    </w:p>
    <w:p>
      <w:r>
        <w:rPr>
          <w:b w:val="0"/>
          <w:i w:val="0"/>
        </w:rPr>
        <w:t>Le projet établira un plan de gouvernance complet : une politique de classification des données (publiques, internes, personnelles, sensibles) et des règles d'usage associées ; une répartition des rôles entre un Data Owner côté direction, des Data Stewards côté équipe data et un DPO garant de la conformité ; un registre des traitements précisant finalité, base légale, durée et destinataires. La documentation des origines, schémas, fraîcheurs et lignages est produite par l'outillage du pipeline lui-même (tests de qualité et graphe de lignage généré par dbt), sans introduire de catalogue supplémentaire à exploiter.</w:t>
      </w:r>
    </w:p>
    <w:p>
      <w:r>
        <w:rPr>
          <w:b w:val="0"/>
          <w:i w:val="0"/>
        </w:rPr>
        <w:t>La gestion des risques couvrira quatre familles : la violation de données de mineurs (chiffrement, minimisation, hébergement européen), la discrimination des recommandations (audit d'équité, indicateurs de parité, explicabilité), la non-conformité de réutilisation (registre des licences) et l'obsolescence des données (contrôles de fraîcheur bloquants dans le pipeline).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Article</w:t>
            </w:r>
          </w:p>
        </w:tc>
        <w:tc>
          <w:tcPr>
            <w:tcW w:type="dxa" w:w="2880"/>
          </w:tcPr>
          <w:p>
            <w:r/>
            <w:r>
              <w:rPr>
                <w:b/>
              </w:rPr>
              <w:t>Obligation</w:t>
            </w:r>
          </w:p>
        </w:tc>
        <w:tc>
          <w:tcPr>
            <w:tcW w:type="dxa" w:w="2880"/>
          </w:tcPr>
          <w:p>
            <w:r/>
            <w:r>
              <w:rPr>
                <w:b/>
              </w:rPr>
              <w:t>Mise en œuvre dans EduMatch</w:t>
            </w:r>
          </w:p>
        </w:tc>
      </w:tr>
      <w:tr>
        <w:tc>
          <w:tcPr>
            <w:tcW w:type="dxa" w:w="2880"/>
          </w:tcPr>
          <w:p>
            <w:r/>
            <w:r>
              <w:t>9</w:t>
            </w:r>
          </w:p>
        </w:tc>
        <w:tc>
          <w:tcPr>
            <w:tcW w:type="dxa" w:w="2880"/>
          </w:tcPr>
          <w:p>
            <w:r/>
            <w:r>
              <w:t>Gestion des risques</w:t>
            </w:r>
          </w:p>
        </w:tc>
        <w:tc>
          <w:tcPr>
            <w:tcW w:type="dxa" w:w="2880"/>
          </w:tcPr>
          <w:p>
            <w:r/>
            <w:r>
              <w:t>Registre des risques, révisé à chaque campagne d'orientation</w:t>
            </w:r>
          </w:p>
        </w:tc>
      </w:tr>
      <w:tr>
        <w:tc>
          <w:tcPr>
            <w:tcW w:type="dxa" w:w="2880"/>
          </w:tcPr>
          <w:p>
            <w:r/>
            <w:r>
              <w:t>10</w:t>
            </w:r>
          </w:p>
        </w:tc>
        <w:tc>
          <w:tcPr>
            <w:tcW w:type="dxa" w:w="2880"/>
          </w:tcPr>
          <w:p>
            <w:r/>
            <w:r>
              <w:t>Gouvernance des données</w:t>
            </w:r>
          </w:p>
        </w:tc>
        <w:tc>
          <w:tcPr>
            <w:tcW w:type="dxa" w:w="2880"/>
          </w:tcPr>
          <w:p>
            <w:r/>
            <w:r>
              <w:t>Contrôles de qualité automatisés, audit d'équité, registre des sources</w:t>
            </w:r>
          </w:p>
        </w:tc>
      </w:tr>
      <w:tr>
        <w:tc>
          <w:tcPr>
            <w:tcW w:type="dxa" w:w="2880"/>
          </w:tcPr>
          <w:p>
            <w:r/>
            <w:r>
              <w:t>11</w:t>
            </w:r>
          </w:p>
        </w:tc>
        <w:tc>
          <w:tcPr>
            <w:tcW w:type="dxa" w:w="2880"/>
          </w:tcPr>
          <w:p>
            <w:r/>
            <w:r>
              <w:t>Documentation technique</w:t>
            </w:r>
          </w:p>
        </w:tc>
        <w:tc>
          <w:tcPr>
            <w:tcW w:type="dxa" w:w="2880"/>
          </w:tcPr>
          <w:p>
            <w:r/>
            <w:r>
              <w:t>Dossier technique et Model Card</w:t>
            </w:r>
          </w:p>
        </w:tc>
      </w:tr>
      <w:tr>
        <w:tc>
          <w:tcPr>
            <w:tcW w:type="dxa" w:w="2880"/>
          </w:tcPr>
          <w:p>
            <w:r/>
            <w:r>
              <w:t>12</w:t>
            </w:r>
          </w:p>
        </w:tc>
        <w:tc>
          <w:tcPr>
            <w:tcW w:type="dxa" w:w="2880"/>
          </w:tcPr>
          <w:p>
            <w:r/>
            <w:r>
              <w:t>Journalisation</w:t>
            </w:r>
          </w:p>
        </w:tc>
        <w:tc>
          <w:tcPr>
            <w:tcW w:type="dxa" w:w="2880"/>
          </w:tcPr>
          <w:p>
            <w:r/>
            <w:r>
              <w:t>Traçabilité horodatée de chaque recommandation produite</w:t>
            </w:r>
          </w:p>
        </w:tc>
      </w:tr>
      <w:tr>
        <w:tc>
          <w:tcPr>
            <w:tcW w:type="dxa" w:w="2880"/>
          </w:tcPr>
          <w:p>
            <w:r/>
            <w:r>
              <w:t>13</w:t>
            </w:r>
          </w:p>
        </w:tc>
        <w:tc>
          <w:tcPr>
            <w:tcW w:type="dxa" w:w="2880"/>
          </w:tcPr>
          <w:p>
            <w:r/>
            <w:r>
              <w:t>Transparence</w:t>
            </w:r>
          </w:p>
        </w:tc>
        <w:tc>
          <w:tcPr>
            <w:tcW w:type="dxa" w:w="2880"/>
          </w:tcPr>
          <w:p>
            <w:r/>
            <w:r>
              <w:t>Notice utilisateur et restitution des facteurs déterminants</w:t>
            </w:r>
          </w:p>
        </w:tc>
      </w:tr>
      <w:tr>
        <w:tc>
          <w:tcPr>
            <w:tcW w:type="dxa" w:w="2880"/>
          </w:tcPr>
          <w:p>
            <w:r/>
            <w:r>
              <w:t>14</w:t>
            </w:r>
          </w:p>
        </w:tc>
        <w:tc>
          <w:tcPr>
            <w:tcW w:type="dxa" w:w="2880"/>
          </w:tcPr>
          <w:p>
            <w:r/>
            <w:r>
              <w:t>Contrôle humain</w:t>
            </w:r>
          </w:p>
        </w:tc>
        <w:tc>
          <w:tcPr>
            <w:tcW w:type="dxa" w:w="2880"/>
          </w:tcPr>
          <w:p>
            <w:r/>
            <w:r>
              <w:t>Écran conseiller : revue, contextualisation, possibilité d'écarter</w:t>
            </w:r>
          </w:p>
        </w:tc>
      </w:tr>
      <w:tr>
        <w:tc>
          <w:tcPr>
            <w:tcW w:type="dxa" w:w="2880"/>
          </w:tcPr>
          <w:p>
            <w:r/>
            <w:r>
              <w:t>15</w:t>
            </w:r>
          </w:p>
        </w:tc>
        <w:tc>
          <w:tcPr>
            <w:tcW w:type="dxa" w:w="2880"/>
          </w:tcPr>
          <w:p>
            <w:r/>
            <w:r>
              <w:t>Exactitude et robustesse</w:t>
            </w:r>
          </w:p>
        </w:tc>
        <w:tc>
          <w:tcPr>
            <w:tcW w:type="dxa" w:w="2880"/>
          </w:tcPr>
          <w:p>
            <w:r/>
            <w:r>
              <w:t>Protocole d'évaluation temporel, seuils de performance, tests</w:t>
            </w:r>
          </w:p>
        </w:tc>
      </w:tr>
    </w:tbl>
    <w:p>
      <w:r>
        <w:rPr>
          <w:b w:val="0"/>
          <w:i w:val="0"/>
        </w:rPr>
        <w:t>La conformité sera maintenue par une procédure d'audit annuelle calée sur le calendrier Parcoursup, et par une procédure de mise à jour déclenchée par les évolutions réglementaires.</w:t>
      </w:r>
    </w:p>
    <w:p>
      <w:r>
        <w:rPr>
          <w:b w:val="0"/>
          <w:i/>
        </w:rPr>
        <w:t>À livrer à terme : plan de gouvernance des données, analyse d'impact, Model Card, registre des sources, présentation synthétique. Évaluation : lecture jury environ 15 min, présentation 15 min, questions 15 min.</w:t>
      </w:r>
    </w:p>
    <w:p>
      <w:r>
        <w:br w:type="page"/>
      </w:r>
    </w:p>
    <w:p>
      <w:pPr>
        <w:pStyle w:val="Heading1"/>
      </w:pPr>
      <w:r>
        <w:t>5. Bloc 2 - Architecture de données pour l'IA</w:t>
      </w:r>
    </w:p>
    <w:p>
      <w:r>
        <w:rPr>
          <w:b w:val="0"/>
          <w:i/>
        </w:rPr>
        <w:t>Ce que le projet rend inévitable : des volumétries séparées par plus de deux ordres de grandeur, une saisonnalité marquée imposant l'élasticité, et des exigences de disponibilité et de souveraineté.</w:t>
      </w:r>
    </w:p>
    <w:p>
      <w:r>
        <w:rPr>
          <w:b/>
          <w:i w:val="0"/>
        </w:rPr>
        <w:t>Le principe structurant : deux couches distinctes.</w:t>
      </w:r>
    </w:p>
    <w:p>
      <w:r>
        <w:rPr>
          <w:b w:val="0"/>
          <w:i w:val="0"/>
        </w:rPr>
        <w:t>La couche de volume traite des dizaines de gigaoctets de données publiques ne contenant aucune donnée personnelle : la base Sirene. La couche de décision traite des référentiels compacts mais sensibles, et sert l'inférence. Cette séparation sert simultanément la performance et la conformité : le périmètre soumis au RGPD est réduit au strict nécessaire, et le calcul lourd s'exécute là où le risque de violation est structurellement nul.</w:t>
      </w:r>
    </w:p>
    <w:p>
      <w:r>
        <w:rPr>
          <w:b w:val="0"/>
          <w:i w:val="0"/>
        </w:rPr>
        <w:t>Modélisation : un modèle relationnel normalisé sous PostgreSQL portera le transactionnel (utilisateurs, établissements, historique des recommandations), et un modèle analytique en étoile structurera les données d'orientation : la table de faits porte les cellules d'observation, avec pour dimensions la formation, le candidat, le métier, le temps et le territoire. Le choix de PostgreSQL plutôt que de conserver Firestore est justifié par le besoin de cohérence relationnelle et de requêtes analytiques que le NoSQL documentaire sert mal ; le modèle en étoile est retenu pour la prédominance des lectures analytiques.</w:t>
      </w:r>
    </w:p>
    <w:p>
      <w:r>
        <w:rPr>
          <w:b w:val="0"/>
          <w:i w:val="0"/>
        </w:rPr>
        <w:t>Infrastructure : les services seront conteneurisés avec Docker et orchestrés sur Kubernetes managé. Les données brutes atterriront dans un lac de données sur stockage objet S3-compatible. L'hébergement cible est un cloud souverain européen (Scaleway plutôt qu'un hyperscaler hors Union européenne), arbitrage de gouvernance assumé au regard des données de mineurs. Sécurisation par chiffrement, gestion des accès par rôles et cloisonnement réseau ; surveillance par Prometheus et Grafana avec alertes sur seuils.</w:t>
      </w:r>
    </w:p>
    <w:tbl>
      <w:tblPr>
        <w:tblStyle w:val="TableGrid"/>
        <w:tblW w:type="auto" w:w="0"/>
        <w:tblLook w:firstColumn="1" w:firstRow="1" w:lastColumn="0" w:lastRow="0" w:noHBand="0" w:noVBand="1" w:val="04A0"/>
      </w:tblPr>
      <w:tblGrid>
        <w:gridCol w:w="8640"/>
      </w:tblGrid>
      <w:tr>
        <w:tc>
          <w:tcPr>
            <w:tcW w:type="dxa" w:w="8640"/>
          </w:tcPr>
          <w:p>
            <w:r/>
            <w:r>
              <w:rPr>
                <w:b/>
              </w:rPr>
              <w:t>Justification du choix : Kubernetes managé plutôt qu'un dimensionnement fixe</w:t>
            </w:r>
          </w:p>
          <w:p>
            <w:r>
              <w:t>Le volume de données ne justifie pas à lui seul une orchestration élastique : ce serait un argument faible, et il faut le dire. La justification est ailleurs, dans la saisonnalité de l'activité.</w:t>
            </w:r>
          </w:p>
          <w:p>
            <w:r>
              <w:t>L'usage d'EduMatch suit le calendrier de l'orientation : le pic se situe de janvier à mai (formulation des vœux, salons, conseils de classe) et le creux en juillet et août. Le rapport entre charge de pointe et charge de creux est de l'ordre de 1 à 6.</w:t>
            </w:r>
          </w:p>
          <w:p>
            <w:r>
              <w:t>Un dimensionnement fixe imposerait de payer douze mois par an la capacité du pic, soit un taux d'utilisation moyen d'environ 30 pour cent. L'autoscaling permet de dimensionner à la charge réelle. Pour une startup en amorçage, cet arbitrage est un enjeu FinOps direct, et il est également plus sobre en ressources (GreenOps).</w:t>
            </w:r>
          </w:p>
          <w:p>
            <w:r>
              <w:t>Kubernetes managé est donc retenu plutôt qu'un cluster auto-géré, dont la charge d'exploitation serait excessive pour une équipe réduite, et plutôt que le PaaS actuel, qui n'offre ni autoscaling fin ni maîtrise de l'infrastructure. Les conteneurs serverless ont été envisagés puis écartés en raison des démarrages à froid, incompatibles avec la latence interactive attendue.</w:t>
            </w:r>
          </w:p>
        </w:tc>
      </w:tr>
    </w:tbl>
    <w:p/>
    <w:p>
      <w:r>
        <w:rPr>
          <w:b w:val="0"/>
          <w:i/>
        </w:rPr>
        <w:t>À livrer à terme : diagrammes d'architecture selon le modèle C4, code d'infrastructure as code, capture vidéo de l'infrastructure en production. Évaluation : lecture environ 20 min, présentation 5 min, questions 15 min.</w:t>
      </w:r>
    </w:p>
    <w:p>
      <w:r>
        <w:br w:type="page"/>
      </w:r>
    </w:p>
    <w:p>
      <w:pPr>
        <w:pStyle w:val="Heading1"/>
      </w:pPr>
      <w:r>
        <w:t>6. Bloc 3 - Pipelines de données pour l'IA</w:t>
      </w:r>
    </w:p>
    <w:p>
      <w:r>
        <w:rPr>
          <w:b w:val="0"/>
          <w:i/>
        </w:rPr>
        <w:t>Ce que le projet rend inévitable : trois sources publiques de formats et de fréquences différents, des volumétries séparées par plus de deux ordres de grandeur, et la réconciliation de trois nomenclatures indépendantes.</w:t>
      </w:r>
    </w:p>
    <w:p>
      <w:r>
        <w:rPr>
          <w:b/>
          <w:i w:val="0"/>
        </w:rPr>
        <w:t>Ingestion. Trois connecteurs, tous sur mesure, les connecteurs génériques étant inadaptés à ces sources publiques françaises :</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Connecteur</w:t>
            </w:r>
          </w:p>
        </w:tc>
        <w:tc>
          <w:tcPr>
            <w:tcW w:type="dxa" w:w="2880"/>
          </w:tcPr>
          <w:p>
            <w:r/>
            <w:r>
              <w:rPr>
                <w:b/>
              </w:rPr>
              <w:t>Mode d'accès</w:t>
            </w:r>
          </w:p>
        </w:tc>
        <w:tc>
          <w:tcPr>
            <w:tcW w:type="dxa" w:w="2880"/>
          </w:tcPr>
          <w:p>
            <w:r/>
            <w:r>
              <w:rPr>
                <w:b/>
              </w:rPr>
              <w:t>Fréquence</w:t>
            </w:r>
          </w:p>
        </w:tc>
      </w:tr>
      <w:tr>
        <w:tc>
          <w:tcPr>
            <w:tcW w:type="dxa" w:w="2880"/>
          </w:tcPr>
          <w:p>
            <w:r/>
            <w:r>
              <w:t>Parcoursup</w:t>
            </w:r>
          </w:p>
        </w:tc>
        <w:tc>
          <w:tcPr>
            <w:tcW w:type="dxa" w:w="2880"/>
          </w:tcPr>
          <w:p>
            <w:r/>
            <w:r>
              <w:t>API du portail de données ouvertes du ministère, huit millésimes</w:t>
            </w:r>
          </w:p>
        </w:tc>
        <w:tc>
          <w:tcPr>
            <w:tcW w:type="dxa" w:w="2880"/>
          </w:tcPr>
          <w:p>
            <w:r/>
            <w:r>
              <w:t>Annuelle, à l'issue de la campagne</w:t>
            </w:r>
          </w:p>
        </w:tc>
      </w:tr>
      <w:tr>
        <w:tc>
          <w:tcPr>
            <w:tcW w:type="dxa" w:w="2880"/>
          </w:tcPr>
          <w:p>
            <w:r/>
            <w:r>
              <w:t>Sirene</w:t>
            </w:r>
          </w:p>
        </w:tc>
        <w:tc>
          <w:tcPr>
            <w:tcW w:type="dxa" w:w="2880"/>
          </w:tcPr>
          <w:p>
            <w:r/>
            <w:r>
              <w:t>Catalogue data.gouv.fr, fichiers Parquet dont les adresses changent chaque mois</w:t>
            </w:r>
          </w:p>
        </w:tc>
        <w:tc>
          <w:tcPr>
            <w:tcW w:type="dxa" w:w="2880"/>
          </w:tcPr>
          <w:p>
            <w:r/>
            <w:r>
              <w:t>Mensuelle</w:t>
            </w:r>
          </w:p>
        </w:tc>
      </w:tr>
      <w:tr>
        <w:tc>
          <w:tcPr>
            <w:tcW w:type="dxa" w:w="2880"/>
          </w:tcPr>
          <w:p>
            <w:r/>
            <w:r>
              <w:t>Référentiels ONISEP, IDEO et RNCP</w:t>
            </w:r>
          </w:p>
        </w:tc>
        <w:tc>
          <w:tcPr>
            <w:tcW w:type="dxa" w:w="2880"/>
          </w:tcPr>
          <w:p>
            <w:r/>
            <w:r>
              <w:t>Téléchargement versionné</w:t>
            </w:r>
          </w:p>
        </w:tc>
        <w:tc>
          <w:tcPr>
            <w:tcW w:type="dxa" w:w="2880"/>
          </w:tcPr>
          <w:p>
            <w:r/>
            <w:r>
              <w:t>Sur publication</w:t>
            </w:r>
          </w:p>
        </w:tc>
      </w:tr>
    </w:tbl>
    <w:p>
      <w:r>
        <w:rPr>
          <w:b w:val="0"/>
          <w:i w:val="0"/>
        </w:rPr>
        <w:t>Les connecteurs sont idempotents et écrivent de façon atomique : un fichier déjà présent n'est pas retéléchargé, et une interruption ne laisse jamais un fichier tronqué que le pipeline croirait complet.</w:t>
      </w:r>
    </w:p>
    <w:p>
      <w:r>
        <w:rPr>
          <w:b/>
          <w:i w:val="0"/>
        </w:rPr>
        <w:t>Transformation. Deux chaînes distinctes, en cohérence avec les ordres de grandeur.</w:t>
      </w:r>
    </w:p>
    <w:p>
      <w:pPr>
        <w:pStyle w:val="ListBullet"/>
      </w:pPr>
      <w:r>
        <w:t>Chaîne de décision, traitée en mono-nœud avec Polars puis dbt : réconciliation des huit millésimes Parcoursup dont les schémas ont évolué, nettoyage, normalisation et construction des cellules d'observation. Volumétrie de l'ordre de la centaine de mégaoctets.</w:t>
      </w:r>
    </w:p>
    <w:p>
      <w:pPr>
        <w:pStyle w:val="ListBullet"/>
      </w:pPr>
      <w:r>
        <w:t>Chaîne de volume, traitée en distribué avec PySpark : agrégation de la base Sirene par commune et par secteur d'activité, calcul des dynamiques de créations et cessations sur dix ans, puis élargissement au bassin d'emploi. Volumétrie de l'ordre de la dizaine de gigaoctets.</w:t>
      </w:r>
    </w:p>
    <w:p>
      <w:r>
        <w:rPr>
          <w:b w:val="0"/>
          <w:i w:val="0"/>
        </w:rPr>
        <w:t>Le nettoyage de la chaîne Sirene mérite une précision, car il conditionne la faisabilité : les 43,9 millions de lignes ne sont jamais nettoyées ligne à ligne. Le format Parquet étant orienté colonnes, seules neuf colonnes sur cinquante-quatre sont lues, et le filtrage (établissements actifs, employeurs, diffusibles) est poussé au niveau du fichier. Le volume est ainsi réduit avant toute transformation, et les contrôles qualité s'appliquent ensuite à des agrégats de quelques centaines de milliers de lignes, inspectables et testables.</w:t>
      </w:r>
    </w:p>
    <w:tbl>
      <w:tblPr>
        <w:tblStyle w:val="TableGrid"/>
        <w:tblW w:type="auto" w:w="0"/>
        <w:tblLook w:firstColumn="1" w:firstRow="1" w:lastColumn="0" w:lastRow="0" w:noHBand="0" w:noVBand="1" w:val="04A0"/>
      </w:tblPr>
      <w:tblGrid>
        <w:gridCol w:w="8640"/>
      </w:tblGrid>
      <w:tr>
        <w:tc>
          <w:tcPr>
            <w:tcW w:type="dxa" w:w="8640"/>
          </w:tcPr>
          <w:p>
            <w:r/>
            <w:r>
              <w:rPr>
                <w:b/>
              </w:rPr>
              <w:t>Justification du choix : traitement distribué sur la couche de volume seulement</w:t>
            </w:r>
          </w:p>
          <w:p>
            <w:r>
              <w:t>Quelques dizaines de milliers de formations, soit 82 Mo mesurés sur disque, ne justifient en aucun cas un cluster distribué. Employer Spark sur cette chaîne serait un surdimensionnement, pénalisable au titre des critères d'arbitrage, de FinOps et de GreenOps. La chaîne de décision est donc traitée en mono-nœud avec Polars et dbt.</w:t>
            </w:r>
          </w:p>
          <w:p>
            <w:r>
              <w:t>Le calcul distribué est justifié par la chaîne de volume. La base Sirene compte 43 896 818 établissements (métadonnée Parquet mesurée le 1er août 2026), soit 25 à 30 Go décompressés. Cette volumétrie est réelle, publique et vérifiée par téléchargement : elle n'est pas déclarée.</w:t>
            </w:r>
          </w:p>
          <w:p>
            <w:r>
              <w:t>Ce n'est d'ailleurs pas la taille du stockage qui impose le traitement distribué, mais la nature du calcul : il faut joindre 43,9 millions d'établissements aux formations par nomenclature d'activité et par territoire, puis agréger par secteur, par bassin et par année sur dix ans d'historique. Le volume intermédiaire de jointure excède largement celui des sources. Le format Parquet, en colonnes, est lu nativement par Spark.</w:t>
            </w:r>
          </w:p>
          <w:p>
            <w:r>
              <w:t>La règle est symétrique : tout traitement dont la volumétrie reste inférieure à quelques dizaines de gigaoctets est exécuté en mono-nœud. Le passage au distribué est conditionné à un seuil, non appliqué par principe.</w:t>
            </w:r>
          </w:p>
        </w:tc>
      </w:tr>
    </w:tbl>
    <w:p/>
    <w:p>
      <w:r>
        <w:rPr>
          <w:b/>
          <w:i w:val="0"/>
        </w:rPr>
        <w:t>Réconciliation des nomenclatures. C'est le cœur de la difficulté technique du pipeline. Trois nomenclatures indépendantes doivent être mises en correspondance :</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Nomenclature</w:t>
            </w:r>
          </w:p>
        </w:tc>
        <w:tc>
          <w:tcPr>
            <w:tcW w:type="dxa" w:w="2880"/>
          </w:tcPr>
          <w:p>
            <w:r/>
            <w:r>
              <w:rPr>
                <w:b/>
              </w:rPr>
              <w:t>Origine</w:t>
            </w:r>
          </w:p>
        </w:tc>
        <w:tc>
          <w:tcPr>
            <w:tcW w:type="dxa" w:w="2880"/>
          </w:tcPr>
          <w:p>
            <w:r/>
            <w:r>
              <w:rPr>
                <w:b/>
              </w:rPr>
              <w:t>Rôle</w:t>
            </w:r>
          </w:p>
        </w:tc>
      </w:tr>
      <w:tr>
        <w:tc>
          <w:tcPr>
            <w:tcW w:type="dxa" w:w="2880"/>
          </w:tcPr>
          <w:p>
            <w:r/>
            <w:r>
              <w:t>NAF</w:t>
            </w:r>
          </w:p>
        </w:tc>
        <w:tc>
          <w:tcPr>
            <w:tcW w:type="dxa" w:w="2880"/>
          </w:tcPr>
          <w:p>
            <w:r/>
            <w:r>
              <w:t>Sirene (INSEE)</w:t>
            </w:r>
          </w:p>
        </w:tc>
        <w:tc>
          <w:tcPr>
            <w:tcW w:type="dxa" w:w="2880"/>
          </w:tcPr>
          <w:p>
            <w:r/>
            <w:r>
              <w:t>Activité économique des établissements</w:t>
            </w:r>
          </w:p>
        </w:tc>
      </w:tr>
      <w:tr>
        <w:tc>
          <w:tcPr>
            <w:tcW w:type="dxa" w:w="2880"/>
          </w:tcPr>
          <w:p>
            <w:r/>
            <w:r>
              <w:t>ROME</w:t>
            </w:r>
          </w:p>
        </w:tc>
        <w:tc>
          <w:tcPr>
            <w:tcW w:type="dxa" w:w="2880"/>
          </w:tcPr>
          <w:p>
            <w:r/>
            <w:r>
              <w:t>Référentiels métiers français</w:t>
            </w:r>
          </w:p>
        </w:tc>
        <w:tc>
          <w:tcPr>
            <w:tcW w:type="dxa" w:w="2880"/>
          </w:tcPr>
          <w:p>
            <w:r/>
            <w:r>
              <w:t>Métier</w:t>
            </w:r>
          </w:p>
        </w:tc>
      </w:tr>
      <w:tr>
        <w:tc>
          <w:tcPr>
            <w:tcW w:type="dxa" w:w="2880"/>
          </w:tcPr>
          <w:p>
            <w:r/>
            <w:r>
              <w:t>Codes formation</w:t>
            </w:r>
          </w:p>
        </w:tc>
        <w:tc>
          <w:tcPr>
            <w:tcW w:type="dxa" w:w="2880"/>
          </w:tcPr>
          <w:p>
            <w:r/>
            <w:r>
              <w:t>Parcoursup, RNCP, ONISEP</w:t>
            </w:r>
          </w:p>
        </w:tc>
        <w:tc>
          <w:tcPr>
            <w:tcW w:type="dxa" w:w="2880"/>
          </w:tcPr>
          <w:p>
            <w:r/>
            <w:r>
              <w:t>Offre de formation</w:t>
            </w:r>
          </w:p>
        </w:tc>
      </w:tr>
    </w:tbl>
    <w:p>
      <w:r>
        <w:rPr>
          <w:b w:val="0"/>
          <w:i w:val="0"/>
        </w:rPr>
        <w:t>Cette table de correspondance conditionne la qualité du terme de débouchés : sans elle, l'existence d'employeurs du secteur correspondant à une formation ne peut être établie. Elle est construite, versionnée, testée et documentée comme un actif de données à part entière ; son taux de couverture est mesuré et déclaré, une couverture partielle étant acceptable dès lors qu'elle est quantifiée.</w:t>
      </w:r>
    </w:p>
    <w:p>
      <w:r>
        <w:rPr>
          <w:b/>
          <w:i w:val="0"/>
        </w:rPr>
        <w:t>Automatisation, qualité et supervision.</w:t>
      </w:r>
    </w:p>
    <w:p>
      <w:r>
        <w:rPr>
          <w:b w:val="0"/>
          <w:i w:val="0"/>
        </w:rPr>
        <w:t>L'orchestration est assurée par Apache Airflow : planification, reprise sur erreur avec temporisation croissante, lignage. La chaîne s'exécute sans intervention manuelle, de la collecte jusqu'à l'évaluation du modèle. Les contrôles qualité portent sur le schéma, la complétude et la cohérence, au moyen de suites de tests versionnées (Great Expectations) : un taux hors de l'intervalle admissible, un effectif incohérent ou un millésime manquant bloquent la mise à jour. Ce blocage n'est pas une précaution facultative : sans lui, une donnée corrompue se propage jusqu'au modèle sans que personne ne le constate. La supervision suit la volumétrie traitée, le taux d'échec et la durée d'exécution, avec alertes proactives. La conformité RGPD est assurée par la minimisation et la traçabilité, la couche de volume ne contenant par construction aucune donnée à caractère personnel.</w:t>
      </w:r>
    </w:p>
    <w:p>
      <w:r>
        <w:rPr>
          <w:b w:val="0"/>
          <w:i/>
        </w:rPr>
        <w:t>À livrer à terme : diagramme du pipeline, code sur dépôt Git, capture vidéo du pipeline en production. Évaluation : lecture environ 20 min, présentation 5 min, questions 15 min.</w:t>
      </w:r>
    </w:p>
    <w:p>
      <w:r>
        <w:br w:type="page"/>
      </w:r>
    </w:p>
    <w:p>
      <w:pPr>
        <w:pStyle w:val="Heading1"/>
      </w:pPr>
      <w:r>
        <w:t>7. Bloc 4 - Déploiement de la solution IA</w:t>
      </w:r>
    </w:p>
    <w:p>
      <w:r>
        <w:rPr>
          <w:b w:val="0"/>
          <w:i/>
        </w:rPr>
        <w:t>Ce que le projet rend inévitable : une décision automatisée à fort enjeu, une exigence d'explicabilité de droit et non de confort, des données sujettes à dérive, et un environnement de production.</w:t>
      </w:r>
    </w:p>
    <w:p>
      <w:r>
        <w:rPr>
          <w:b/>
          <w:i w:val="0"/>
        </w:rPr>
        <w:t>Composition du score et rôle de chaque source.</w:t>
      </w:r>
    </w:p>
    <w:p>
      <w:r>
        <w:rPr>
          <w:b w:val="0"/>
          <w:i w:val="0"/>
        </w:rPr>
        <w:t>La recommandation combine trois termes. Un seul composant est appris ; les deux autres reposent sur des règles métier et des agrégats calculés. Cette répartition est un choix d'architecte : on n'apprend que ce qui ne peut pas être établi autrement.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rPr>
              <w:t>Terme</w:t>
            </w:r>
          </w:p>
        </w:tc>
        <w:tc>
          <w:tcPr>
            <w:tcW w:type="dxa" w:w="2160"/>
          </w:tcPr>
          <w:p>
            <w:r/>
            <w:r>
              <w:rPr>
                <w:b/>
              </w:rPr>
              <w:t>Question</w:t>
            </w:r>
          </w:p>
        </w:tc>
        <w:tc>
          <w:tcPr>
            <w:tcW w:type="dxa" w:w="2160"/>
          </w:tcPr>
          <w:p>
            <w:r/>
            <w:r>
              <w:rPr>
                <w:b/>
              </w:rPr>
              <w:t>Source</w:t>
            </w:r>
          </w:p>
        </w:tc>
        <w:tc>
          <w:tcPr>
            <w:tcW w:type="dxa" w:w="2160"/>
          </w:tcPr>
          <w:p>
            <w:r/>
            <w:r>
              <w:rPr>
                <w:b/>
              </w:rPr>
              <w:t>Nature du calcul</w:t>
            </w:r>
          </w:p>
        </w:tc>
      </w:tr>
      <w:tr>
        <w:tc>
          <w:tcPr>
            <w:tcW w:type="dxa" w:w="2160"/>
          </w:tcPr>
          <w:p>
            <w:r/>
            <w:r>
              <w:t>Affinité</w:t>
            </w:r>
          </w:p>
        </w:tc>
        <w:tc>
          <w:tcPr>
            <w:tcW w:type="dxa" w:w="2160"/>
          </w:tcPr>
          <w:p>
            <w:r/>
            <w:r>
              <w:t>Cela correspond-il aux centres d'intérêt du candidat ?</w:t>
            </w:r>
          </w:p>
        </w:tc>
        <w:tc>
          <w:tcPr>
            <w:tcW w:type="dxa" w:w="2160"/>
          </w:tcPr>
          <w:p>
            <w:r/>
            <w:r>
              <w:t>Intérêts déclarés dans la requête, référentiels de domaines</w:t>
            </w:r>
          </w:p>
        </w:tc>
        <w:tc>
          <w:tcPr>
            <w:tcW w:type="dxa" w:w="2160"/>
          </w:tcPr>
          <w:p>
            <w:r/>
            <w:r>
              <w:t>Règles et pondérations métier. Aucun apprentissage, aucune donnée stockée : la valeur est fournie dans l'appel.</w:t>
            </w:r>
          </w:p>
        </w:tc>
      </w:tr>
      <w:tr>
        <w:tc>
          <w:tcPr>
            <w:tcW w:type="dxa" w:w="2160"/>
          </w:tcPr>
          <w:p>
            <w:r/>
            <w:r>
              <w:t>Accessibilité</w:t>
            </w:r>
          </w:p>
        </w:tc>
        <w:tc>
          <w:tcPr>
            <w:tcW w:type="dxa" w:w="2160"/>
          </w:tcPr>
          <w:p>
            <w:r/>
            <w:r>
              <w:t>Le candidat a-t-il une chance d'être admis ?</w:t>
            </w:r>
          </w:p>
        </w:tc>
        <w:tc>
          <w:tcPr>
            <w:tcW w:type="dxa" w:w="2160"/>
          </w:tcPr>
          <w:p>
            <w:r/>
            <w:r>
              <w:t>Parcoursup, huit millésimes</w:t>
            </w:r>
          </w:p>
        </w:tc>
        <w:tc>
          <w:tcPr>
            <w:tcW w:type="dxa" w:w="2160"/>
          </w:tcPr>
          <w:p>
            <w:r/>
            <w:r>
              <w:t>MODÈLE APPRIS (LightGBM), explicabilité SHAP. C'est le composant d'intelligence artificielle du système.</w:t>
            </w:r>
          </w:p>
        </w:tc>
      </w:tr>
      <w:tr>
        <w:tc>
          <w:tcPr>
            <w:tcW w:type="dxa" w:w="2160"/>
          </w:tcPr>
          <w:p>
            <w:r/>
            <w:r>
              <w:t>Débouchés</w:t>
            </w:r>
          </w:p>
        </w:tc>
        <w:tc>
          <w:tcPr>
            <w:tcW w:type="dxa" w:w="2160"/>
          </w:tcPr>
          <w:p>
            <w:r/>
            <w:r>
              <w:t>La formation mène-t-elle à un emploi atteignable ?</w:t>
            </w:r>
          </w:p>
        </w:tc>
        <w:tc>
          <w:tcPr>
            <w:tcW w:type="dxa" w:w="2160"/>
          </w:tcPr>
          <w:p>
            <w:r/>
            <w:r>
              <w:t>Base Sirene, référentiels métiers</w:t>
            </w:r>
          </w:p>
        </w:tc>
        <w:tc>
          <w:tcPr>
            <w:tcW w:type="dxa" w:w="2160"/>
          </w:tcPr>
          <w:p>
            <w:r/>
            <w:r>
              <w:t>Agrégats de densité et de dynamique des employeurs du secteur dans le bassin de vie. Aucun apprentissage.</w:t>
            </w:r>
          </w:p>
        </w:tc>
      </w:tr>
    </w:tbl>
    <w:p>
      <w:r>
        <w:rPr>
          <w:b w:val="0"/>
          <w:i w:val="0"/>
        </w:rPr>
        <w:t>Les trois termes sont combinés de façon multiplicative. Si l'affinité est nulle, la formation ne correspond pas ; si l'accessibilité est nulle, elle est hors de portée ; si les débouchés sont nuls, elle ne mène nulle part. Dans les trois cas la recommandation doit disparaître, ce qu'une somme pondérée ne permettrait pas.</w:t>
      </w:r>
    </w:p>
    <w:p>
      <w:r>
        <w:rPr>
          <w:b w:val="0"/>
          <w:i w:val="0"/>
        </w:rPr>
        <w:t>Le terme de débouchés répond directement à la première cause identifiée en section 1.2, le manque d'information sur les débouchés, et il n'est donc pas une variable ajoutée mais une dimension constitutive de la décision. Les variables issues de Sirene alimentent en outre le modèle d'accessibilité, par un mécanisme explicite : la densité d'employeurs d'un secteur détermine la demande locale de formation, donc la tension entre vœux et capacité, donc la sélectivité. Cette hypothèse est testée, non postulée : voir l'étude d'ablation ci-dessous.</w:t>
      </w:r>
    </w:p>
    <w:tbl>
      <w:tblPr>
        <w:tblStyle w:val="TableGrid"/>
        <w:tblW w:type="auto" w:w="0"/>
        <w:tblLook w:firstColumn="1" w:firstRow="1" w:lastColumn="0" w:lastRow="0" w:noHBand="0" w:noVBand="1" w:val="04A0"/>
      </w:tblPr>
      <w:tblGrid>
        <w:gridCol w:w="8640"/>
      </w:tblGrid>
      <w:tr>
        <w:tc>
          <w:tcPr>
            <w:tcW w:type="dxa" w:w="8640"/>
          </w:tcPr>
          <w:p>
            <w:r/>
            <w:r>
              <w:rPr>
                <w:b/>
              </w:rPr>
              <w:t>Justification du choix : n'apprendre qu'un seul composant</w:t>
            </w:r>
          </w:p>
          <w:p>
            <w:r>
              <w:t>Il serait tentant d'apprendre les trois termes. Ce serait une erreur d'architecture.</w:t>
            </w:r>
          </w:p>
          <w:p>
            <w:r>
              <w:t>L'affinité est une préférence exprimée par le candidat lui-même. Rien n'est à prédire : la valeur est déclarée dans la requête, et la pondération par domaine relève de règles métier arbitrées avec les conseillers d'orientation. Y substituer un modèle reviendrait à prétendre deviner un goût que l'utilisateur vient d'énoncer.</w:t>
            </w:r>
          </w:p>
          <w:p>
            <w:r>
              <w:t>Les débouchés sont un dénombrement. La densité d'employeurs d'un secteur dans un bassin se calcule exactement à partir de la base Sirene ; la transformer en prédiction n'apporterait aucune information et retirerait de la transparence, puisque le chiffre exact est disponible.</w:t>
            </w:r>
          </w:p>
          <w:p>
            <w:r>
              <w:t>L'accessibilité, en revanche, doit être apprise. Elle dépend d'une combinaison de facteurs (sélectivité historique, capacité, tension, territoire, caractéristiques du candidat) dont l'interaction n'est décrite par aucune table. C'est le seul endroit où un modèle apporte quelque chose qu'une règle ne saurait produire.</w:t>
            </w:r>
          </w:p>
        </w:tc>
      </w:tr>
    </w:tbl>
    <w:p/>
    <w:p>
      <w:r>
        <w:rPr>
          <w:b w:val="0"/>
          <w:i w:val="0"/>
        </w:rPr>
        <w:t>Algorithme. Le modèle d'accessibilité est entraîné par gradient boosting (LightGBM) sur les résultats d'admission publiés. Le gradient boosting est retenu plutôt qu'un réseau de neurones : les variables sont tabulaires, le coût d'inférence doit rester faible, et l'explicabilité par valeurs de Shapley y est exacte et directement applicable. Il est couplé à SHAP, qui fournit pour chaque recommandation les facteurs déterminants, exigence directe de l'AI Act et du droit à explication du RGPD.</w:t>
      </w:r>
    </w:p>
    <w:tbl>
      <w:tblPr>
        <w:tblStyle w:val="TableGrid"/>
        <w:tblW w:type="auto" w:w="0"/>
        <w:tblLook w:firstColumn="1" w:firstRow="1" w:lastColumn="0" w:lastRow="0" w:noHBand="0" w:noVBand="1" w:val="04A0"/>
      </w:tblPr>
      <w:tblGrid>
        <w:gridCol w:w="8640"/>
      </w:tblGrid>
      <w:tr>
        <w:tc>
          <w:tcPr>
            <w:tcW w:type="dxa" w:w="8640"/>
          </w:tcPr>
          <w:p>
            <w:r/>
            <w:r>
              <w:rPr>
                <w:b/>
              </w:rPr>
              <w:t>Justification du choix : apprendre sur les données publiques plutôt que sur le comportement des utilisateurs</w:t>
            </w:r>
          </w:p>
          <w:p>
            <w:r>
              <w:t>EduMatch est en phase d'amorçage et ne dispose d'aucun historique d'usage. C'est la situation du démarrage à froid, problème classique des systèmes de recommandation : il est impossible d'apprendre sur un comportement qui n'existe pas encore.</w:t>
            </w:r>
          </w:p>
          <w:p>
            <w:r>
              <w:t>La réponse retenue est celle qui fait référence dans le domaine : apprendre la partie prédictive sur des données publiques déjà disponibles, et traiter le reste par des règles et des taux observés. Les résultats d'admission de Parcoursup contiennent précisément l'information recherchée, la sélectivité effective d'une formation pour un type de candidat donné, et ils sont publiés chaque année depuis 2018.</w:t>
            </w:r>
          </w:p>
          <w:p>
            <w:r>
              <w:t>Cette décomposition a une conséquence favorable : le seul composant appris repose sur un label observé et vérifiable, et non sur un indicateur de substitution construit à partir d'un comportement supposé. Le modèle est donc évaluable de façon honnête dès la première campagne.</w:t>
            </w:r>
          </w:p>
        </w:tc>
      </w:tr>
    </w:tbl>
    <w:p/>
    <w:p>
      <w:r>
        <w:rPr>
          <w:b w:val="0"/>
          <w:i w:val="0"/>
        </w:rPr>
        <w:t>Le chatbot RAG (embeddings CamemBERT, recherche vectorielle FAISS, orchestration LangChain et génération Mistral-small) est conservé comme brique secondaire. Son rôle est de restituer en langue naturelle, avec citation des sources officielles, les éléments qui fondent une recommandation. Il est intégré et supervisé, mais il n'est pas l'objet du dispositif de réentraînement et de détection de dérive. Mistral et CamemBERT, souverains et francophones, sont conservés plutôt que des modèles hors Union européenne, par conformité ; LangChain et FastAPI sont conservés parce qu'ils sont déjà éprouvés : savoir ne pas migrer une brique qui fonctionne est aussi un arbitrage d'architecte.</w:t>
      </w:r>
    </w:p>
    <w:p>
      <w:r>
        <w:rPr>
          <w:b/>
          <w:i w:val="0"/>
        </w:rPr>
        <w:t>Cible, protocole et équité du modèle d'accessibilité.</w:t>
      </w:r>
    </w:p>
    <w:p>
      <w:r>
        <w:rPr>
          <w:b w:val="0"/>
          <w:i w:val="0"/>
        </w:rPr>
        <w:t>L'unité d'observation est la cellule, croisement d'une formation, d'une session, d'un type de baccalauréat et d'un statut de boursier. La cible est le taux d'admission observé de cette cellule, rapport entre les propositions d'admission et les vœux formulés en phase principale, deux grandeurs publiées.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Élément</w:t>
            </w:r>
          </w:p>
        </w:tc>
        <w:tc>
          <w:tcPr>
            <w:tcW w:type="dxa" w:w="4320"/>
          </w:tcPr>
          <w:p>
            <w:r/>
            <w:r>
              <w:rPr>
                <w:b/>
              </w:rPr>
              <w:t>Valeur retenue</w:t>
            </w:r>
          </w:p>
        </w:tc>
      </w:tr>
      <w:tr>
        <w:tc>
          <w:tcPr>
            <w:tcW w:type="dxa" w:w="4320"/>
          </w:tcPr>
          <w:p>
            <w:r/>
            <w:r>
              <w:t>Cible</w:t>
            </w:r>
          </w:p>
        </w:tc>
        <w:tc>
          <w:tcPr>
            <w:tcW w:type="dxa" w:w="4320"/>
          </w:tcPr>
          <w:p>
            <w:r/>
            <w:r>
              <w:t>Taux d'admission observé de la cellule, dans l'intervalle [0, 1]. Label mesuré et publié : ni simulé, ni dérivé d'un indicateur de substitution</w:t>
            </w:r>
          </w:p>
        </w:tc>
      </w:tr>
      <w:tr>
        <w:tc>
          <w:tcPr>
            <w:tcW w:type="dxa" w:w="4320"/>
          </w:tcPr>
          <w:p>
            <w:r/>
            <w:r>
              <w:t>Volumétrie</w:t>
            </w:r>
          </w:p>
        </w:tc>
        <w:tc>
          <w:tcPr>
            <w:tcW w:type="dxa" w:w="4320"/>
          </w:tcPr>
          <w:p>
            <w:r/>
            <w:r>
              <w:t>77 159 cellules exploitables par millésime ; 560 000 à 625 000 observations sur les huit sessions</w:t>
            </w:r>
          </w:p>
        </w:tc>
      </w:tr>
      <w:tr>
        <w:tc>
          <w:tcPr>
            <w:tcW w:type="dxa" w:w="4320"/>
          </w:tcPr>
          <w:p>
            <w:r/>
            <w:r>
              <w:t>Pondération</w:t>
            </w:r>
          </w:p>
        </w:tc>
        <w:tc>
          <w:tcPr>
            <w:tcW w:type="dxa" w:w="4320"/>
          </w:tcPr>
          <w:p>
            <w:r/>
            <w:r>
              <w:t>Chaque observation est pondérée par l'effectif de la cellule : une cellule de trois candidats porte un taux très bruité, une cellule de cinq cents une information fiable</w:t>
            </w:r>
          </w:p>
        </w:tc>
      </w:tr>
      <w:tr>
        <w:tc>
          <w:tcPr>
            <w:tcW w:type="dxa" w:w="4320"/>
          </w:tcPr>
          <w:p>
            <w:r/>
            <w:r>
              <w:t>Séparation</w:t>
            </w:r>
          </w:p>
        </w:tc>
        <w:tc>
          <w:tcPr>
            <w:tcW w:type="dxa" w:w="4320"/>
          </w:tcPr>
          <w:p>
            <w:r/>
            <w:r>
              <w:t>Strictement temporelle : entraînement 2018-2023, validation 2024, test 2025. Une séparation aléatoire placerait la même formation de part et d'autre et produirait une fuite d'information</w:t>
            </w:r>
          </w:p>
        </w:tc>
      </w:tr>
      <w:tr>
        <w:tc>
          <w:tcPr>
            <w:tcW w:type="dxa" w:w="4320"/>
          </w:tcPr>
          <w:p>
            <w:r/>
            <w:r>
              <w:t>Référence obligatoire</w:t>
            </w:r>
          </w:p>
        </w:tc>
        <w:tc>
          <w:tcPr>
            <w:tcW w:type="dxa" w:w="4320"/>
          </w:tcPr>
          <w:p>
            <w:r/>
            <w:r>
              <w:t>Taux d'admission de la même cellule à la session précédente. Si le modèle ne bat pas cette référence, cela est rapporté</w:t>
            </w:r>
          </w:p>
        </w:tc>
      </w:tr>
    </w:tbl>
    <w:p>
      <w:r>
        <w:rPr>
          <w:b w:val="0"/>
          <w:i w:val="0"/>
        </w:rPr>
        <w:t>Métriques. La performance est mesurée par l'erreur absolue moyenne pondérée par l'effectif, et surtout par la qualité de calibration : puisque le système annonce une probabilité d'admission à un candidat, un score bien ordonné mais mal calibré serait nuisible. Une courbe d'apprentissage est produite en entraînant sur des fractions croissantes des observations, afin d'établir si le volume disponible est suffisant plutôt que de l'affirmer.</w:t>
      </w:r>
    </w:p>
    <w:p>
      <w:r>
        <w:rPr>
          <w:b w:val="0"/>
          <w:i w:val="0"/>
        </w:rPr>
        <w:t>Restitution. L'estimation est présentée comme une fréquence observée et non comme une prédiction individuelle : « sur cent candidats ayant vos caractéristiques scolaires et ayant demandé cette formation, tel nombre a reçu une proposition ». Le modèle ne connaît ni les notes exactes, ni les appréciations, ni la lettre de motivation, alors que la sélection s'appuie sur l'ensemble du dossier. Cette formulation est à la fois plus exacte et conforme à l'exigence de transparence sur la logique du traitement.</w:t>
      </w:r>
    </w:p>
    <w:tbl>
      <w:tblPr>
        <w:tblStyle w:val="TableGrid"/>
        <w:tblW w:type="auto" w:w="0"/>
        <w:tblLook w:firstColumn="1" w:firstRow="1" w:lastColumn="0" w:lastRow="0" w:noHBand="0" w:noVBand="1" w:val="04A0"/>
      </w:tblPr>
      <w:tblGrid>
        <w:gridCol w:w="8640"/>
      </w:tblGrid>
      <w:tr>
        <w:tc>
          <w:tcPr>
            <w:tcW w:type="dxa" w:w="8640"/>
          </w:tcPr>
          <w:p>
            <w:r/>
            <w:r>
              <w:rPr>
                <w:b/>
              </w:rPr>
              <w:t>Justification du choix : exclure le genre du modèle, et pourquoi cela ne coûte rien</w:t>
            </w:r>
          </w:p>
          <w:p>
            <w:r>
              <w:t>Aucune variable de genre n'entre dans le modèle. Elle est conservée exclusivement pour l'audit d'équité a posteriori, et les variables susceptibles d'agir comme substituts (établissement d'origine, académie) sont testées pour corrélation résiduelle.</w:t>
            </w:r>
          </w:p>
          <w:p>
            <w:r>
              <w:t>L'objection habituelle est qu'exclure une variable prédictive dégrade la précision. La mesure montre qu'il n'en est rien ici. Sur les 11 099 formations recevant au moins trente vœux de chaque sexe, l'écart médian de taux d'admission entre femmes et hommes est nul, sa moyenne est de moins d'un demi-point, et il reste inférieur à cinq points dans 83,8 pour cent des cas.</w:t>
            </w:r>
          </w:p>
          <w:p>
            <w:r>
              <w:t>L'explication est structurelle : la sélection s'appuie sur le dossier scolaire, non sur le sexe. Le genre agit massivement sur le choix des formations demandées, la ségrégation décrite en section 1.1, mais quasiment pas sur la probabilité d'être admis une fois le vœu formulé. L'information est donc déjà portée par la formation demandée et le dossier.</w:t>
            </w:r>
          </w:p>
          <w:p>
            <w:r>
              <w:t>Même si un écart existait, l'utiliser serait exclu. D'une part il s'agirait d'une discrimination directe dans l'accès à l'éducation. D'autre part le système deviendrait un amplificateur de ségrégation par effet de boucle : annoncer à un garçon qu'il a moins de chances dans une filière féminisée le dissuaderait de postuler, renforçant la ségrégation que le modèle apprendrait l'année suivante.</w:t>
            </w:r>
          </w:p>
        </w:tc>
      </w:tr>
    </w:tbl>
    <w:p/>
    <w:p>
      <w:r>
        <w:rPr>
          <w:b w:val="0"/>
          <w:i w:val="0"/>
        </w:rPr>
        <w:t>Audit d'équité. Les écarts de parité, l'égalité des chances et le ratio d'impact disparate sont évalués sur quatre dimensions : type de baccalauréat, statut de boursier, genre et territoire. La dimension territoriale n'est rendue mesurable que par la base Sirene, qui permet de vérifier qu'un candidat issu d'un bassin à faible densité d'employeurs n'est pas pénalisé. Elle répond à la deuxième cause structurelle identifiée en section 1.2, les déterminismes sociaux et territoriaux, qui restait sans dispositif de mesure.</w:t>
      </w:r>
    </w:p>
    <w:tbl>
      <w:tblPr>
        <w:tblStyle w:val="TableGrid"/>
        <w:tblW w:type="auto" w:w="0"/>
        <w:tblLook w:firstColumn="1" w:firstRow="1" w:lastColumn="0" w:lastRow="0" w:noHBand="0" w:noVBand="1" w:val="04A0"/>
      </w:tblPr>
      <w:tblGrid>
        <w:gridCol w:w="8640"/>
      </w:tblGrid>
      <w:tr>
        <w:tc>
          <w:tcPr>
            <w:tcW w:type="dxa" w:w="8640"/>
          </w:tcPr>
          <w:p>
            <w:r/>
            <w:r>
              <w:rPr>
                <w:b/>
              </w:rPr>
              <w:t>Justification du choix : l'apport de chaque source est mesuré, non postulé</w:t>
            </w:r>
          </w:p>
          <w:p>
            <w:r>
              <w:t>Une source de données qui n'est pas réellement utilisée par le modèle finit par paraître ajoutée artificiellement. Pour l'éviter, l'apport des variables issues de Sirene est établi par une étude d'ablation.</w:t>
            </w:r>
          </w:p>
          <w:p>
            <w:r>
              <w:t>Deux modèles sont entraînés dans les mêmes conditions : le premier sur les seules variables issues des données d'admission, le second en y ajoutant les variables de tissu économique. L'écart de performance est mesuré sur le jeu de test temporel, et l'analyse SHAP indique si ces variables figurent effectivement parmi les contributeurs principaux.</w:t>
            </w:r>
          </w:p>
          <w:p>
            <w:r>
              <w:t>Si l'apport prédictif s'avère nul, il est rapporté comme tel : les variables sont retirées du modèle d'accessibilité, et Sirene ne subsiste que dans le terme de débouchés, qui repose sur des agrégats et non sur de l'apprentissage. Dans les deux cas la source reste justifiée, mais la justification est celle que la mesure établit.</w:t>
            </w:r>
          </w:p>
        </w:tc>
      </w:tr>
    </w:tbl>
    <w:p/>
    <w:p>
      <w:r>
        <w:rPr>
          <w:b w:val="0"/>
          <w:i w:val="0"/>
        </w:rPr>
        <w:t>Intégration : le modèle est exposé par une API FastAPI conteneurisée, avec gestion des erreurs et sécurisation. Les recommandations alimentent l'écran de supervision consulté par les conseillers d'orientation, qui matérialise l'exigence de contrôle humain posée par l'article 14 du règlement sur l'IA : le conseiller y revoit chaque recommandation, la contextualise à partir du dossier réel de l'élève, que le modèle ne connaît pas, et peut l'écarter en motivant sa décision.</w:t>
      </w:r>
    </w:p>
    <w:p>
      <w:r>
        <w:rPr>
          <w:b w:val="0"/>
          <w:i w:val="0"/>
        </w:rPr>
        <w:t>CI/CD : un pipeline GitHub Actions automatise les tests, la construction d'images, le suivi des expériences avec MLflow et le déploiement versionné. Deux dépôts distincts sont prévus, l'un pour la solution IA, l'autre pour la chaîne d'intégration et de déploiement.</w:t>
      </w:r>
    </w:p>
    <w:p>
      <w:r>
        <w:rPr>
          <w:b w:val="0"/>
          <w:i w:val="0"/>
        </w:rPr>
        <w:t>Réentraînement et dérive : la dérive est ici mesurable sur des données réelles, les huit millésimes publiés portant des évolutions authentiques : réforme du baccalauréat, variation des capacités d'accueil, effet de la campagne 2020. Evidently compare la distribution courante à la référence d'entraînement et déclenche, au-delà d'un seuil documenté, un réentraînement reproductible. Le monitoring en production couvre la performance du modèle, la latence de l'API et la disponibilité, avec alertes sur seuils.</w:t>
      </w:r>
    </w:p>
    <w:p>
      <w:r>
        <w:rPr>
          <w:b w:val="0"/>
          <w:i w:val="0"/>
        </w:rPr>
        <w:t>Conformité et accessibilité : explicabilité par SHAP, tests d'équité écartant les variables discriminantes, et conformité RGAA de l'écran de supervision pour les personnes en situation de handicap.</w:t>
      </w:r>
    </w:p>
    <w:p>
      <w:r>
        <w:rPr>
          <w:b w:val="0"/>
          <w:i/>
        </w:rPr>
        <w:t>À livrer à terme : présentation de la solution, dépôt n°1 (développement de la solution IA), dépôt n°2 (intégration et déploiement continus), capture vidéo en production. Deux dépôts de code distincts sont attendus.</w:t>
      </w:r>
    </w:p>
    <w:p>
      <w:r>
        <w:br w:type="page"/>
      </w:r>
    </w:p>
    <w:p>
      <w:pPr>
        <w:pStyle w:val="Heading1"/>
      </w:pPr>
      <w:r>
        <w:t>8. Synthèse des livrables et soutenance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Bloc</w:t>
            </w:r>
          </w:p>
        </w:tc>
        <w:tc>
          <w:tcPr>
            <w:tcW w:type="dxa" w:w="2880"/>
          </w:tcPr>
          <w:p>
            <w:r/>
            <w:r>
              <w:rPr>
                <w:b/>
              </w:rPr>
              <w:t>Livrables principaux</w:t>
            </w:r>
          </w:p>
        </w:tc>
        <w:tc>
          <w:tcPr>
            <w:tcW w:type="dxa" w:w="2880"/>
          </w:tcPr>
          <w:p>
            <w:r/>
            <w:r>
              <w:rPr>
                <w:b/>
              </w:rPr>
              <w:t>Évaluation</w:t>
            </w:r>
          </w:p>
        </w:tc>
      </w:tr>
      <w:tr>
        <w:tc>
          <w:tcPr>
            <w:tcW w:type="dxa" w:w="2880"/>
          </w:tcPr>
          <w:p>
            <w:r/>
            <w:r>
              <w:t>Bloc 1</w:t>
            </w:r>
          </w:p>
        </w:tc>
        <w:tc>
          <w:tcPr>
            <w:tcW w:type="dxa" w:w="2880"/>
          </w:tcPr>
          <w:p>
            <w:r/>
            <w:r>
              <w:t>Plan de gouvernance, analyse d'impact, Model Card, registre des sources, slides</w:t>
            </w:r>
          </w:p>
        </w:tc>
        <w:tc>
          <w:tcPr>
            <w:tcW w:type="dxa" w:w="2880"/>
          </w:tcPr>
          <w:p>
            <w:r/>
            <w:r>
              <w:t>Lecture environ 15 min, présentation 15 min, questions 15 min</w:t>
            </w:r>
          </w:p>
        </w:tc>
      </w:tr>
      <w:tr>
        <w:tc>
          <w:tcPr>
            <w:tcW w:type="dxa" w:w="2880"/>
          </w:tcPr>
          <w:p>
            <w:r/>
            <w:r>
              <w:t>Bloc 2</w:t>
            </w:r>
          </w:p>
        </w:tc>
        <w:tc>
          <w:tcPr>
            <w:tcW w:type="dxa" w:w="2880"/>
          </w:tcPr>
          <w:p>
            <w:r/>
            <w:r>
              <w:t>Diagrammes C4, code d'infrastructure, vidéo</w:t>
            </w:r>
          </w:p>
        </w:tc>
        <w:tc>
          <w:tcPr>
            <w:tcW w:type="dxa" w:w="2880"/>
          </w:tcPr>
          <w:p>
            <w:r/>
            <w:r>
              <w:t>Lecture environ 20 min, présentation 5 min, questions 15 min</w:t>
            </w:r>
          </w:p>
        </w:tc>
      </w:tr>
      <w:tr>
        <w:tc>
          <w:tcPr>
            <w:tcW w:type="dxa" w:w="2880"/>
          </w:tcPr>
          <w:p>
            <w:r/>
            <w:r>
              <w:t>Bloc 3</w:t>
            </w:r>
          </w:p>
        </w:tc>
        <w:tc>
          <w:tcPr>
            <w:tcW w:type="dxa" w:w="2880"/>
          </w:tcPr>
          <w:p>
            <w:r/>
            <w:r>
              <w:t>Diagramme de pipeline, code, vidéo</w:t>
            </w:r>
          </w:p>
        </w:tc>
        <w:tc>
          <w:tcPr>
            <w:tcW w:type="dxa" w:w="2880"/>
          </w:tcPr>
          <w:p>
            <w:r/>
            <w:r>
              <w:t>Lecture environ 20 min, présentation 5 min, questions 15 min</w:t>
            </w:r>
          </w:p>
        </w:tc>
      </w:tr>
      <w:tr>
        <w:tc>
          <w:tcPr>
            <w:tcW w:type="dxa" w:w="2880"/>
          </w:tcPr>
          <w:p>
            <w:r/>
            <w:r>
              <w:t>Bloc 4</w:t>
            </w:r>
          </w:p>
        </w:tc>
        <w:tc>
          <w:tcPr>
            <w:tcW w:type="dxa" w:w="2880"/>
          </w:tcPr>
          <w:p>
            <w:r/>
            <w:r>
              <w:t>Slides, dépôt n°1, dépôt n°2, vidéo</w:t>
            </w:r>
          </w:p>
        </w:tc>
        <w:tc>
          <w:tcPr>
            <w:tcW w:type="dxa" w:w="2880"/>
          </w:tcPr>
          <w:p>
            <w:r/>
            <w:r>
              <w:t>Présentation et questions devant le jury</w:t>
            </w:r>
          </w:p>
        </w:tc>
      </w:tr>
    </w:tbl>
    <w:p>
      <w:r>
        <w:rPr>
          <w:b w:val="0"/>
          <w:i w:val="0"/>
        </w:rPr>
        <w:t>Fil conducteur de la soutenance : partir des constats mesurés dans les données publiques. La ségrégation par le genre est massive alors même que les femmes sont majoritaires parmi les admis, et l'accès reste inégal selon le baccalauréat d'origine. Puis dérouler la chaîne complète, de la gouvernance à la solution déployée, en montrant que chaque source répond à une question précise et qu'un seul composant est appris. Chaque choix est défendu par « X plutôt que Y parce que… ».</w:t>
      </w:r>
    </w:p>
    <w:p>
      <w:pPr>
        <w:pStyle w:val="Heading1"/>
      </w:pPr>
      <w:r>
        <w:t>9. Autocontrôle avant dépôt</w:t>
      </w:r>
    </w:p>
    <w:p>
      <w:pPr>
        <w:pStyle w:val="ListBullet"/>
      </w:pPr>
      <w:r>
        <w:t>Le secteur et l'organisation sont décrits : EdTech, startup en amorçage, Île-de-France.</w:t>
      </w:r>
    </w:p>
    <w:p>
      <w:pPr>
        <w:pStyle w:val="ListBullet"/>
      </w:pPr>
      <w:r>
        <w:t>La problématique est établie par la mesure, non par l'intuition : ségrégation de genre chiffrée et écart d'accès selon le baccalauréat, recalculés sur le fichier source.</w:t>
      </w:r>
    </w:p>
    <w:p>
      <w:pPr>
        <w:pStyle w:val="ListBullet"/>
      </w:pPr>
      <w:r>
        <w:t>Les contraintes forcent de vrais arbitrages : volumétrie, fraîcheur, budget, conformité.</w:t>
      </w:r>
    </w:p>
    <w:p>
      <w:pPr>
        <w:pStyle w:val="ListBullet"/>
      </w:pPr>
      <w:r>
        <w:t>L'environnement technique présente les 3V de façon non triviale, avec trois sources dont les volumétries sont vérifiées.</w:t>
      </w:r>
    </w:p>
    <w:p>
      <w:pPr>
        <w:pStyle w:val="ListBullet"/>
      </w:pPr>
      <w:r>
        <w:t>Des données personnelles, dont celles de mineurs, sont impliquées avec un enjeu RGPD réel, et la séparation entraînement / inférence est explicite.</w:t>
      </w:r>
    </w:p>
    <w:p>
      <w:pPr>
        <w:pStyle w:val="ListBullet"/>
      </w:pPr>
      <w:r>
        <w:t>Les parties prenantes sont nommées, dont le DPO et le superviseur humain.</w:t>
      </w:r>
    </w:p>
    <w:p>
      <w:pPr>
        <w:pStyle w:val="ListBullet"/>
      </w:pPr>
      <w:r>
        <w:t>Bloc 1 : gouvernance, rôles, risques, correspondance avec les obligations de l'AI Act, audits.</w:t>
      </w:r>
    </w:p>
    <w:p>
      <w:pPr>
        <w:pStyle w:val="ListBullet"/>
      </w:pPr>
      <w:r>
        <w:t>Bloc 2 : architecture séparée en deux couches, infrastructure, sécurisation, supervision.</w:t>
      </w:r>
    </w:p>
    <w:p>
      <w:pPr>
        <w:pStyle w:val="ListBullet"/>
      </w:pPr>
      <w:r>
        <w:t>Bloc 3 : trois connecteurs, deux chaînes dimensionnées séparément, réconciliation de trois nomenclatures, automatisation, qualité, supervision.</w:t>
      </w:r>
    </w:p>
    <w:p>
      <w:pPr>
        <w:pStyle w:val="ListBullet"/>
      </w:pPr>
      <w:r>
        <w:t>Bloc 4 : un seul modèle industrialisé, rôle de chaque source explicité, cible et protocole définis, calibration, courbe d'apprentissage, ablation, équité sur quatre dimensions, CI/CD, dérive, deux dépôts.</w:t>
      </w:r>
    </w:p>
    <w:p>
      <w:pPr>
        <w:pStyle w:val="ListBullet"/>
      </w:pPr>
      <w:r>
        <w:t>Chaque choix important est justifié selon la forme « X plutôt que Y parce que… ».</w:t>
      </w:r>
    </w:p>
    <w:p>
      <w:pPr>
        <w:pStyle w:val="ListBullet"/>
      </w:pPr>
      <w:r>
        <w:t>Aucune donnée n'est simulée : toutes les sources sont publiques, réelles et sous licence vérifiée.</w:t>
      </w:r>
    </w:p>
    <w:p>
      <w:pPr>
        <w:pStyle w:val="ListBullet"/>
      </w:pPr>
      <w:r>
        <w:t>Les limites du dispositif sont déclarées, notamment sur la granularité disponible pour l'audit de genre et sur la portée d'une estimation fondée sur des caractéristiques agrégées.</w:t>
      </w:r>
    </w:p>
    <w:p>
      <w:pPr>
        <w:pStyle w:val="ListBullet"/>
      </w:pPr>
      <w:r>
        <w:t>Forme : document structuré en chapitres, en français, fichier nommé « KIONGHAT Johann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