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(AIA02)</w:t>
            </w:r>
          </w:p>
        </w:tc>
      </w:tr>
      <w:tr>
        <w:tc>
          <w:tcPr>
            <w:tcW w:type="dxa" w:w="4320"/>
          </w:tcPr>
          <w:p>
            <w:r/>
            <w:r>
              <w:t>Date</w:t>
            </w:r>
          </w:p>
        </w:tc>
        <w:tc>
          <w:tcPr>
            <w:tcW w:type="dxa" w:w="4320"/>
          </w:tcPr>
          <w:p>
            <w:r/>
            <w:r>
              <w:t>Septembre 2026 (version 3, régénérée contre le dépôt le 2026-09-16)</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2 775 d'entre elles, soit 19,7 pour cent sur dénominateur non nul (les formations n'admettant aucun candidat sont exclues du calcul, sans quoi un taux nul mécanique se lirait à tort comme une extrême faible féminisation), comptent moins de 20 pour cent de femmes parmi leurs admis, et 17,9 pour cent en comptent plus de 80 pour cent ; seules 21,5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six exploitables pour le label (2020-2025)</w:t>
            </w:r>
          </w:p>
        </w:tc>
        <w:tc>
          <w:tcPr>
            <w:tcW w:type="dxa" w:w="2160"/>
          </w:tcPr>
          <w:p>
            <w:r/>
            <w:r>
              <w:t>MODÈLE APPRIS (LightGBM, entraîné et tracé dans MLflow), explicabilité SHAP produite (TreeSHAP, précalculée sur les 440 030 cellules) — résultat de performance défavorable en test, détaillé en section 7</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43,9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(2025), 82 Mo mesurés sur les 8 CSV posés sur disque.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43 896 818 établissements et 29 922 486 unités légales ; 6,44 Go compressés (ZIP) et 4,63 Go en Parquet pour les quatre fichiers retenus, stock du 1er août 2026</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IDÉO : 5 869 formations, 1 534 métiers, 24 278 structures (15,9 Mo). RNCP et Répertoire spécifique : 30 484 fiches dont 7 000 actives (export du 29 août 2026, republié chaque jour)</w:t>
            </w:r>
          </w:p>
        </w:tc>
        <w:tc>
          <w:tcPr>
            <w:tcW w:type="dxa" w:w="2160"/>
          </w:tcPr>
          <w:p>
            <w:r/>
            <w:r>
              <w:t>ONISEP et IDÉO : ODbL — partage à l'identique obligatoire sur tout dérivé redistribué. RNCP (France Compétences) : Licence Ouverte v2.0</w:t>
            </w:r>
          </w:p>
        </w:tc>
      </w:tr>
    </w:tbl>
    <w:p>
      <w:r>
        <w:rPr>
          <w:b w:val="0"/>
          <w:i w:val="0"/>
        </w:rPr>
        <w:t>Les données présentent les trois dimensions (3V) de façon non triviale :</w:t>
      </w:r>
    </w:p>
    <w:p>
      <w:pPr>
        <w:pStyle w:val="ListBullet"/>
      </w:pPr>
      <w:r>
        <w:t>Volume : 43,9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plan de gouvernance est écrit et versionné : une politique de classification des données (publiques, internes, personnelles, sensibles) et des règles d'usage associées, dont six sur sept sont aujourd'hui contrôlées automatiquement plutôt que déclarées sur le papier ; une répartition des rôles entre un Data Owner côté direction, des Data Stewards côté équipe data et un DPO garant de la conformité, chacun avec son périmètre de décision ; un registre des traitements couvrant huit traitements identifiés (T1 à T8), avec finalité, base légale, durée et destinataires, et l'état réel de chacun déclaré plutôt que supposé. La documentation des origines, schémas, fraîcheurs et lignages est produite par l'outillage du pipeline lui-même (tests de qualité et graphe de lignage généré par dbt), sans catalogue supplémentaire à exploiter.</w:t>
      </w:r>
    </w:p>
    <w:p>
      <w:r>
        <w:rPr>
          <w:b w:val="0"/>
          <w:i w:val="0"/>
        </w:rPr>
        <w:t>La gestion des risques couvre onze risques identifiés (R1 à R11), répartis sur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onze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 purge exécutable par paliers</w:t>
            </w:r>
          </w:p>
        </w:tc>
      </w:tr>
      <w:tr>
        <w:tc>
          <w:tcPr>
            <w:tcW w:type="dxa" w:w="2880"/>
          </w:tcPr>
          <w:p>
            <w:r/>
            <w:r>
              <w:t>13</w:t>
            </w:r>
          </w:p>
        </w:tc>
        <w:tc>
          <w:tcPr>
            <w:tcW w:type="dxa" w:w="2880"/>
          </w:tcPr>
          <w:p>
            <w:r/>
            <w:r>
              <w:t>Transparence</w:t>
            </w:r>
          </w:p>
        </w:tc>
        <w:tc>
          <w:tcPr>
            <w:tcW w:type="dxa" w:w="2880"/>
          </w:tcPr>
          <w:p>
            <w:r/>
            <w:r>
              <w:t>Notice utilisateur — à écrire ; restitution des facteurs déterminants par SHAP, produite</w:t>
            </w:r>
          </w:p>
        </w:tc>
      </w:tr>
      <w:tr>
        <w:tc>
          <w:tcPr>
            <w:tcW w:type="dxa" w:w="2880"/>
          </w:tcPr>
          <w:p>
            <w:r/>
            <w:r>
              <w:t>14</w:t>
            </w:r>
          </w:p>
        </w:tc>
        <w:tc>
          <w:tcPr>
            <w:tcW w:type="dxa" w:w="2880"/>
          </w:tcPr>
          <w:p>
            <w:r/>
            <w:r>
              <w:t>Contrôle humain</w:t>
            </w:r>
          </w:p>
        </w:tc>
        <w:tc>
          <w:tcPr>
            <w:tcW w:type="dxa" w:w="2880"/>
          </w:tcPr>
          <w:p>
            <w:r/>
            <w:r>
              <w:t>Écran conseiller : revue, contextualisation, possibilité d'écarter, motif obligatoire</w:t>
            </w:r>
          </w:p>
        </w:tc>
      </w:tr>
      <w:tr>
        <w:tc>
          <w:tcPr>
            <w:tcW w:type="dxa" w:w="2880"/>
          </w:tcPr>
          <w:p>
            <w:r/>
            <w:r>
              <w:t>15</w:t>
            </w:r>
          </w:p>
        </w:tc>
        <w:tc>
          <w:tcPr>
            <w:tcW w:type="dxa" w:w="2880"/>
          </w:tcPr>
          <w:p>
            <w:r/>
            <w:r>
              <w:t>Exactitude et robustesse</w:t>
            </w:r>
          </w:p>
        </w:tc>
        <w:tc>
          <w:tcPr>
            <w:tcW w:type="dxa" w:w="2880"/>
          </w:tcPr>
          <w:p>
            <w:r/>
            <w:r>
              <w:t>Protocole d'évaluation temporel, seuils de performance, tests. Résultat mesuré défavorable au modèle appris en test (section 7) — reporté, non atténué</w:t>
            </w:r>
          </w:p>
        </w:tc>
      </w:tr>
    </w:tbl>
    <w:p>
      <w:r>
        <w:rPr>
          <w:b w:val="0"/>
          <w:i w:val="0"/>
        </w:rPr>
        <w:t>L'analyse d'impact (AIPD), obligatoire du fait du profilage systématique de mineurs, refait le test de nécessité une fois les mesures disponibles, et non avant. Ce test échoue sur le terme appris : une règle de dénombrement déjà construite (le taux de la session précédente) fait mieux que le modèle en précision et en calibration sur la session de test la plus récente. L'avis qui en découle est scindé plutôt que global : défavorable à la restitution, à des candidats réels, de l'estimation produite par le modèle appris ; favorable, sous réserves, au reste du dispositif (affinité, débouchés, explications SHAP, écran de supervision, journalisation et purge) ; favorable, sans réserve de fond, à l'exploitation en environnement de démonstration. Le seuil qui lèverait le premier point est écrit avant toute nouvelle mesure : un modèle réentraîné descendant sous 0,0701 de MAE pondérée et 0,0322 d'ECE sur une session de test non consultée pendant le réglage.</w:t>
      </w:r>
    </w:p>
    <w:p>
      <w:r>
        <w:rPr>
          <w:b w:val="0"/>
          <w:i w:val="0"/>
        </w:rPr>
        <w:t>La conformité est maintenue par une procédure d'audit écrite, calée sur le calendrier Parcoursup, avec douze points de contrôle et trois déclencheurs ; une procédure de mise à jour, déjà appliquée à trois reprises, complète le dispositif. Ce qui reste ouvert dans ce bloc n'est pas de la rédaction supplémentaire : une notice d'information lisible par un lecteur mineur, et un identifiant de corrélation pour rendre purgeable le journal de supervision, restent à écrire.</w:t>
      </w:r>
    </w:p>
    <w:p>
      <w:r>
        <w:rPr>
          <w:b w:val="0"/>
          <w:i/>
        </w:rPr>
        <w:t>À livrer à terme : présentation synthétique devant le jury. Le reste des livrables du bloc existe : plan de gouvernance des données, analyse d'impact, Model Card, registre des sources.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 à construire, ce périmètre n'existe pas encore. Le modèle analytique en étoile qui structure les données d'orientation, lui, est construit (E16) : la table de faits porte les cellules d'observation, avec pour dimensions la formation, le candidat, la session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Le service et l'entraînement sont conteneurisés (Docker, construction en deux étapes, exécution non-root, sonde de santé, étiquette d'image portant l'empreinte du commit) et orchestrés localement (Airflow, quatre DAG). Le code d'infrastructure cible existe dans le second dépôt : Terraform pour un cloud souverain européen (Scaleway plutôt qu'un hyperscaler hors Union européenne, arbitrage assumé au regard des données de mineurs — réseau privé, cluster Kubernetes managé, registre d'images, stockage objet, instance Airflow), manifestes Kubernetes complets (déploiement, service, autoscaling horizontal, politique réseau, budget de disruption, compte de service). **Rien de tout cela n'est déployé à ce jour** : aucun compte fournisseur n'est ouvert, aucun `apply` n'a été exécuté, et `terraform validate` lui-même n'a pas pu être lancé faute de binaire installé sur le poste de développement. C'est le point le plus exposé du projet, je le déclare comme tel plutôt que de le présenter comme fait.</w:t>
      </w:r>
    </w:p>
    <w:p>
      <w:r>
        <w:rPr>
          <w:b w:val="0"/>
          <w:i w:val="0"/>
        </w:rPr>
        <w:t>Sécurité, en l'état. Le cloisonnement réseau est réel : réseau privé Terraform, politique réseau Kubernetes à entrée et sortie restreintes, exécution non-root et système de fichiers en lecture seule côté conteneurs, gabarit de secret jamais commité. Le chiffrement, en revanche, n'est implémenté nulle part dans le code d'infrastructure actuel, ni au repos sur le stockage objet ni sur la base ; la gestion des accès par rôles se limite au compte de service de la supervision, sans rôle applicatif distinct — deux manques déclarés, à traiter avant tout déploiement réel. La supervision (Prometheus, Grafana, cinq alertes actionnables dont l'absence d'instrumentation elle-même) est écrite et versionnée dans le second dépôt, mais n'a jamais tourné : aucune capture, faute d'environnement où l'exécuter.</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infrastructure effectivement déployée sur un compte fournisseur, chiffrement et rôles applicatifs, capture de la supervision en fonctionnement, et la vidéo de l'infrastructure en production. Les diagrammes C4 (niveaux 1 et 2, Mermaid) et le code d'infrastructure as code existent d'ores et déjà.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agrégation de la base Sirene par commune et par secteur d'activité, calcul des dynamiques de créations et cessations sur dix ans, puis élargissement au bassin d'emploi. Volumétrie de l'ordre de la dizaine de gigaoctets. Deux moteurs implémentés et testés contre le même résultat : Polars en exécution courante, PySpark branché sur le mode cluster.</w:t>
      </w:r>
    </w:p>
    <w:p>
      <w:r>
        <w:rPr>
          <w:b w:val="0"/>
          <w:i w:val="0"/>
        </w:rPr>
        <w:t>Le nettoyage de la chaîne Sirene mérite une précision, car il conditionne la faisabilité : les 43,9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mesurer avant de choisir le moteur de la chaîne de volume</w:t>
            </w:r>
          </w:p>
          <w:p>
            <w:r>
              <w:t>Quelques dizaines de milliers de formations, soit 82 Mo mesurés sur disque, ne justifient en aucun cas un cluster distribué. La chaîne de décision est donc traitée en mono-nœud avec Polars et dbt : ce point-là ne fait pas débat.</w:t>
            </w:r>
          </w:p>
          <w:p>
            <w:r>
              <w:t>Pour la chaîne de volume, la question a été tranchée par la mesure et non par principe. Sur le fichier Sirene complet (43 896 818 lignes, 54 colonnes, réduites à 9 colonnes utiles), même filtre, même regroupement en 1 929 179 cellules : Polars traite le fichier en 18,2 secondes, PySpark en 87,0 secondes (démarrage de la JVM inclus) — Spark est 4,8 fois plus lent que Polars sur ce volume, pour un résultat rigoureusement identique. La conclusion n'est pas que Spark est inutile, mais qu'il n'apporte rien tant que le calcul tient sur un seul nœud.</w:t>
            </w:r>
          </w:p>
          <w:p>
            <w:r>
              <w:t>Ce qui empêche d'écarter Spark pour autant : l'une des quatre sources Sirene retenues, l'historique des établissements, compte à elle seule 95 865 102 lignes, et le stock est republié chaque mois. Une fusion future de plusieurs de ces fichiers change d'ordre de grandeur. Le job Spark est donc implémenté, testé (même résultat que Polars, vérifié ligne à ligne sur un échantillon commun) et branché sur le mode cluster de la configuration (`execution.moteur_volume`) — prêt à prendre le relais sans réécriture, mais pas employé par défaut faute de bénéfice mesuré aujourd'hui.</w:t>
            </w:r>
          </w:p>
          <w:p>
            <w:r>
              <w:t>Le seuil qui ferait basculer l'exécution courante vers Spark : la fusion de plusieurs des quatre fichiers Sirene retenus, ou tout calcul intermédiaire qui ne tiendrait plus dans la mémoire d'un poste de développement. Tant que ce seuil n'est pas franchi, Polars reste le chemin de production réel, et le choix contraire — imposer Spark par principe — serait pénalisable au titre des critères d'arbitrage, de FinOps et de GreenOps.</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Son taux de couverture, jusqu'à la NAF, est mesuré : 61,4 % des formations du référentiel ONISEP portant un code RNCP renseigné sont rattachées à une division NAF. **Mais aucun des huit millésimes Parcoursup ne porte de code RNCP, NSF ou ROME** : la chaîne relie le référentiel ONISEP à la NAF, pas les formations Parcoursup elles-mêmes. Le seul rapprochement mesuré entre les deux est un appariement textuel des libellés de formation, et il ne couvre que **7 libellés distincts sur 712, soit 6 017 lignes sur 440 030 (1,4 %)** — les sept correspondances ont été relues à la main, ce sont des diplômes d'État très normés dont l'intitulé varie peu d'une source à l'autre. Pour les 98,6 % de lignes restantes, le terme de débouchés du score de matching (section 7) est marqué explicitement indisponible, jamais mis à zéro en silence.</w:t>
      </w:r>
    </w:p>
    <w:p>
      <w:r>
        <w:rPr>
          <w:b/>
          <w:i w:val="0"/>
        </w:rPr>
        <w:t>Automatisation, qualité et supervision.</w:t>
      </w:r>
    </w:p>
    <w:p>
      <w:r>
        <w:rPr>
          <w:b w:val="0"/>
          <w:i w:val="0"/>
        </w:rPr>
        <w:t>Les contrôles qualité (E14) portent sur le schéma, la complétude et la cohérence, au moyen de contrôles versionnés (schémas Pandera pour Parcoursup, compteurs écrits à la main pour Sirene et les référentiels, retenus après mesure du coût de Great Expectations sur ce volume — inutile ici) : un taux hors de l'intervalle admissible, un effectif incohérent ou un millésime manquant bloquent la mise à jour, vérifié par une exécution réelle qui sort en échec sur les données du dépôt et par un scénario de panne rejouable par une commande. Ce blocage n'est pas une précaution facultative : sans lui, une donnée corrompue se propage jusqu'au modèle sans que personne ne le constate. La conformité RGPD est assurée par la minimisation et la traçabilité, la couche de volume ne contenant par construction aucune donnée à caractère personnel.</w:t>
      </w:r>
    </w:p>
    <w:p>
      <w:r>
        <w:rPr>
          <w:b w:val="0"/>
          <w:i w:val="0"/>
        </w:rPr>
        <w:t>Apache Airflow orchestre la chaîne : quatre DAG, un par cadence réelle de source (annuelle pour Parcoursup, mensuelle pour Sirene, quotidienne pour les référentiels, et un DAG de purge), couvrant ingestion, qualité, silver, gold, variables, agrégats et réconciliation des nomenclatures, treize tâches distinctes au total (`src/edumatch/orchestration/taches.py`). La reprise sur erreur est décidée en code, pas confiée au retry natif d'Airflow (désactivé) : un vocabulaire d'erreur transitoire contre définitive, une temporisation croissante, deux scénarios de panne rejouables. **Le réentraînement et l'évaluation du modèle sont désormais dans le graphe** : le DAG annuel `edumatch_parcoursup` compte huit tâches et se termine par `reentrainer_modele` puis `evaluer_modele`, déclenchées après la détection de dérive et derrière le même contrôle qualité bloquant que le reste de la chaîne. Une porte de promotion (`src/edumatch/orchestration/promotion.py`) refuse de publier un modèle réentraîné qui ne bat pas strictement le plancher E21 en test : à ce jour, elle refuse, pour la même raison que la section suivante détaille. La supervision (volumétrie traitée, taux d'échec, durée d'exécution) reste à ajouter au pipeline lui-même ; les alertes aujourd'hui écrites portent sur le service d'inférence, pas sur le pipeline.</w:t>
      </w:r>
    </w:p>
    <w:p>
      <w:r>
        <w:rPr>
          <w:b w:val="0"/>
          <w:i/>
        </w:rPr>
        <w:t>À livrer à terme : capture vidéo du pipeline en production, avec panne et reprise. Le diagramme du pipeline et le code sont déjà sur le dépôt.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 bruts ; six exploitables pour l'entraînement (2020-2025), le numérateur du label n'étant pas publié en 2018-2019</w:t>
            </w:r>
          </w:p>
        </w:tc>
        <w:tc>
          <w:tcPr>
            <w:tcW w:type="dxa" w:w="2160"/>
          </w:tcPr>
          <w:p>
            <w:r/>
            <w:r>
              <w:t>MODÈLE APPRIS (LightGBM, entraîné et tracé dans MLflow). C'est le composant d'intelligence artificielle du système ; l'explicabilité SHAP est produite (TreeSHAP), mais le modèle ne bat pas son plancher en test (détail plus bas).</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module écrit et testé (`matching/score.py`, `affinite.py`, `debouches.py`, E28) : un terme nul supprime la recommandation, propriété vérifiée séparément pour les trois termes. Si l'affinité est nulle, la formation ne correspond pas ; si l'accessibilité est nulle, elle est hors de portée ; si les débouchés sont nuls ou indisponibles, elle ne mène nulle part démontrable. Une somme pondérée ne le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**Sa couverture réelle est faible et mesurée** : seules 6 017 lignes sur 440 030 (1,4 %) disposent d'un appariement vérifié entre une formation Parcoursup et une activité économique, faute de code RNCP, NSF ou ROME porté par le fichier Parcoursup lui-même (détail en section 6). Pour les autres lignes, le terme est marqué explicitement indisponible plutôt que mis à zéro en silence. Les variables issues de Sirene n'ont, pour la même raison, jamais pu entrer dans la table de variables du modèle d'accessibilité : l'hypothèse d'un effet de la densité d'employeurs sur la sélectivité reste non testée, faute de rattachement, et non infirmée par une mesure. Voir l'étude d'ablation en fin de section.</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entraînement tracé dans MLflow (paramètres, métriques, artefact du modèle). Le gradient boosting est retenu plutôt qu'un réseau de neurones : les variables sont tabulaires, le coût d'inférence doit rester faible, et l'explicabilité par valeurs de Shapley y est exacte et directement applicable. Il est couplé à SHAP (`models/explain.py`), qui fournit pour chaque recommandation les facteurs déterminants, exigence directe de l'AI Act et du droit à explication du RGPD : l'axiome d'efficacité de SHAP est vérifié à 2,1 × 10⁻¹⁵ près sur le modèle réel et par un test indépendant sur un modèle jouet, le précalcul complet est mesuré (440 030 cellules, 8,3 minutes, 99,8 Mo), et la route `/explain` de l'API le sert.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brique secondaire, est construit et réécrit pour ce projet plutôt que repris du MVP décrit en section 2 (`src/edumatch/rag/`) : il restitue en langue naturelle, avec citation des sources officielles, les éléments qui fondent une recommandation, sans faire l'objet du dispositif de réentraînement et de détection de dérive du modèle d'accessibilité. Le corpus (7 403 documents issus des référentiels ONISEP) est indexé par recherche lexicale (TF-IDF) plutôt que par embeddings et base vectorielle, écartés faute de volume qui en justifierait le coût ; la citation est garantie par construction, puisque la liste des sources est bâtie à partir des documents retrouvés avant l'appel au modèle de langage, jamais depuis ce que ce dernier prétend avoir consulté. Les briques du MVP (CamemBERT, FAISS, LangChain, Mistral-small) n'ont donc pas été reprises : la sobriété technique est ici la réponse d'architecte à un composant hors du périmètre certifiant principal.</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pour la session 2025 ; 440 030 observations sur les six sessions où le label est calculable (2020-2025)</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2020-2023 (286 463 cellules), validation 2024 (76 408), test 2025 (77 159). Bornée aux six sessions où le label existe réellement (le numérateur ventilé par type de baccalauréat n'est pas publié en 2018-2019) : y inclure ces deux millésimes aurait placé une cible absente dans l'entraînement. Une séparation aléatoire, elle,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i w:val="0"/>
        </w:rPr>
        <w:t>Résultat, rapporté tel quel : le modèle appris ne bat pas son plancher en test.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Métrique</w:t>
            </w:r>
          </w:p>
        </w:tc>
        <w:tc>
          <w:tcPr>
            <w:tcW w:type="dxa" w:w="2160"/>
          </w:tcPr>
          <w:p>
            <w:r/>
            <w:r>
              <w:rPr>
                <w:b/>
              </w:rPr>
              <w:t>Modèle (test 2025)</w:t>
            </w:r>
          </w:p>
        </w:tc>
        <w:tc>
          <w:tcPr>
            <w:tcW w:type="dxa" w:w="2160"/>
          </w:tcPr>
          <w:p>
            <w:r/>
            <w:r>
              <w:rPr>
                <w:b/>
              </w:rPr>
              <w:t>Plancher — taux de la session précédente (test 2025)</w:t>
            </w:r>
          </w:p>
        </w:tc>
        <w:tc>
          <w:tcPr>
            <w:tcW w:type="dxa" w:w="2160"/>
          </w:tcPr>
          <w:p>
            <w:r/>
            <w:r>
              <w:rPr>
                <w:b/>
              </w:rPr>
              <w:t>Verdict</w:t>
            </w:r>
          </w:p>
        </w:tc>
      </w:tr>
      <w:tr>
        <w:tc>
          <w:tcPr>
            <w:tcW w:type="dxa" w:w="2160"/>
          </w:tcPr>
          <w:p>
            <w:r/>
            <w:r>
              <w:t>MAE pondérée par l'effectif</w:t>
            </w:r>
          </w:p>
        </w:tc>
        <w:tc>
          <w:tcPr>
            <w:tcW w:type="dxa" w:w="2160"/>
          </w:tcPr>
          <w:p>
            <w:r/>
            <w:r>
              <w:t>0,0758</w:t>
            </w:r>
          </w:p>
        </w:tc>
        <w:tc>
          <w:tcPr>
            <w:tcW w:type="dxa" w:w="2160"/>
          </w:tcPr>
          <w:p>
            <w:r/>
            <w:r>
              <w:t>0,0701</w:t>
            </w:r>
          </w:p>
        </w:tc>
        <w:tc>
          <w:tcPr>
            <w:tcW w:type="dxa" w:w="2160"/>
          </w:tcPr>
          <w:p>
            <w:r/>
            <w:r>
              <w:t>le modèle perd</w:t>
            </w:r>
          </w:p>
        </w:tc>
      </w:tr>
      <w:tr>
        <w:tc>
          <w:tcPr>
            <w:tcW w:type="dxa" w:w="2160"/>
          </w:tcPr>
          <w:p>
            <w:r/>
            <w:r>
              <w:t>Erreur de calibration attendue (ECE, 10 tranches)</w:t>
            </w:r>
          </w:p>
        </w:tc>
        <w:tc>
          <w:tcPr>
            <w:tcW w:type="dxa" w:w="2160"/>
          </w:tcPr>
          <w:p>
            <w:r/>
            <w:r>
              <w:t>0,0371</w:t>
            </w:r>
          </w:p>
        </w:tc>
        <w:tc>
          <w:tcPr>
            <w:tcW w:type="dxa" w:w="2160"/>
          </w:tcPr>
          <w:p>
            <w:r/>
            <w:r>
              <w:t>0,0322</w:t>
            </w:r>
          </w:p>
        </w:tc>
        <w:tc>
          <w:tcPr>
            <w:tcW w:type="dxa" w:w="2160"/>
          </w:tcPr>
          <w:p>
            <w:r/>
            <w:r>
              <w:t>le modèle perd</w:t>
            </w:r>
          </w:p>
        </w:tc>
      </w:tr>
    </w:tbl>
    <w:p>
      <w:r>
        <w:rPr>
          <w:b w:val="0"/>
          <w:i w:val="0"/>
        </w:rPr>
        <w:t>En validation 2024, le modèle passait devant (0,0690 contre 0,0727 de MAE pondérée, 0,0030 contre 0,0141 d'ECE) ; en test 2025 il repasse derrière sur les deux métriques à la fois. La courbe d'apprentissage (10, 25, 50 et 100 % du volume d'entraînement : 0,0758, 0,0723, 0,0705, 0,0698 de MAE pondérée en validation) établit que ce n'est pas un manque de données — le gain marginal se divise par deux à chaque doublement du volume — mais une dérive temporelle entre les sessions d'entraînement (2020-2023) et la session de test (2025). Le protocole d'évaluation n'a pas été retouché après ce résultat pour le faire passer : le seuil que le modèle devait battre (0,0701 de MAE pondérée, à couverture égale) a été écrit avant l'entraînement, dans le document d'évaluation, et le résultat est rapporté tel qu'il est sorti. C'est ce résultat qui fonde l'avis du délégué à la protection des données, défavorable à la restitution de cette estimation à des candidats réels tant qu'il n'est pas corrigé (section 4).</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écrite dans l'écran de supervision et servie par l'API (`src/edumatch/api/`, dix-neuf modules, huit fichiers de tests) ; elle porte en outre la mise en garde issue du résultat ci-dessus, attachée à chaque score produit plutôt que documentée à part.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conduit sur les prédictions réelles du modèle entraîné (`models/fairness.py`, E26), sur quatre dimensions : type de baccalauréat, statut de boursier, genre et territoire. La définition d'équité privilégiée — la calibration par groupe, un taux prédit de 60 % doit correspondre à un taux observé de 60 % dans chaque groupe — est déclarée avant la mesure, parce qu'elle est incompatible avec la parité démographique et les cotes égalisées dès que les taux de base diffèrent entre groupes : c'est un théorème d'impossibilité, pas un arbitrage de goût.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Indicateur</w:t>
            </w:r>
          </w:p>
        </w:tc>
        <w:tc>
          <w:tcPr>
            <w:tcW w:type="dxa" w:w="2880"/>
          </w:tcPr>
          <w:p>
            <w:r/>
            <w:r>
              <w:rPr>
                <w:b/>
              </w:rPr>
              <w:t>Formations à plus de 80 % de candidates femmes</w:t>
            </w:r>
          </w:p>
        </w:tc>
        <w:tc>
          <w:tcPr>
            <w:tcW w:type="dxa" w:w="2880"/>
          </w:tcPr>
          <w:p>
            <w:r/>
            <w:r>
              <w:rPr>
                <w:b/>
              </w:rPr>
              <w:t>Autres formations</w:t>
            </w:r>
          </w:p>
        </w:tc>
      </w:tr>
      <w:tr>
        <w:tc>
          <w:tcPr>
            <w:tcW w:type="dxa" w:w="2880"/>
          </w:tcPr>
          <w:p>
            <w:r/>
            <w:r>
              <w:t>Ratio d'impact disparate (modèle)</w:t>
            </w:r>
          </w:p>
        </w:tc>
        <w:tc>
          <w:tcPr>
            <w:tcW w:type="dxa" w:w="2880"/>
          </w:tcPr>
          <w:p>
            <w:r/>
            <w:r>
              <w:t>0,76 — sous le seuil des quatre cinquièmes (0,80)</w:t>
            </w:r>
          </w:p>
        </w:tc>
        <w:tc>
          <w:tcPr>
            <w:tcW w:type="dxa" w:w="2880"/>
          </w:tcPr>
          <w:p>
            <w:r/>
            <w:r>
              <w:t>—</w:t>
            </w:r>
          </w:p>
        </w:tc>
      </w:tr>
      <w:tr>
        <w:tc>
          <w:tcPr>
            <w:tcW w:type="dxa" w:w="2880"/>
          </w:tcPr>
          <w:p>
            <w:r/>
            <w:r>
              <w:t>Ratio d'impact disparate (plancher)</w:t>
            </w:r>
          </w:p>
        </w:tc>
        <w:tc>
          <w:tcPr>
            <w:tcW w:type="dxa" w:w="2880"/>
          </w:tcPr>
          <w:p>
            <w:r/>
            <w:r>
              <w:t>0,63</w:t>
            </w:r>
          </w:p>
        </w:tc>
        <w:tc>
          <w:tcPr>
            <w:tcW w:type="dxa" w:w="2880"/>
          </w:tcPr>
          <w:p>
            <w:r/>
            <w:r>
              <w:t>—</w:t>
            </w:r>
          </w:p>
        </w:tc>
      </w:tr>
      <w:tr>
        <w:tc>
          <w:tcPr>
            <w:tcW w:type="dxa" w:w="2880"/>
          </w:tcPr>
          <w:p>
            <w:r/>
            <w:r>
              <w:t>Erreur de calibration attendue (ECE)</w:t>
            </w:r>
          </w:p>
        </w:tc>
        <w:tc>
          <w:tcPr>
            <w:tcW w:type="dxa" w:w="2880"/>
          </w:tcPr>
          <w:p>
            <w:r/>
            <w:r>
              <w:t>0,066</w:t>
            </w:r>
          </w:p>
        </w:tc>
        <w:tc>
          <w:tcPr>
            <w:tcW w:type="dxa" w:w="2880"/>
          </w:tcPr>
          <w:p>
            <w:r/>
            <w:r>
              <w:t>0,032 à 0,034</w:t>
            </w:r>
          </w:p>
        </w:tc>
      </w:tr>
    </w:tbl>
    <w:p>
      <w:r>
        <w:rPr>
          <w:b w:val="0"/>
          <w:i w:val="0"/>
        </w:rPr>
        <w:t>**Le système n'est pas équitable sur cette dimension**, et ce résultat n'est pas atténué : il fait mieux que le plancher sur la sélection (0,76 contre 0,63) mais moins bien sur la calibration, où il sur-annonce les chances d'admission sur les formations très féminisées avec une erreur presque deux fois supérieure à celle mesurée ailleurs. Le travail exploratoire en amont (section 1.1) avait déjà mesuré que l'établissement d'origine (28,9 % net d'information mutuelle, corrigée de la cardinalité) et la filière (19,5 % net) sont les substituts du genre les plus puissants parmi les variables candidates : l'établissement est exclu du modèle pour cette raison et pour sa cardinalité, la filière est conservée car sa suppression détruirait la capacité du modèle à distinguer les formations entre elles. L'audit confirme que l'exclusion de variables à l'entrée ne suffit pas : le dispositif d'équité du projet repose sur trois niveaux — exclusion du genre à l'entrée, mesure des substituts, audit a posteriori sur les prédictions — et non sur le seul retrait de colonnes. La dimension territoriale reste, à ce stade, non pénalisante dans les mesures conduites ; elle répond à la deuxième cause structurelle identifiée en section 1.2.</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Une étude d'ablation à sept variantes (`models/ablation.py`, E27) mesure ce que chaque bloc de variables apporte réellement, sur la validation 2024.</w:t>
            </w:r>
          </w:p>
          <w:p>
            <w:r>
              <w:t>Le résultat dominant : retirer les 35 variables décalées (dont le taux de la session précédente) fait passer la MAE pondérée de validation de 0,0698 à 0,1120 (+0,0422) — l'essentiel de la performance du modèle vient de connaître ce taux, les 45 autres variables affinent la prédiction sans la porter. Retirer les quatre substituts du genre encore présents (filière, sélectivité, département, académie) ne coûte que +0,0006 et ne répare pas l'équité : le ratio d'impact disparate du groupe le plus féminisé se dégrade légèrement (0,66 à 0,62) plutôt que de s'améliorer, ce qui confirme que l'information reconstituant le genre est diffuse dans les variables décalées, pas concentrée dans ces quatre colonnes.</w:t>
            </w:r>
          </w:p>
          <w:p>
            <w:r>
              <w:t>**L'apport de Sirene, en revanche, n'a pas pu être mesuré.** La chaîne de nomenclatures (section 6) ne relie aucune formation Parcoursup à une activité NAF par une clé fiable : Sirene n'est donc jamais entré dans la table de variables du modèle d'accessibilité, et il n'existe rien à retirer d'un modèle où cette source n'est pas entrée. Ce n'est pas un résultat d'apport nul — celui-là a été mesuré, pour les mentions et pour l'établissement d'origine, et rapporté comme tel — c'est une limite du dispositif, déclarée plutôt que déguisée en mesure. Le critère d'apport mesuré est donc rempli pour toutes les sources sauf Sirene, conditionné au rattachement effectif de la chaîne de nomenclatures.</w:t>
            </w:r>
          </w:p>
        </w:tc>
      </w:tr>
    </w:tbl>
    <w:p/>
    <w:p>
      <w:r>
        <w:rPr>
          <w:b w:val="0"/>
          <w:i w:val="0"/>
        </w:rPr>
        <w:t>Intégration. Le modèle est exposé par une API FastAPI conteneurisée (`src/edumatch/api/`, dix-neuf modules, huit fichiers de tests dont un consacré à la sécurité) : gestion des erreurs dédiée, authentification, limitation de débit, en-têtes de sécurité.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 — écartement bloqué côté client et côté serveur, vérifié par test. L'accessibilité RGAA de cet écran est couverte par des tests unitaires (structure sémantique, contraste calculé par la formule WCAG, focus jamais supprimé) et par une procédure d'audit navigateur écrite ; **cette procédure n'a pas encore été déroulée**, aucun rapport d'audit n'existe à ce jour.</w:t>
      </w:r>
    </w:p>
    <w:p>
      <w:r>
        <w:rPr>
          <w:b w:val="0"/>
          <w:i w:val="0"/>
        </w:rPr>
        <w:t>CI/CD. Trois workflows GitHub Actions sont écrits dans le second dépôt (`edumatch-cicd`) : intégration (lint et tests), construction et publication d'images étiquetées par l'empreinte du commit, déploiement délibéré et non automatique. **Aucun de ces workflows n'a encore été exécuté** : une première exécution reste à déclencher pour révéler ce qu'un YAML non testé cache toujours. Le suivi d'expériences avec MLflow est en service (cinq exécutions tracées, paramètres et métriques), et le registre de modèles porte désormais une version : `edumatch-accessibilite` v1, enregistrée par `src/edumatch/models/registre.py` (`make register-model`) depuis l'exécution `678b04627c4945a69c4856c325d7493b` (commit `5162c9e`). **Cette version ne porte aucun stade ni alias** : l'étiquette `statut_evaluation` posée sur la version déclare en clair qu'elle ne bat pas le plancher en test, conformément aux mêmes chiffres que la section précédente. Deux dépôts de code distincts existent, sans recouvrement : la solution IA (ce dépôt) et l'intégration-déploiement (36 fichiers : workflows, Terraform, manifestes Kubernetes, monitoring).</w:t>
      </w:r>
    </w:p>
    <w:p>
      <w:r>
        <w:rPr>
          <w:b w:val="0"/>
          <w:i w:val="0"/>
        </w:rPr>
        <w:t>Dérive, mesurée sur des données réelles (E34) : l'indice de stabilité de population (PSI) et le test de Kolmogorov-Smirnov sont calculés directement sur les six sessions où le label existe (2020-2025), pour trois familles distinctes — variables, cible, prédictions du modèle. Evidently a été écarté : sa dernière version compatible avec le reste du projet entraîne un conflit de dépendance transitive avec le paquet dont FastAPI dépend déjà, reproduit et non contourné (ADR 0018). Le seuil de 0,20 s'applique à la médiane du PSI des variables plutôt qu'à leur maximum, pour ne pas déclencher en permanence sur deux colonnes de nomenclature instable sans rapport avec la performance du modèle. Ce que cette mesure ne permet pas de conclure est écrit dans la décision, et c'est l'un des quatre résultats défavorables du projet à retenir : **le PSI à ce seuil n'aurait pas signalé la dégradation pourtant observée entre validation et test.** Il s'agit d'une dérive du concept — la relation entre les variables et la cible change alors que la distribution des entrées bouge à peine — à laquelle un indice de stabilité de population, qui ne compare que des distributions marginales, est aveugle par construction. Réentraînement, à construire : la détection journalise un avertissement mais ne déclenche encore rien, l'automatisation reste à coupler à l'orchestrateur. Le monitoring en production (Prometheus, Grafana, SLO déclaré sur la latence p95 et la disponibilité) est écrit et versionné dans le second dépôt, mais rien n'en a jamais tourné en production.</w:t>
      </w:r>
    </w:p>
    <w:p>
      <w:r>
        <w:rPr>
          <w:b w:val="0"/>
          <w:i/>
        </w:rPr>
        <w:t>À livrer à terme : rapport d'audit RGAA exécuté, première exécution de la chaîne d'intégration capturée, un réentraînement qui bat effectivement le plancher pour que la porte de promotion publie une version, et capture vidéo de la solution en production. Présentation de la solution, dépôt n°1 (développement de la solution IA) et dépôt n°2 (intégration et déploiement continus) existent déjà, avec du code réel et distinct.</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en montrant que chaque source répond à une question précise et qu'un seul composant est appris. Chaque choix est défendu par « X plutôt que Y parce que… ». Quatre résultats défavorables, mesurés et non atténués, structurent une part importante de cette défense : le modèle appris ne bat pas le taux de la session précédente en test (MAE pondérée 0,0758 contre 0,0701, ECE 0,0371 contre 0,0322), le ratio d'impact disparate sur les formations très féminisées est à 0,76, sous le seuil légal de 0,80, la couverture du terme de débouchés n'atteint que 1,4 % des lignes, et l'avis du délégué à la protection des données est scindé, défavorable à la restitution du terme appris à des candidats réels tant qu'il n'aura pas été corrigé. Chacun de ces résultats est mesuré, documenté et assumé plutôt que dissimulé, ce qui est présenté comme une garantie de rigueur plutôt que comme une faiblesse à minimiser.</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écrit, dérive mesurée, deux dépôts de code réel et distinct.</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quatre résultats défavorables du projet sont présents dans le corps du dossier, avec leurs chiffres et leur diagnostic, et non tus ou relégués en annexe : performance du modèle sous son plancher en test, ratio d'impact disparate sous le seuil légal, couverture du terme de débouchés à 1,4 %, avis scindé et défavorable du délégué à la protection des données sur le terme appris.</w:t>
      </w:r>
    </w:p>
    <w:p>
      <w:pPr>
        <w:pStyle w:val="ListBullet"/>
      </w:pPr>
      <w:r>
        <w:t>Ce qui n'existe pas encore est écrit au futur, sans ambiguïté : déploiement cloud réel, exécution de la chaîne d'intégration, panne filmée, trois vidéos de production.</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