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(AIA01)</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2 954 d'entre elles, soit 20,7 pour cent, comptent moins de 20 pour cent de femmes parmi leurs admis, et 2 517 en comptent plus de 80 pour cent ; seules 21,3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30 484 fiches dont 7 000 actives (export du 29 août 2026, republié chaque jour)</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et un modèle analytique en étoile structurera les données d'orientation : la table de faits porte les cellules d'observation, avec pour dimensions la formation, le candidat, le métier, le temps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Sécurisation par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traitée en distribué avec PySpark : agrégation de la base Sirene par commune et par secteur d'activité, calcul des dynamiques de créations et cessations sur dix ans, puis élargissement au bassin d'emploi. Volumétrie de l'ordre de la dizaine de gigaoctets.</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traitement distribué sur la couche de volume seulement</w:t>
            </w:r>
          </w:p>
          <w:p>
            <w:r>
              <w:t>Quelques dizaines de milliers de formations, soit 82 Mo mesurés sur disque, ne justifient en aucun cas un cluster distribué. Employer Spark sur cette chaîne serait un surdimensionnement, pénalisable au titre des critères d'arbitrage, de FinOps et de GreenOps. La chaîne de décision est donc traitée en mono-nœud avec Polars et dbt.</w:t>
            </w:r>
          </w:p>
          <w:p>
            <w:r>
              <w:t>Le calcul distribué est justifié par la chaîne de volume. La base Sirene compte 43 896 818 établissements (métadonnée Parquet mesurée le 1er août 2026), soit 25 à 30 Go décompressés. Cette volumétrie est réelle, publique et vérifiée par téléchargement : elle n'est pas déclarée.</w:t>
            </w:r>
          </w:p>
          <w:p>
            <w:r>
              <w:t>Ce n'est d'ailleurs pas la taille du stockage qui impose le traitement distribué, mais la nature du calcul : il faut joindre 43,9 millions d'établissements aux formations par nomenclature d'activité et par territoire, puis agréger par secteur, par bassin et par année sur dix ans d'historique. Le volume intermédiaire de jointure excède largement celui des sources. Le format Parquet, en colonnes, est lu nativement par Spark.</w:t>
            </w:r>
          </w:p>
          <w:p>
            <w:r>
              <w:t>La règle est symétrique : tout traitement dont la volumétrie reste inférieure à quelques dizaines de gigaoctets est exécuté en mono-nœud. Le passage au distribué est conditionné à un seuil, non appliqué par principe.</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L'orchestration est assurée par Apache Airflow : planification, reprise sur erreur avec temporisation croissante, lignage. La chaîne s'exécute sans intervention manuelle, de la collecte jusqu'à l'évaluation du modèle. Les contrôles qualité portent sur le schéma, la complétude et la cohérence, au moyen de suites de tests versionnées (Great Expectations) : un taux hors de l'intervalle admissible, un effectif incohérent ou un millésime manquant bloquent la mise à jour. Ce blocage n'est pas une précaution facultative : sans lui, une donnée corrompue se propage jusqu'au modèle sans que personne ne le constate. La supervision suit la volumétrie traitée, le taux d'échec et la durée d'exécution, avec alertes proactives. La conformité RGPD est assurée par la minimisation et la traçabilité, la couche de volume ne contenant par construction aucune donnée à caractère personnel.</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 C'est le composant d'intelligence artificielle du système.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Si l'affinité est nulle, la formation ne correspond pas ; si l'accessibilité est nulle, elle est hors de portée ; si les débouchés sont nuls, elle ne mène nulle part. Dans les trois cas la recommandation doit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alimentent en outre le modèle d'accessibilité, par un mécanisme explicite : la densité d'employeurs d'un secteur détermine la demande locale de formation, donc la tension entre vœux et capacité, donc la sélectivité. Cette hypothèse est testée, non postulée : voir l'étude d'ablation ci-dessous.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Le gradient boosting est retenu plutôt qu'un réseau de neurones : les variables sont tabulaires, le coût d'inférence doit rester faible, et l'explicabilité par valeurs de Shapley y est exacte et directement applicable. Il est couplé à SHAP, qui fournit pour chaque recommandation les facteurs déterminants, exigence directe de l'AI Act et du droit à explication du RGPD.</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(embeddings CamemBERT, recherche vectorielle FAISS, orchestration LangChain et génération Mistral-small) est conservé comme brique secondaire. Son rôle est de restituer en langue naturelle, avec citation des sources officielles, les éléments qui fondent une recommandation. Il est intégré et supervisé, mais il n'est pas l'objet du dispositif de réentraînement et de détection de dérive. Mistral et CamemBERT, souverains et francophones, sont conservés plutôt que des modèles hors Union européenne, par conformité ; LangChain et FastAPI sont conservés parce qu'ils sont déjà éprouvés : savoir ne pas migrer une brique qui fonctionne est aussi un arbitrage d'architecte.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pour la session 2025 ; 440 030 observations sur les six sessions où le label est calculable (2020-2025)</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2018-2023, validation 2024, test 2025.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mesurée par l'erreur absolue moyenne pondérée par l'effectif, et surtout par la qualité de calibration : puisque le système annonce une probabilité d'admission à un candidat, un score bien ordonné mais mal calibré serait nuisible. Une courbe d'apprentissage est produite en entraînant sur des fractions croissantes des observations, afin d'établir si le volume disponible est suffisant plutôt que de l'affirmer.</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Les écarts de parité, l'égalité des chances et le ratio d'impact disparate sont évalués sur quatre dimensions : type de baccalauréat, statut de boursier, genre et territoire. La dimension territoriale n'est rendue mesurable que par la base Sirene, qui permet de vérifier qu'un candidat issu d'un bassin à faible densité d'employeurs n'est pas pénalisé. Elle répond à la deuxième cause structurelle identifiée en section 1.2, les déterminismes sociaux et territoriaux, qui restait sans dispositif de mesure.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Pour l'éviter, l'apport des variables issues de Sirene est établi par une étude d'ablation.</w:t>
            </w:r>
          </w:p>
          <w:p>
            <w:r>
              <w:t>Deux modèles sont entraînés dans les mêmes conditions : le premier sur les seules variables issues des données d'admission, le second en y ajoutant les variables de tissu économique. L'écart de performance est mesuré sur le jeu de test temporel, et l'analyse SHAP indique si ces variables figurent effectivement parmi les contributeurs principaux.</w:t>
            </w:r>
          </w:p>
          <w:p>
            <w:r>
              <w:t>Si l'apport prédictif s'avère nul, il est rapporté comme tel : les variables sont retirées du modèle d'accessibilité, et Sirene ne subsiste que dans le terme de débouchés, qui repose sur des agrégats et non sur de l'apprentissage. Dans les deux cas la source reste justifiée, mais la justification est celle que la mesure établit.</w:t>
            </w:r>
          </w:p>
        </w:tc>
      </w:tr>
    </w:tbl>
    <w:p/>
    <w:p>
      <w:r>
        <w:rPr>
          <w:b w:val="0"/>
          <w:i w:val="0"/>
        </w:rPr>
        <w:t>Intégration : le modèle est exposé par une API FastAPI conteneurisée, avec gestion des erreurs et sécurisation.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w:t>
      </w:r>
    </w:p>
    <w:p>
      <w:r>
        <w:rPr>
          <w:b w:val="0"/>
          <w:i w:val="0"/>
        </w:rPr>
        <w:t>CI/CD : un pipeline GitHub Actions automatise les tests, la construction d'images, le suivi des expériences avec MLflow et le déploiement versionné. Deux dépôts distincts sont prévus, l'un pour la solution IA, l'autre pour la chaîne d'intégration et de déploiement.</w:t>
      </w:r>
    </w:p>
    <w:p>
      <w:r>
        <w:rPr>
          <w:b w:val="0"/>
          <w:i w:val="0"/>
        </w:rPr>
        <w:t>Réentraînement et dérive : la dérive est ici mesurable sur des données réelles, les huit millésimes publiés portant des évolutions authentiques : réforme du baccalauréat, variation des capacités d'accueil, effet de la campagne 2020. Evidently compare la distribution courante à la référence d'entraînement et déclenche, au-delà d'un seuil documenté, un réentraînement reproductible. Le monitoring en production couvre la performance du modèle, la latence de l'API et la disponibilité, avec alertes sur seuils.</w:t>
      </w:r>
    </w:p>
    <w:p>
      <w:r>
        <w:rPr>
          <w:b w:val="0"/>
          <w:i w:val="0"/>
        </w:rPr>
        <w:t>Conformité et accessibilité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