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PROJET DE CERTIFICATION</w:t>
      </w:r>
    </w:p>
    <w:p>
      <w:pPr>
        <w:jc w:val="center"/>
      </w:pPr>
      <w:r>
        <w:rPr>
          <w:b w:val="0"/>
          <w:i w:val="0"/>
        </w:rPr>
        <w:t>Architecte en Intelligence Artificielle (RNCP38777, Niveau 7)</w:t>
      </w:r>
    </w:p>
    <w:p>
      <w:pPr>
        <w:jc w:val="center"/>
      </w:pPr>
      <w:r>
        <w:rPr>
          <w:b/>
          <w:i w:val="0"/>
          <w:sz w:val="44"/>
        </w:rPr>
        <w:t>EduMatch</w:t>
      </w:r>
    </w:p>
    <w:p>
      <w:pPr>
        <w:jc w:val="center"/>
      </w:pPr>
      <w:r>
        <w:rPr>
          <w:b w:val="0"/>
          <w:i/>
        </w:rPr>
        <w:t>Moteur de matching explicable entre candidats et formations : chances d'admission et débouchés territoriaux</w:t>
      </w:r>
    </w:p>
    <w:p/>
    <w:tbl>
      <w:tblPr>
        <w:tblStyle w:val="TableGrid"/>
        <w:tblW w:type="auto" w:w="0"/>
        <w:jc w:val="center"/>
        <w:tblLook w:firstColumn="1" w:firstRow="1" w:lastColumn="0" w:lastRow="0" w:noHBand="0" w:noVBand="1" w:val="04A0"/>
      </w:tblPr>
      <w:tblGrid>
        <w:gridCol w:w="4320"/>
        <w:gridCol w:w="4320"/>
      </w:tblGrid>
      <w:tr>
        <w:tc>
          <w:tcPr>
            <w:tcW w:type="dxa" w:w="4320"/>
          </w:tcPr>
          <w:p>
            <w:r/>
            <w:r>
              <w:t>Nom et prénom</w:t>
            </w:r>
          </w:p>
        </w:tc>
        <w:tc>
          <w:tcPr>
            <w:tcW w:type="dxa" w:w="4320"/>
          </w:tcPr>
          <w:p>
            <w:r/>
            <w:r>
              <w:t>KIONGHAT Johann Guewol</w:t>
            </w:r>
          </w:p>
        </w:tc>
      </w:tr>
      <w:tr>
        <w:tc>
          <w:tcPr>
            <w:tcW w:type="dxa" w:w="4320"/>
          </w:tcPr>
          <w:p>
            <w:r/>
            <w:r>
              <w:t>Titre du projet</w:t>
            </w:r>
          </w:p>
        </w:tc>
        <w:tc>
          <w:tcPr>
            <w:tcW w:type="dxa" w:w="4320"/>
          </w:tcPr>
          <w:p>
            <w:r/>
            <w:r>
              <w:t>EduMatch : moteur de matching explicable entre candidats et formations, estimant les chances d'admission et les débouchés territoriaux</w:t>
            </w:r>
          </w:p>
        </w:tc>
      </w:tr>
      <w:tr>
        <w:tc>
          <w:tcPr>
            <w:tcW w:type="dxa" w:w="4320"/>
          </w:tcPr>
          <w:p>
            <w:r/>
            <w:r>
              <w:t>Certification</w:t>
            </w:r>
          </w:p>
        </w:tc>
        <w:tc>
          <w:tcPr>
            <w:tcW w:type="dxa" w:w="4320"/>
          </w:tcPr>
          <w:p>
            <w:r/>
            <w:r>
              <w:t>Architecte en Intelligence Artificielle - Mastère 2 (AIA02)</w:t>
            </w:r>
          </w:p>
        </w:tc>
      </w:tr>
      <w:tr>
        <w:tc>
          <w:tcPr>
            <w:tcW w:type="dxa" w:w="4320"/>
          </w:tcPr>
          <w:p>
            <w:r/>
            <w:r>
              <w:t>Date</w:t>
            </w:r>
          </w:p>
        </w:tc>
        <w:tc>
          <w:tcPr>
            <w:tcW w:type="dxa" w:w="4320"/>
          </w:tcPr>
          <w:p>
            <w:r/>
            <w:r>
              <w:t>Septembre 2026</w:t>
            </w:r>
          </w:p>
        </w:tc>
      </w:tr>
    </w:tbl>
    <w:p/>
    <w:p>
      <w:r>
        <w:rPr>
          <w:b w:val="0"/>
          <w:i/>
        </w:rPr>
        <w:t>Ce dossier explique le projet et justifie les choix faits, sous la forme « X plutôt que Y, parce que... ». Les chiffres cités viennent des fichiers sources et se recalculent avec les commandes indiquées.</w:t>
      </w:r>
    </w:p>
    <w:p>
      <w:r>
        <w:br w:type="page"/>
      </w:r>
    </w:p>
    <w:p>
      <w:pPr>
        <w:pStyle w:val="Heading1"/>
      </w:pPr>
      <w:r>
        <w:t>1. Présentation générale du projet</w:t>
      </w:r>
    </w:p>
    <w:p>
      <w:pPr>
        <w:pStyle w:val="Heading2"/>
      </w:pPr>
      <w:r>
        <w:t>1.1 Secteur et organisation</w:t>
      </w:r>
    </w:p>
    <w:p>
      <w:r>
        <w:rPr>
          <w:b w:val="0"/>
          <w:i w:val="0"/>
        </w:rPr>
        <w:t>EduMatch est une jeune entreprise EdTech basée en Île-de-France, en phase d'amorçage (levée seed de 350 000 euros). Elle édite une plateforme d'orientation scolaire en B2B2C : les clients sont des établissements (lycées, collèges, CFA, organismes de formation), les utilisateurs finaux des élèves et des personnes en reconversion.</w:t>
      </w:r>
    </w:p>
    <w:p>
      <w:r>
        <w:rPr>
          <w:b w:val="0"/>
          <w:i w:val="0"/>
        </w:rPr>
        <w:t>Le secteur combine deux contraintes fortes : il s'appuie sur des données publiques (Parcoursup, Sirene, référentiels de formations et de métiers), et il est sensible, car le public compte des mineurs et un système qui influence l'accès à une formation est classé à haut risque par le règlement européen sur l'IA (annexe III, point 3). C'est ce qui rend les quatre blocs de compétences nécessaires.</w:t>
      </w:r>
    </w:p>
    <w:p>
      <w:r>
        <w:rPr>
          <w:b w:val="0"/>
          <w:i w:val="0"/>
        </w:rPr>
        <w:t>Le trait le plus marquant de ces données est la ségrégation par le genre. Sur la session Parcoursup 2025 (14 252 formations), 2 775 d'entre elles, soit 19,7 pour cent (hors formations sans aucun admis, sinon leur taux nul fausserait la lecture), comptent moins de 20 pour cent de femmes parmi leurs admis, et 17,9 pour cent en comptent plus de 80 pour cent. Seules 21,5 pour cent se situent entre 40 et 60 pour cent. L'écart est net entre filières : médiane de féminisation à 18 pour cent en école d'ingénieur, contre 86 pour cent en institut de soins infirmiers et 90 pour cent dans le travail social.</w:t>
      </w:r>
    </w:p>
    <w:p>
      <w:r>
        <w:rPr>
          <w:b w:val="0"/>
          <w:i w:val="0"/>
        </w:rPr>
        <w:t>Ce n'est pas un problème d'accès global : les femmes sont 56,3 pour cent des admis, toutes formations confondues, donc majoritaires. Le problème est la répartition, pas l'accès. C'est l'orientation qui est en cause, exactement ce que ce projet outille.</w:t>
      </w:r>
    </w:p>
    <w:p>
      <w:r>
        <w:rPr>
          <w:b w:val="0"/>
          <w:i w:val="0"/>
        </w:rPr>
        <w:t>À cela s'ajoute une inégalité selon le baccalauréat d'origine : 36,7 pour cent des vœux de bacheliers généraux ont reçu une proposition en 2025, contre 29,5 pour cent pour les technologiques et 26,9 pour cent pour les professionnels — à vœu comparable, un bachelier professionnel a un quart de chances en moins.</w:t>
      </w:r>
    </w:p>
    <w:p>
      <w:r>
        <w:rPr>
          <w:b w:val="0"/>
          <w:i/>
        </w:rPr>
        <w:t>Précision : ces taux sont par vœu, pas par candidat (un lycéen formulant dix vœux garde de bonnes chances d'obtenir au moins une proposition, c'est l'accès à chaque formation prise isolément qui est inégal), et ils sont agrégés sur l'ensemble des vœux, pas moyennés formation par formation.</w:t>
      </w:r>
    </w:p>
    <w:p>
      <w:r>
        <w:rPr>
          <w:b w:val="0"/>
          <w:i w:val="0"/>
        </w:rPr>
        <w:t>Ces deux phénomènes appellent des réponses opposées. L'inégalité selon le baccalauréat, le moteur doit l'estimer et la dire honnêtement : c'est la réalité de la sélection, la cacher nuirait au candidat. La ségrégation par le genre, à l'inverse, le système ne doit jamais l'amplifier : aucune variable de genre n'entre dans le modèle, et l'audit d'équité vérifie qu'aucune variable de substitution ne la reconstitue. Mesurer l'une, neutraliser l'autre : c'est le principe de conception du projet.</w:t>
      </w:r>
    </w:p>
    <w:p>
      <w:r>
        <w:rPr>
          <w:b w:val="0"/>
          <w:i/>
        </w:rPr>
        <w:t>Source : ministère de l'Enseignement supérieur et de la Recherche, données ouvertes Parcoursup, session 2025 (Licence Ouverte Etalab v2.0). Valeurs recalculées à partir du fichier source.</w:t>
      </w:r>
    </w:p>
    <w:p>
      <w:r>
        <w:br w:type="page"/>
      </w:r>
    </w:p>
    <w:p>
      <w:pPr>
        <w:pStyle w:val="Heading2"/>
      </w:pPr>
      <w:r>
        <w:t>1.2 Problématique métier</w:t>
      </w:r>
    </w:p>
    <w:p>
      <w:r>
        <w:rPr>
          <w:b w:val="0"/>
          <w:i w:val="0"/>
        </w:rPr>
        <w:t>Trois causes structurelles expliquent les mauvais choix d'orientation : le manque d'information sur les formations et leurs débouchés, les déterminismes sociaux et territoriaux, et les stéréotypes de genre. Le système ne doit surtout pas les reproduire, ce qui fait de la non-discrimination et de l'explicabilité une exigence de fond, pas un habillage réglementaire.</w:t>
      </w:r>
    </w:p>
    <w:p>
      <w:r>
        <w:rPr>
          <w:b/>
          <w:i w:val="0"/>
        </w:rPr>
        <w:t>Le score de recommandation combine trois termes, dont un seul est appris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w:t>
            </w:r>
          </w:p>
        </w:tc>
        <w:tc>
          <w:tcPr>
            <w:tcW w:type="dxa" w:w="2160"/>
          </w:tcPr>
          <w:p>
            <w:r/>
            <w:r>
              <w:t>Règles métier, aucun apprentissage</w:t>
            </w:r>
          </w:p>
        </w:tc>
      </w:tr>
      <w:tr>
        <w:tc>
          <w:tcPr>
            <w:tcW w:type="dxa" w:w="2160"/>
          </w:tcPr>
          <w:p>
            <w:r/>
            <w:r>
              <w:t>Accessibilité</w:t>
            </w:r>
          </w:p>
        </w:tc>
        <w:tc>
          <w:tcPr>
            <w:tcW w:type="dxa" w:w="2160"/>
          </w:tcPr>
          <w:p>
            <w:r/>
            <w:r>
              <w:t>Le candidat a-t-il une chance d'être admis ?</w:t>
            </w:r>
          </w:p>
        </w:tc>
        <w:tc>
          <w:tcPr>
            <w:tcW w:type="dxa" w:w="2160"/>
          </w:tcPr>
          <w:p>
            <w:r/>
            <w:r>
              <w:t>Parcoursup, huit millésimes bruts, six exploitables pour le label (2020-2025)</w:t>
            </w:r>
          </w:p>
        </w:tc>
        <w:tc>
          <w:tcPr>
            <w:tcW w:type="dxa" w:w="2160"/>
          </w:tcPr>
          <w:p>
            <w:r/>
            <w:r>
              <w:t>Modèle appris (LightGBM, tracé dans MLflow), explicabilité SHAP produite (TreeSHAP, précalculée sur 440 030 cellules) — résultat de performance défavorable en test, détaillé en section 7</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aucun apprentissage</w:t>
            </w:r>
          </w:p>
        </w:tc>
      </w:tr>
    </w:tbl>
    <w:p>
      <w:r>
        <w:rPr>
          <w:b w:val="0"/>
          <w:i w:val="0"/>
        </w:rPr>
        <w:t>Les trois termes se multiplient : si l'un s'annule, la recommandation disparaît. Recommander une formation accessible mais sans rapport avec les goûts, ou adaptée mais sans aucun employeur du secteur à proximité, serait une mauvaise orientation.</w:t>
      </w:r>
    </w:p>
    <w:p>
      <w:r>
        <w:rPr>
          <w:b/>
          <w:i w:val="0"/>
        </w:rPr>
        <w:t>Périmètre de la certification : le produit EduMatch comporte plusieurs fonctionnalités, la certification porte sur un seul système décisionnel.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Composant</w:t>
            </w:r>
          </w:p>
        </w:tc>
        <w:tc>
          <w:tcPr>
            <w:tcW w:type="dxa" w:w="4320"/>
          </w:tcPr>
          <w:p>
            <w:r/>
            <w:r>
              <w:rPr>
                <w:b/>
              </w:rPr>
              <w:t>Rôle dans la certification</w:t>
            </w:r>
          </w:p>
        </w:tc>
      </w:tr>
      <w:tr>
        <w:tc>
          <w:tcPr>
            <w:tcW w:type="dxa" w:w="4320"/>
          </w:tcPr>
          <w:p>
            <w:r/>
            <w:r>
              <w:t>Moteur d'orientation explicable</w:t>
            </w:r>
          </w:p>
        </w:tc>
        <w:tc>
          <w:tcPr>
            <w:tcW w:type="dxa" w:w="4320"/>
          </w:tcPr>
          <w:p>
            <w:r/>
            <w:r>
              <w:t>Composant central, seul modèle industrialisé de bout en bout (blocs 1 à 4).</w:t>
            </w:r>
          </w:p>
        </w:tc>
      </w:tr>
      <w:tr>
        <w:tc>
          <w:tcPr>
            <w:tcW w:type="dxa" w:w="4320"/>
          </w:tcPr>
          <w:p>
            <w:r/>
            <w:r>
              <w:t>Chatbot RAG (génération augmentée par récupération)</w:t>
            </w:r>
          </w:p>
        </w:tc>
        <w:tc>
          <w:tcPr>
            <w:tcW w:type="dxa" w:w="4320"/>
          </w:tcPr>
          <w:p>
            <w:r/>
            <w:r>
              <w:t>Brique secondaire : restitue en langue naturelle, avec citation des sources, les éléments qui fondent une recommandation. Intégré et supervisé, pas industrialisé au même niveau.</w:t>
            </w:r>
          </w:p>
        </w:tc>
      </w:tr>
    </w:tbl>
    <w:p>
      <w:r>
        <w:rPr>
          <w:b w:val="0"/>
          <w:i/>
        </w:rPr>
        <w:t>L'écran de supervision des conseillers n'est pas une fonctionnalité produit : c'est un composant de conformité, imposé par l'exigence de contrôle humain de l'AI Act (section 7).</w:t>
      </w:r>
    </w:p>
    <w:p>
      <w:r>
        <w:rPr>
          <w:b w:val="0"/>
          <w:i w:val="0"/>
        </w:rPr>
        <w:t>Le projet impose de vrais arbitrages :</w:t>
      </w:r>
    </w:p>
    <w:p>
      <w:pPr>
        <w:pStyle w:val="ListBullet"/>
      </w:pPr>
      <w:r>
        <w:t>Volumétrie et hétérogénéité : cinq sources publiques, de quelques mégaoctets à 43,9 millions d'établissements (section 2).</w:t>
      </w:r>
    </w:p>
    <w:p>
      <w:pPr>
        <w:pStyle w:val="ListBullet"/>
      </w:pPr>
      <w:r>
        <w:t>Performance et fraîcheur : recommandation en temps interactif, sources mises à jour à des rythmes très différents (annuel, mensuel, continu).</w:t>
      </w:r>
    </w:p>
    <w:p>
      <w:pPr>
        <w:pStyle w:val="ListBullet"/>
      </w:pPr>
      <w:r>
        <w:t>Budget : structure de coûts d'une startup en amorçage, à surveiller côté inférence.</w:t>
      </w:r>
    </w:p>
    <w:p>
      <w:pPr>
        <w:pStyle w:val="ListBullet"/>
      </w:pPr>
      <w:r>
        <w:t>Conformité : données de mineurs et d'adultes ; le profilage relève de l'article 22 (base légale, consentement, minimisation, transparence, analyse d'impact) et de l'AI Act (explicabilité, non-discrimination), plus le respect des licences (section 3).</w:t>
      </w:r>
    </w:p>
    <w:p>
      <w:pPr>
        <w:pStyle w:val="Heading2"/>
      </w:pPr>
      <w:r>
        <w:t>1.3 Parties prenantes</w:t>
      </w:r>
    </w:p>
    <w:tbl>
      <w:tblPr>
        <w:tblStyle w:val="TableGrid"/>
        <w:tblW w:type="auto" w:w="0"/>
        <w:jc w:val="center"/>
        <w:tblLook w:firstColumn="1" w:firstRow="1" w:lastColumn="0" w:lastRow="0" w:noHBand="0" w:noVBand="1" w:val="04A0"/>
      </w:tblPr>
      <w:tblGrid>
        <w:gridCol w:w="4320"/>
        <w:gridCol w:w="4320"/>
      </w:tblGrid>
      <w:tr>
        <w:tc>
          <w:tcPr>
            <w:tcW w:type="dxa" w:w="4320"/>
          </w:tcPr>
          <w:p>
            <w:r/>
            <w:r>
              <w:t>Direction (3 associés)</w:t>
            </w:r>
          </w:p>
        </w:tc>
        <w:tc>
          <w:tcPr>
            <w:tcW w:type="dxa" w:w="4320"/>
          </w:tcPr>
          <w:p>
            <w:r/>
            <w:r>
              <w:t>Stratégie produit, arbitrage valeur / coût / conformité.</w:t>
            </w:r>
          </w:p>
        </w:tc>
      </w:tr>
      <w:tr>
        <w:tc>
          <w:tcPr>
            <w:tcW w:type="dxa" w:w="4320"/>
          </w:tcPr>
          <w:p>
            <w:r/>
            <w:r>
              <w:t>Cheffe de projet agile</w:t>
            </w:r>
          </w:p>
        </w:tc>
        <w:tc>
          <w:tcPr>
            <w:tcW w:type="dxa" w:w="4320"/>
          </w:tcPr>
          <w:p>
            <w:r/>
            <w:r>
              <w:t>Pilote le backlog et les sprints.</w:t>
            </w:r>
          </w:p>
        </w:tc>
      </w:tr>
      <w:tr>
        <w:tc>
          <w:tcPr>
            <w:tcW w:type="dxa" w:w="4320"/>
          </w:tcPr>
          <w:p>
            <w:r/>
            <w:r>
              <w:t>Architecte IA</w:t>
            </w:r>
          </w:p>
        </w:tc>
        <w:tc>
          <w:tcPr>
            <w:tcW w:type="dxa" w:w="4320"/>
          </w:tcPr>
          <w:p>
            <w:r/>
            <w:r>
              <w:t>Conçoit l'architecture, arbitre les choix, pilote la gouvernance et la mise en production.</w:t>
            </w:r>
          </w:p>
        </w:tc>
      </w:tr>
      <w:tr>
        <w:tc>
          <w:tcPr>
            <w:tcW w:type="dxa" w:w="4320"/>
          </w:tcPr>
          <w:p>
            <w:r/>
            <w:r>
              <w:t>DPO</w:t>
            </w:r>
          </w:p>
        </w:tc>
        <w:tc>
          <w:tcPr>
            <w:tcW w:type="dxa" w:w="4320"/>
          </w:tcPr>
          <w:p>
            <w:r/>
            <w:r>
              <w:t>Garant RGPD : mineurs et adultes, licéité des données publiques réutilisées.</w:t>
            </w:r>
          </w:p>
        </w:tc>
      </w:tr>
      <w:tr>
        <w:tc>
          <w:tcPr>
            <w:tcW w:type="dxa" w:w="4320"/>
          </w:tcPr>
          <w:p>
            <w:r/>
            <w:r>
              <w:t>Équipe de développement</w:t>
            </w:r>
          </w:p>
        </w:tc>
        <w:tc>
          <w:tcPr>
            <w:tcW w:type="dxa" w:w="4320"/>
          </w:tcPr>
          <w:p>
            <w:r/>
            <w:r>
              <w:t>Met en œuvre les pipelines, le moteur et le RAG.</w:t>
            </w:r>
          </w:p>
        </w:tc>
      </w:tr>
      <w:tr>
        <w:tc>
          <w:tcPr>
            <w:tcW w:type="dxa" w:w="4320"/>
          </w:tcPr>
          <w:p>
            <w:r/>
            <w:r>
              <w:t>Conseillers d'orientation</w:t>
            </w:r>
          </w:p>
        </w:tc>
        <w:tc>
          <w:tcPr>
            <w:tcW w:type="dxa" w:w="4320"/>
          </w:tcPr>
          <w:p>
            <w:r/>
            <w:r>
              <w:t>Superviseurs humains : revoient, contextualisent, peuvent écarter une recommandation.</w:t>
            </w:r>
          </w:p>
        </w:tc>
      </w:tr>
      <w:tr>
        <w:tc>
          <w:tcPr>
            <w:tcW w:type="dxa" w:w="4320"/>
          </w:tcPr>
          <w:p>
            <w:r/>
            <w:r>
              <w:t>Établissements et utilisateurs</w:t>
            </w:r>
          </w:p>
        </w:tc>
        <w:tc>
          <w:tcPr>
            <w:tcW w:type="dxa" w:w="4320"/>
          </w:tcPr>
          <w:p>
            <w:r/>
            <w:r>
              <w:t>Lycées, CFA, organismes de formation ; élèves, étudiants, personnes en reconversion.</w:t>
            </w:r>
          </w:p>
        </w:tc>
      </w:tr>
      <w:tr>
        <w:tc>
          <w:tcPr>
            <w:tcW w:type="dxa" w:w="4320"/>
          </w:tcPr>
          <w:p>
            <w:r/>
            <w:r>
              <w:t>Fournisseurs de données</w:t>
            </w:r>
          </w:p>
        </w:tc>
        <w:tc>
          <w:tcPr>
            <w:tcW w:type="dxa" w:w="4320"/>
          </w:tcPr>
          <w:p>
            <w:r/>
            <w:r>
              <w:t>MESR (Parcoursup), INSEE (Sirene), France Compétences, ONISEP, IDEO.</w:t>
            </w:r>
          </w:p>
        </w:tc>
      </w:tr>
      <w:tr>
        <w:tc>
          <w:tcPr>
            <w:tcW w:type="dxa" w:w="4320"/>
          </w:tcPr>
          <w:p>
            <w:r/>
            <w:r>
              <w:t>Référent accessibilité</w:t>
            </w:r>
          </w:p>
        </w:tc>
        <w:tc>
          <w:tcPr>
            <w:tcW w:type="dxa" w:w="4320"/>
          </w:tcPr>
          <w:p>
            <w:r/>
            <w:r>
              <w:t>Conformité RGAA pour les personnes en situation de handicap.</w:t>
            </w:r>
          </w:p>
        </w:tc>
      </w:tr>
    </w:tbl>
    <w:p>
      <w:r>
        <w:br w:type="page"/>
      </w:r>
    </w:p>
    <w:p>
      <w:pPr>
        <w:pStyle w:val="Heading1"/>
      </w:pPr>
      <w:r>
        <w:t>2. Environnement technique existant</w:t>
      </w:r>
    </w:p>
    <w:p>
      <w:r>
        <w:rPr>
          <w:b w:val="0"/>
          <w:i w:val="0"/>
        </w:rPr>
        <w:t>J'ai conçu et développé la première version d'EduMatch, un MVP qui valide le concept et sert de point de départ : front Next.js/React (TypeScript, Redux), back FastAPI, assistant RAG en CamemBERT, FAISS, LangChain et Mistral-small. Ces choix visaient à livrer vite, pas à tenir en production : ingestion semi-manuelle sans orchestration ni contrôle qualité, infrastructure non pensée pour la conformité ni la charge, et le moteur d'orientation n'existait pas. Ce projet reprend cette base pour la restructurer et l'industrialiser.</w:t>
      </w:r>
    </w:p>
    <w:p>
      <w:r>
        <w:rPr>
          <w:b/>
          <w:i w:val="0"/>
        </w:rPr>
        <w:t>Les sources, leur rôle et leur volumétrie.</w:t>
      </w:r>
    </w:p>
    <w:p>
      <w:r>
        <w:rPr>
          <w:b w:val="0"/>
          <w:i w:val="0"/>
        </w:rPr>
        <w:t>Chaque source répond à une question précise : aucune n'est là pour la forme, aucune ne peut être retirée sans amputer une dimension de la décision.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Source</w:t>
            </w:r>
          </w:p>
        </w:tc>
        <w:tc>
          <w:tcPr>
            <w:tcW w:type="dxa" w:w="2160"/>
          </w:tcPr>
          <w:p>
            <w:r/>
            <w:r>
              <w:rPr>
                <w:b/>
              </w:rPr>
              <w:t>Ce qu'elle apporte</w:t>
            </w:r>
          </w:p>
        </w:tc>
        <w:tc>
          <w:tcPr>
            <w:tcW w:type="dxa" w:w="2160"/>
          </w:tcPr>
          <w:p>
            <w:r/>
            <w:r>
              <w:rPr>
                <w:b/>
              </w:rPr>
              <w:t>Volumétrie vérifiée</w:t>
            </w:r>
          </w:p>
        </w:tc>
        <w:tc>
          <w:tcPr>
            <w:tcW w:type="dxa" w:w="2160"/>
          </w:tcPr>
          <w:p>
            <w:r/>
            <w:r>
              <w:rPr>
                <w:b/>
              </w:rPr>
              <w:t>Licence</w:t>
            </w:r>
          </w:p>
        </w:tc>
      </w:tr>
      <w:tr>
        <w:tc>
          <w:tcPr>
            <w:tcW w:type="dxa" w:w="2160"/>
          </w:tcPr>
          <w:p>
            <w:r/>
            <w:r>
              <w:t>Parcoursup, sessions 2018-2025 (MESR)</w:t>
            </w:r>
          </w:p>
        </w:tc>
        <w:tc>
          <w:tcPr>
            <w:tcW w:type="dxa" w:w="2160"/>
          </w:tcPr>
          <w:p>
            <w:r/>
            <w:r>
              <w:t>Résultats d'admission par formation et profil. Source du label du modèle appris.</w:t>
            </w:r>
          </w:p>
        </w:tc>
        <w:tc>
          <w:tcPr>
            <w:tcW w:type="dxa" w:w="2160"/>
          </w:tcPr>
          <w:p>
            <w:r/>
            <w:r>
              <w:t>104 274 formation-années, 118 colonnes (2025), 82 Mo sur 8 CSV. 77 159 cellules exploitables par millésime</w:t>
            </w:r>
          </w:p>
        </w:tc>
        <w:tc>
          <w:tcPr>
            <w:tcW w:type="dxa" w:w="2160"/>
          </w:tcPr>
          <w:p>
            <w:r/>
            <w:r>
              <w:t>Licence Ouverte v2.0</w:t>
            </w:r>
          </w:p>
        </w:tc>
      </w:tr>
      <w:tr>
        <w:tc>
          <w:tcPr>
            <w:tcW w:type="dxa" w:w="2160"/>
          </w:tcPr>
          <w:p>
            <w:r/>
            <w:r>
              <w:t>Base Sirene (INSEE)</w:t>
            </w:r>
          </w:p>
        </w:tc>
        <w:tc>
          <w:tcPr>
            <w:tcW w:type="dxa" w:w="2160"/>
          </w:tcPr>
          <w:p>
            <w:r/>
            <w:r>
              <w:t>Tissu économique : activité, commune, effectifs, créations et cessations depuis 1973.</w:t>
            </w:r>
          </w:p>
        </w:tc>
        <w:tc>
          <w:tcPr>
            <w:tcW w:type="dxa" w:w="2160"/>
          </w:tcPr>
          <w:p>
            <w:r/>
            <w:r>
              <w:t>43 896 818 établissements, 29 922 486 unités légales ; 6,44 Go compressés, 4,63 Go en Parquet pour les quatre fichiers retenus, stock du 1er août 2026</w:t>
            </w:r>
          </w:p>
        </w:tc>
        <w:tc>
          <w:tcPr>
            <w:tcW w:type="dxa" w:w="2160"/>
          </w:tcPr>
          <w:p>
            <w:r/>
            <w:r>
              <w:t>Licence Ouverte v2.0</w:t>
            </w:r>
          </w:p>
        </w:tc>
      </w:tr>
      <w:tr>
        <w:tc>
          <w:tcPr>
            <w:tcW w:type="dxa" w:w="2160"/>
          </w:tcPr>
          <w:p>
            <w:r/>
            <w:r>
              <w:t>Référentiels ONISEP, IDEO et RNCP</w:t>
            </w:r>
          </w:p>
        </w:tc>
        <w:tc>
          <w:tcPr>
            <w:tcW w:type="dxa" w:w="2160"/>
          </w:tcPr>
          <w:p>
            <w:r/>
            <w:r>
              <w:t>Description des formations, métiers et certifications ; correspondance activité / formation.</w:t>
            </w:r>
          </w:p>
        </w:tc>
        <w:tc>
          <w:tcPr>
            <w:tcW w:type="dxa" w:w="2160"/>
          </w:tcPr>
          <w:p>
            <w:r/>
            <w:r>
              <w:t>IDÉO : 5 869 formations, 1 534 métiers, 24 278 structures (15,9 Mo). RNCP et Répertoire spécifique : 30 484 fiches dont 7 000 actives (export du 29 août 2026)</w:t>
            </w:r>
          </w:p>
        </w:tc>
        <w:tc>
          <w:tcPr>
            <w:tcW w:type="dxa" w:w="2160"/>
          </w:tcPr>
          <w:p>
            <w:r/>
            <w:r>
              <w:t>ONISEP et IDÉO : ODbL — partage à l'identique. RNCP : Licence Ouverte v2.0</w:t>
            </w:r>
          </w:p>
        </w:tc>
      </w:tr>
    </w:tbl>
    <w:p>
      <w:r>
        <w:rPr>
          <w:b w:val="0"/>
          <w:i w:val="0"/>
        </w:rPr>
        <w:t>Les trois dimensions (3V) sont non triviales ici :</w:t>
      </w:r>
    </w:p>
    <w:p>
      <w:pPr>
        <w:pStyle w:val="ListBullet"/>
      </w:pPr>
      <w:r>
        <w:t>Volume : 43,9 millions d'établissements à joindre et agréger, 25 à 30 Go décompressés, face à un référentiel d'admission d'une centaine de mégaoctets.</w:t>
      </w:r>
    </w:p>
    <w:p>
      <w:pPr>
        <w:pStyle w:val="ListBullet"/>
      </w:pPr>
      <w:r>
        <w:t>Vélocité : publications en batch à des rythmes très différents, pour des recommandations servies en temps interactif.</w:t>
      </w:r>
    </w:p>
    <w:p>
      <w:pPr>
        <w:pStyle w:val="ListBullet"/>
      </w:pPr>
      <w:r>
        <w:t>Variété : CSV, Parquet volumineux, API, référentiels, données déclaratives. L'hétérogénéité des nomenclatures (NAF, ROME, codes de formation) est le cœur du défi.</w:t>
      </w:r>
    </w:p>
    <w:p>
      <w:r>
        <w:br w:type="page"/>
      </w:r>
    </w:p>
    <w:p>
      <w:pPr>
        <w:pStyle w:val="Heading1"/>
      </w:pPr>
      <w:r>
        <w:t>3. Contraintes réglementaires</w:t>
      </w:r>
    </w:p>
    <w:p>
      <w:pPr>
        <w:pStyle w:val="ListBullet"/>
      </w:pPr>
      <w:r>
        <w:t>RGPD : l'entraînement ne mobilise aucune donnée personnelle (Parcoursup = comptages agrégés, Sirene = établissements). Les données personnelles n'interviennent qu'à l'inférence, quand un candidat renseigne bac, mention, statut de boursier, territoire et centres d'intérêt — rien de plus, par minimisation. Aucune donnée de navigation ou de comportement n'intervient.</w:t>
      </w:r>
    </w:p>
    <w:p>
      <w:pPr>
        <w:pStyle w:val="ListBullet"/>
      </w:pPr>
      <w:r>
        <w:t>Base légale et droits : le public comptant des mineurs, la base légale est le consentement du titulaire de l'autorité parentale en dessous de quinze ans. La recommandation est une décision automatisée (article 22) : droit à l'explication, assuré par SHAP. Droits d'accès, de rectification, d'effacement et d'opposition mis en œuvre.</w:t>
      </w:r>
    </w:p>
    <w:p>
      <w:pPr>
        <w:pStyle w:val="ListBullet"/>
      </w:pPr>
      <w:r>
        <w:t>Tension conservation / traçabilité : l'article 12 de l'AI Act impose de journaliser les inférences, le RGPD impose de limiter la conservation. Solution : une durée définie, puis pseudonymisation et agrégation des journaux. Une analyse d'impact est menée, le profilage systématique de mineurs la rendant obligatoire.</w:t>
      </w:r>
    </w:p>
    <w:p>
      <w:pPr>
        <w:pStyle w:val="ListBullet"/>
      </w:pPr>
      <w:r>
        <w:t>Réutilisation : les jeux du ministère et de l'INSEE sont en Licence Ouverte v2.0 (usage commercial autorisé, source à mentionner). Un registre des sources et licences est tenu.</w:t>
      </w:r>
    </w:p>
    <w:p>
      <w:pPr>
        <w:pStyle w:val="ListBullet"/>
      </w:pPr>
      <w:r>
        <w:t>AI Act : le système relève de l'annexe III, point 3 (accès à l'enseignement) : gestion des risques, gouvernance des données, documentation, journalisation, transparence, contrôle humain, exactitude et robustesse (détail bloc 1).</w:t>
      </w:r>
    </w:p>
    <w:p>
      <w:pPr>
        <w:pStyle w:val="ListBullet"/>
      </w:pPr>
      <w:r>
        <w:t>Sécurité et souveraineté : chiffrement, moindre privilège, journalisation (ISO 27001). Hébergement européen retenu pour réduire le risque lié aux données de mineurs.</w:t>
      </w:r>
    </w:p>
    <w:p>
      <w:r>
        <w:br w:type="page"/>
      </w:r>
    </w:p>
    <w:p>
      <w:pPr>
        <w:pStyle w:val="Heading1"/>
      </w:pPr>
      <w:r>
        <w:t>4. Bloc 1 - Gouvernance des données</w:t>
      </w:r>
    </w:p>
    <w:p>
      <w:r>
        <w:rPr>
          <w:b w:val="0"/>
          <w:i/>
        </w:rPr>
        <w:t>Ce que le projet impose : données de mineurs et d'adultes, plusieurs sources publiques sous des licences différentes, plusieurs parties prenantes, une conformité AI Act non triviale.</w:t>
      </w:r>
    </w:p>
    <w:p>
      <w:r>
        <w:rPr>
          <w:b w:val="0"/>
          <w:i w:val="0"/>
        </w:rPr>
        <w:t>Le plan de gouvernance est écrit et versionné : classification des données (publiques, internes, personnelles, sensibles) avec des règles d'usage, dont six sur sept sont contrôlées automatiquement plutôt que déclarées sur le papier ; rôles répartis entre un Data Owner côté direction, des Data Stewards côté équipe data et un DPO ; registre de huit traitements (T1 à T8) avec finalité, base légale, durée, destinataires, chacun avec son état réel. Origines, schémas, fraîcheurs et lignages sont documentés par le pipeline lui-même (tests de qualité, lignage dbt), sans outil de catalogage séparé.</w:t>
      </w:r>
    </w:p>
    <w:p>
      <w:r>
        <w:rPr>
          <w:b w:val="0"/>
          <w:i w:val="0"/>
        </w:rPr>
        <w:t>La gestion des risques couvre onze risques (R1 à R11) sur quatre familles : violation de données de mineurs, discrimination des recommandations, non-conformité de réutilisation, obsolescence des données.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Article</w:t>
            </w:r>
          </w:p>
        </w:tc>
        <w:tc>
          <w:tcPr>
            <w:tcW w:type="dxa" w:w="2880"/>
          </w:tcPr>
          <w:p>
            <w:r/>
            <w:r>
              <w:rPr>
                <w:b/>
              </w:rPr>
              <w:t>Obligation</w:t>
            </w:r>
          </w:p>
        </w:tc>
        <w:tc>
          <w:tcPr>
            <w:tcW w:type="dxa" w:w="2880"/>
          </w:tcPr>
          <w:p>
            <w:r/>
            <w:r>
              <w:rPr>
                <w:b/>
              </w:rPr>
              <w:t>Mise en œuvre dans EduMatch</w:t>
            </w:r>
          </w:p>
        </w:tc>
      </w:tr>
      <w:tr>
        <w:tc>
          <w:tcPr>
            <w:tcW w:type="dxa" w:w="2880"/>
          </w:tcPr>
          <w:p>
            <w:r/>
            <w:r>
              <w:t>9</w:t>
            </w:r>
          </w:p>
        </w:tc>
        <w:tc>
          <w:tcPr>
            <w:tcW w:type="dxa" w:w="2880"/>
          </w:tcPr>
          <w:p>
            <w:r/>
            <w:r>
              <w:t>Gestion des risques</w:t>
            </w:r>
          </w:p>
        </w:tc>
        <w:tc>
          <w:tcPr>
            <w:tcW w:type="dxa" w:w="2880"/>
          </w:tcPr>
          <w:p>
            <w:r/>
            <w:r>
              <w:t>Registre des onze risques, révisé à chaque campagne</w:t>
            </w:r>
          </w:p>
        </w:tc>
      </w:tr>
      <w:tr>
        <w:tc>
          <w:tcPr>
            <w:tcW w:type="dxa" w:w="2880"/>
          </w:tcPr>
          <w:p>
            <w:r/>
            <w:r>
              <w:t>10</w:t>
            </w:r>
          </w:p>
        </w:tc>
        <w:tc>
          <w:tcPr>
            <w:tcW w:type="dxa" w:w="2880"/>
          </w:tcPr>
          <w:p>
            <w:r/>
            <w:r>
              <w:t>Gouvernance des données</w:t>
            </w:r>
          </w:p>
        </w:tc>
        <w:tc>
          <w:tcPr>
            <w:tcW w:type="dxa" w:w="2880"/>
          </w:tcPr>
          <w:p>
            <w:r/>
            <w:r>
              <w:t>Contrôles qualité automatisés, audit d'équité, registre des sources</w:t>
            </w:r>
          </w:p>
        </w:tc>
      </w:tr>
      <w:tr>
        <w:tc>
          <w:tcPr>
            <w:tcW w:type="dxa" w:w="2880"/>
          </w:tcPr>
          <w:p>
            <w:r/>
            <w:r>
              <w:t>11</w:t>
            </w:r>
          </w:p>
        </w:tc>
        <w:tc>
          <w:tcPr>
            <w:tcW w:type="dxa" w:w="2880"/>
          </w:tcPr>
          <w:p>
            <w:r/>
            <w:r>
              <w:t>Documentation technique</w:t>
            </w:r>
          </w:p>
        </w:tc>
        <w:tc>
          <w:tcPr>
            <w:tcW w:type="dxa" w:w="2880"/>
          </w:tcPr>
          <w:p>
            <w:r/>
            <w:r>
              <w:t>Dossier technique et Model Card</w:t>
            </w:r>
          </w:p>
        </w:tc>
      </w:tr>
      <w:tr>
        <w:tc>
          <w:tcPr>
            <w:tcW w:type="dxa" w:w="2880"/>
          </w:tcPr>
          <w:p>
            <w:r/>
            <w:r>
              <w:t>12</w:t>
            </w:r>
          </w:p>
        </w:tc>
        <w:tc>
          <w:tcPr>
            <w:tcW w:type="dxa" w:w="2880"/>
          </w:tcPr>
          <w:p>
            <w:r/>
            <w:r>
              <w:t>Journalisation</w:t>
            </w:r>
          </w:p>
        </w:tc>
        <w:tc>
          <w:tcPr>
            <w:tcW w:type="dxa" w:w="2880"/>
          </w:tcPr>
          <w:p>
            <w:r/>
            <w:r>
              <w:t>Traçabilité horodatée de chaque recommandation, purge par paliers</w:t>
            </w:r>
          </w:p>
        </w:tc>
      </w:tr>
      <w:tr>
        <w:tc>
          <w:tcPr>
            <w:tcW w:type="dxa" w:w="2880"/>
          </w:tcPr>
          <w:p>
            <w:r/>
            <w:r>
              <w:t>13</w:t>
            </w:r>
          </w:p>
        </w:tc>
        <w:tc>
          <w:tcPr>
            <w:tcW w:type="dxa" w:w="2880"/>
          </w:tcPr>
          <w:p>
            <w:r/>
            <w:r>
              <w:t>Transparence</w:t>
            </w:r>
          </w:p>
        </w:tc>
        <w:tc>
          <w:tcPr>
            <w:tcW w:type="dxa" w:w="2880"/>
          </w:tcPr>
          <w:p>
            <w:r/>
            <w:r>
              <w:t>Notice utilisateur — à écrire ; restitution SHAP produite</w:t>
            </w:r>
          </w:p>
        </w:tc>
      </w:tr>
      <w:tr>
        <w:tc>
          <w:tcPr>
            <w:tcW w:type="dxa" w:w="2880"/>
          </w:tcPr>
          <w:p>
            <w:r/>
            <w:r>
              <w:t>14</w:t>
            </w:r>
          </w:p>
        </w:tc>
        <w:tc>
          <w:tcPr>
            <w:tcW w:type="dxa" w:w="2880"/>
          </w:tcPr>
          <w:p>
            <w:r/>
            <w:r>
              <w:t>Contrôle humain</w:t>
            </w:r>
          </w:p>
        </w:tc>
        <w:tc>
          <w:tcPr>
            <w:tcW w:type="dxa" w:w="2880"/>
          </w:tcPr>
          <w:p>
            <w:r/>
            <w:r>
              <w:t>Écran conseiller : revue, contextualisation, écartement motivé</w:t>
            </w:r>
          </w:p>
        </w:tc>
      </w:tr>
      <w:tr>
        <w:tc>
          <w:tcPr>
            <w:tcW w:type="dxa" w:w="2880"/>
          </w:tcPr>
          <w:p>
            <w:r/>
            <w:r>
              <w:t>15</w:t>
            </w:r>
          </w:p>
        </w:tc>
        <w:tc>
          <w:tcPr>
            <w:tcW w:type="dxa" w:w="2880"/>
          </w:tcPr>
          <w:p>
            <w:r/>
            <w:r>
              <w:t>Exactitude et robustesse</w:t>
            </w:r>
          </w:p>
        </w:tc>
        <w:tc>
          <w:tcPr>
            <w:tcW w:type="dxa" w:w="2880"/>
          </w:tcPr>
          <w:p>
            <w:r/>
            <w:r>
              <w:t>Protocole temporel, seuils, tests. Résultat mesuré défavorable au modèle appris en test (section 7)</w:t>
            </w:r>
          </w:p>
        </w:tc>
      </w:tr>
    </w:tbl>
    <w:p>
      <w:r>
        <w:rPr>
          <w:b w:val="0"/>
          <w:i w:val="0"/>
        </w:rPr>
        <w:t>L'analyse d'impact, obligatoire du fait du profilage de mineurs, refait le test de nécessité une fois les mesures disponibles, pas avant. Ce test échoue sur le terme appris : une règle déjà construite, le taux de la session précédente, fait mieux que le modèle en précision et en calibration sur la session la plus récente. L'avis est donc scindé : défavorable à la restitution du terme appris à des candidats réels ; favorable sous réserves au reste du dispositif ; favorable sans réserve à l'exploitation en démonstration. Le seuil qui lèverait la réserve est écrit à l'avance : un modèle réentraîné sous 0,0701 de MAE pondérée et 0,0322 d'ECE sur une session non consultée pendant le réglage.</w:t>
      </w:r>
    </w:p>
    <w:p>
      <w:r>
        <w:rPr>
          <w:b w:val="0"/>
          <w:i w:val="0"/>
        </w:rPr>
        <w:t>La conformité est suivie par une procédure d'audit calée sur le calendrier Parcoursup (douze points de contrôle, trois déclencheurs), déjà appliquée trois fois. Restent à écrire : une notice d'information lisible par un mineur, et un identifiant de corrélation pour rendre purgeable le journal de supervision.</w:t>
      </w:r>
    </w:p>
    <w:p>
      <w:r>
        <w:rPr>
          <w:b w:val="0"/>
          <w:i/>
        </w:rPr>
        <w:t>À livrer : présentation devant le jury. Le reste existe : plan de gouvernance, analyse d'impact, Model Card, registre des sources. Évaluation : lecture 15 min, présentation 15 min, questions 15 min.</w:t>
      </w:r>
    </w:p>
    <w:p>
      <w:r>
        <w:br w:type="page"/>
      </w:r>
    </w:p>
    <w:p>
      <w:pPr>
        <w:pStyle w:val="Heading1"/>
      </w:pPr>
      <w:r>
        <w:t>5. Bloc 2 - Architecture de données pour l'IA</w:t>
      </w:r>
    </w:p>
    <w:p>
      <w:r>
        <w:rPr>
          <w:b w:val="0"/>
          <w:i/>
        </w:rPr>
        <w:t>Ce que le projet impose : des volumétries séparées par plus de deux ordres de grandeur, une saisonnalité marquée qui impose l'élasticité, des exigences de disponibilité et de souveraineté.</w:t>
      </w:r>
    </w:p>
    <w:p>
      <w:r>
        <w:rPr>
          <w:b/>
          <w:i w:val="0"/>
        </w:rPr>
        <w:t>Le principe structurant : deux couches distinctes.</w:t>
      </w:r>
    </w:p>
    <w:p>
      <w:r>
        <w:rPr>
          <w:b w:val="0"/>
          <w:i w:val="0"/>
        </w:rPr>
        <w:t>La couche de volume traite des dizaines de gigaoctets sans donnée personnelle (Sirene). La couche de décision traite des référentiels compacts mais sensibles, et sert l'inférence. Cette séparation sert la performance et la conformité en même temps : le périmètre RGPD reste réduit, et le calcul lourd s'exécute là où le risque est nul.</w:t>
      </w:r>
    </w:p>
    <w:p>
      <w:r>
        <w:rPr>
          <w:b w:val="0"/>
          <w:i w:val="0"/>
        </w:rPr>
        <w:t>Modélisation : le transactionnel (utilisateurs, établissements, historique) sera porté par PostgreSQL relationnel — reste à construire. Le modèle analytique en étoile pour les données d'orientation, lui, est construit : la table de faits porte les cellules d'observation, avec pour dimensions formation, candidat, session, territoire. PostgreSQL est retenu plutôt que Firestore pour la cohérence relationnelle et les requêtes analytiques ; le modèle en étoile convient à la prédominance des lectures analytiques.</w:t>
      </w:r>
    </w:p>
    <w:p>
      <w:r>
        <w:rPr>
          <w:b w:val="0"/>
          <w:i w:val="0"/>
        </w:rPr>
        <w:t>Infrastructure : le service et l'entraînement sont conteneurisés (Docker, deux étapes, non-root, sonde de santé, image étiquetée par le commit) et orchestrés en local (Airflow, quatre DAG). Le code cible existe dans le second dépôt : Terraform pour un cloud souverain européen (Scaleway plutôt qu'un hyperscaler hors Union européenne, à cause des données de mineurs) et des manifestes Kubernetes complets. Rien n'est déployé à ce jour : aucun compte fournisseur ouvert, aucun apply exécuté, terraform validate lui-même n'a pas pu tourner faute de binaire installé sur mon poste. C'est le point le plus exposé du projet, je le déclare comme tel.</w:t>
      </w:r>
    </w:p>
    <w:p>
      <w:r>
        <w:rPr>
          <w:b w:val="0"/>
          <w:i w:val="0"/>
        </w:rPr>
        <w:t>Sécurité, en l'état : le cloisonnement réseau est réel (réseau privé Terraform, politique réseau Kubernetes restrictive, conteneurs non-root en lecture seule, aucun secret commité). Le chiffrement, lui, n'est implémenté nulle part dans le code d'infrastructure actuel, et la gestion des accès par rôle se limite au compte de service de la supervision — deux manques à traiter avant tout déploiement réel. La supervision (Prometheus, Grafana, cinq alertes) est écrite dans le second dépôt mais n'a jamais tourné, faute d'environnement.</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Kubernetes managé plutôt qu'un dimensionnement fixe</w:t>
            </w:r>
          </w:p>
          <w:p>
            <w:r>
              <w:t>Le volume seul ne justifie pas une orchestration élastique. La vraie raison est la saisonnalité : pic de janvier à mai, creux en juillet-août, rapport de charge de l'ordre de 1 à 6.</w:t>
            </w:r>
          </w:p>
          <w:p>
            <w:r>
              <w:t>Un dimensionnement fixe ferait payer toute l'année la capacité du pic, pour un taux d'utilisation moyen d'environ 30 pour cent. L'autoscaling dimensionne à la charge réelle — un enjeu de coûts direct pour une startup en amorçage.</w:t>
            </w:r>
          </w:p>
          <w:p>
            <w:r>
              <w:t>Je retiens Kubernetes managé plutôt qu'un cluster auto-géré (trop lourd à exploiter pour une petite équipe) ou le PaaS actuel (pas d'autoscaling fin). Le serverless a été écarté pour ses démarrages à froid, incompatibles avec la latence interactive attendue.</w:t>
            </w:r>
          </w:p>
        </w:tc>
      </w:tr>
    </w:tbl>
    <w:p/>
    <w:p>
      <w:r>
        <w:rPr>
          <w:b w:val="0"/>
          <w:i/>
        </w:rPr>
        <w:t>À livrer : infrastructure déployée, chiffrement et rôles applicatifs, capture de la supervision, vidéo de l'infrastructure en production. Les diagrammes C4 et le code d'infrastructure existent déjà. Évaluation : lecture 20 min, présentation 5 min, questions 15 min.</w:t>
      </w:r>
    </w:p>
    <w:p>
      <w:r>
        <w:br w:type="page"/>
      </w:r>
    </w:p>
    <w:p>
      <w:pPr>
        <w:pStyle w:val="Heading1"/>
      </w:pPr>
      <w:r>
        <w:t>6. Bloc 3 - Pipelines de données pour l'IA</w:t>
      </w:r>
    </w:p>
    <w:p>
      <w:r>
        <w:rPr>
          <w:b w:val="0"/>
          <w:i/>
        </w:rPr>
        <w:t>Ce que le projet impose : trois sources publiques de formats et de fréquences différents, des volumétries séparées par plus de deux ordres de grandeur, la réconciliation de trois nomenclatures indépendantes.</w:t>
      </w:r>
    </w:p>
    <w:p>
      <w:r>
        <w:rPr>
          <w:b/>
          <w:i w:val="0"/>
        </w:rPr>
        <w:t>Ingestion : trois connecteurs sur mesure, les connecteurs génériques étant inadaptés à ces sources publiques françaises.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Connecteur</w:t>
            </w:r>
          </w:p>
        </w:tc>
        <w:tc>
          <w:tcPr>
            <w:tcW w:type="dxa" w:w="2880"/>
          </w:tcPr>
          <w:p>
            <w:r/>
            <w:r>
              <w:rPr>
                <w:b/>
              </w:rPr>
              <w:t>Mode d'accès</w:t>
            </w:r>
          </w:p>
        </w:tc>
        <w:tc>
          <w:tcPr>
            <w:tcW w:type="dxa" w:w="2880"/>
          </w:tcPr>
          <w:p>
            <w:r/>
            <w:r>
              <w:rPr>
                <w:b/>
              </w:rPr>
              <w:t>Fréquence</w:t>
            </w:r>
          </w:p>
        </w:tc>
      </w:tr>
      <w:tr>
        <w:tc>
          <w:tcPr>
            <w:tcW w:type="dxa" w:w="2880"/>
          </w:tcPr>
          <w:p>
            <w:r/>
            <w:r>
              <w:t>Parcoursup</w:t>
            </w:r>
          </w:p>
        </w:tc>
        <w:tc>
          <w:tcPr>
            <w:tcW w:type="dxa" w:w="2880"/>
          </w:tcPr>
          <w:p>
            <w:r/>
            <w:r>
              <w:t>API du portail de données ouvertes, huit millésimes</w:t>
            </w:r>
          </w:p>
        </w:tc>
        <w:tc>
          <w:tcPr>
            <w:tcW w:type="dxa" w:w="2880"/>
          </w:tcPr>
          <w:p>
            <w:r/>
            <w:r>
              <w:t>Annuelle, fin de campagne</w:t>
            </w:r>
          </w:p>
        </w:tc>
      </w:tr>
      <w:tr>
        <w:tc>
          <w:tcPr>
            <w:tcW w:type="dxa" w:w="2880"/>
          </w:tcPr>
          <w:p>
            <w:r/>
            <w:r>
              <w:t>Sirene</w:t>
            </w:r>
          </w:p>
        </w:tc>
        <w:tc>
          <w:tcPr>
            <w:tcW w:type="dxa" w:w="2880"/>
          </w:tcPr>
          <w:p>
            <w:r/>
            <w:r>
              <w:t>Catalogue data.gouv.fr, fichiers Parquet dont les adresses changent chaque mois</w:t>
            </w:r>
          </w:p>
        </w:tc>
        <w:tc>
          <w:tcPr>
            <w:tcW w:type="dxa" w:w="2880"/>
          </w:tcPr>
          <w:p>
            <w:r/>
            <w:r>
              <w:t>Mensuelle</w:t>
            </w:r>
          </w:p>
        </w:tc>
      </w:tr>
      <w:tr>
        <w:tc>
          <w:tcPr>
            <w:tcW w:type="dxa" w:w="2880"/>
          </w:tcPr>
          <w:p>
            <w:r/>
            <w:r>
              <w:t>Référentiels ONISEP, IDEO, RNCP</w:t>
            </w:r>
          </w:p>
        </w:tc>
        <w:tc>
          <w:tcPr>
            <w:tcW w:type="dxa" w:w="2880"/>
          </w:tcPr>
          <w:p>
            <w:r/>
            <w:r>
              <w:t>Téléchargement versionné</w:t>
            </w:r>
          </w:p>
        </w:tc>
        <w:tc>
          <w:tcPr>
            <w:tcW w:type="dxa" w:w="2880"/>
          </w:tcPr>
          <w:p>
            <w:r/>
            <w:r>
              <w:t>Sur publication</w:t>
            </w:r>
          </w:p>
        </w:tc>
      </w:tr>
    </w:tbl>
    <w:p>
      <w:r>
        <w:rPr>
          <w:b w:val="0"/>
          <w:i w:val="0"/>
        </w:rPr>
        <w:t>Les connecteurs sont idempotents et écrivent de façon atomique : un fichier déjà présent n'est pas retéléchargé, une interruption ne laisse jamais un fichier tronqué que le pipeline croirait complet.</w:t>
      </w:r>
    </w:p>
    <w:p>
      <w:r>
        <w:rPr>
          <w:b/>
          <w:i w:val="0"/>
        </w:rPr>
        <w:t>Transformation : deux chaînes distinctes, en cohérence avec les ordres de grandeur.</w:t>
      </w:r>
    </w:p>
    <w:p>
      <w:pPr>
        <w:pStyle w:val="ListBullet"/>
      </w:pPr>
      <w:r>
        <w:t>Chaîne de décision, mono-nœud (Polars puis dbt) : réconciliation des huit millésimes Parcoursup, nettoyage, construction des cellules d'observation. De l'ordre de la centaine de mégaoctets.</w:t>
      </w:r>
    </w:p>
    <w:p>
      <w:pPr>
        <w:pStyle w:val="ListBullet"/>
      </w:pPr>
      <w:r>
        <w:t>Chaîne de volume, agrégation Sirene par commune et secteur, dynamique des créations et cessations sur dix ans, élargissement au bassin d'emploi. De l'ordre de la dizaine de gigaoctets. Deux moteurs testés contre le même résultat : Polars en usage courant, PySpark branché en mode cluster.</w:t>
      </w:r>
    </w:p>
    <w:p>
      <w:r>
        <w:rPr>
          <w:b w:val="0"/>
          <w:i w:val="0"/>
        </w:rPr>
        <w:t>Le nettoyage de Sirene conditionne la faisabilité : les 43,9 millions de lignes ne sont jamais nettoyées ligne à ligne. Le format Parquet range les données par colonne ; je n'en lis que neuf sur cinquante-quatre, et le filtre (actifs, employeurs, diffusibles) s'applique dès la lecture du fichier. Le volume est réduit avant toute transformation, et les contrôles qualité portent ensuite sur des agrégats de quelques centaines de milliers de lignes, inspectables.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mesurer avant de choisir le moteur de la chaîne de volume</w:t>
            </w:r>
          </w:p>
          <w:p>
            <w:r>
              <w:t>Quelques dizaines de milliers de formations (82 Mo sur disque) ne justifient pas un cluster distribué : la chaîne de décision reste en mono-nœud, sans débat.</w:t>
            </w:r>
          </w:p>
          <w:p>
            <w:r>
              <w:t>Pour la chaîne de volume, j'ai mesuré plutôt que décidé par principe. Sur Sirene complet (43 896 818 lignes, 54 colonnes réduites à 9), même filtre, même regroupement en 1 929 179 cellules : Polars traite le fichier en 18,2 secondes, PySpark en 87,0 secondes (JVM comprise) — Spark est 4,8 fois plus lent, pour un résultat identique.</w:t>
            </w:r>
          </w:p>
          <w:p>
            <w:r>
              <w:t>Un des quatre fichiers Sirene retenus, l'historique des établissements, compte à lui seul 95 865 102 lignes, republié chaque mois : une fusion future changerait d'ordre de grandeur. Le job Spark est donc implémenté, testé (même résultat que Polars) et branché en mode cluster, prêt sans réécriture. Seuil de bascule : fusion de plusieurs fichiers Sirene, ou calcul qui ne tiendrait plus en mémoire sur un poste de développement. Tant que ce seuil n'est pas franchi, Polars reste le chemin réel.</w:t>
            </w:r>
          </w:p>
        </w:tc>
      </w:tr>
    </w:tbl>
    <w:p/>
    <w:p>
      <w:r>
        <w:rPr>
          <w:b/>
          <w:i w:val="0"/>
        </w:rPr>
        <w:t>Réconciliation des nomenclatures : le cœur de la difficulté technique. Trois nomenclatures indépendantes à mettre en correspondance.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Nomenclature</w:t>
            </w:r>
          </w:p>
        </w:tc>
        <w:tc>
          <w:tcPr>
            <w:tcW w:type="dxa" w:w="2880"/>
          </w:tcPr>
          <w:p>
            <w:r/>
            <w:r>
              <w:rPr>
                <w:b/>
              </w:rPr>
              <w:t>Origine</w:t>
            </w:r>
          </w:p>
        </w:tc>
        <w:tc>
          <w:tcPr>
            <w:tcW w:type="dxa" w:w="2880"/>
          </w:tcPr>
          <w:p>
            <w:r/>
            <w:r>
              <w:rPr>
                <w:b/>
              </w:rPr>
              <w:t>Rôle</w:t>
            </w:r>
          </w:p>
        </w:tc>
      </w:tr>
      <w:tr>
        <w:tc>
          <w:tcPr>
            <w:tcW w:type="dxa" w:w="2880"/>
          </w:tcPr>
          <w:p>
            <w:r/>
            <w:r>
              <w:t>NAF</w:t>
            </w:r>
          </w:p>
        </w:tc>
        <w:tc>
          <w:tcPr>
            <w:tcW w:type="dxa" w:w="2880"/>
          </w:tcPr>
          <w:p>
            <w:r/>
            <w:r>
              <w:t>Sirene (INSEE)</w:t>
            </w:r>
          </w:p>
        </w:tc>
        <w:tc>
          <w:tcPr>
            <w:tcW w:type="dxa" w:w="2880"/>
          </w:tcPr>
          <w:p>
            <w:r/>
            <w:r>
              <w:t>Activité économique des établissements</w:t>
            </w:r>
          </w:p>
        </w:tc>
      </w:tr>
      <w:tr>
        <w:tc>
          <w:tcPr>
            <w:tcW w:type="dxa" w:w="2880"/>
          </w:tcPr>
          <w:p>
            <w:r/>
            <w:r>
              <w:t>ROME</w:t>
            </w:r>
          </w:p>
        </w:tc>
        <w:tc>
          <w:tcPr>
            <w:tcW w:type="dxa" w:w="2880"/>
          </w:tcPr>
          <w:p>
            <w:r/>
            <w:r>
              <w:t>Référentiels métiers français</w:t>
            </w:r>
          </w:p>
        </w:tc>
        <w:tc>
          <w:tcPr>
            <w:tcW w:type="dxa" w:w="2880"/>
          </w:tcPr>
          <w:p>
            <w:r/>
            <w:r>
              <w:t>Métier</w:t>
            </w:r>
          </w:p>
        </w:tc>
      </w:tr>
      <w:tr>
        <w:tc>
          <w:tcPr>
            <w:tcW w:type="dxa" w:w="2880"/>
          </w:tcPr>
          <w:p>
            <w:r/>
            <w:r>
              <w:t>Codes formation</w:t>
            </w:r>
          </w:p>
        </w:tc>
        <w:tc>
          <w:tcPr>
            <w:tcW w:type="dxa" w:w="2880"/>
          </w:tcPr>
          <w:p>
            <w:r/>
            <w:r>
              <w:t>Parcoursup, RNCP, ONISEP</w:t>
            </w:r>
          </w:p>
        </w:tc>
        <w:tc>
          <w:tcPr>
            <w:tcW w:type="dxa" w:w="2880"/>
          </w:tcPr>
          <w:p>
            <w:r/>
            <w:r>
              <w:t>Offre de formation</w:t>
            </w:r>
          </w:p>
        </w:tc>
      </w:tr>
    </w:tbl>
    <w:p>
      <w:r>
        <w:rPr>
          <w:b w:val="0"/>
          <w:i w:val="0"/>
        </w:rPr>
        <w:t>Cette table conditionne la qualité du terme de débouchés : sans elle, impossible de savoir s'il existe des employeurs du secteur en face d'une formation. Elle est construite, versionnée, testée. Sa couverture, jusqu'à la NAF, est mesurée : 61,4 % des formations ONISEP portant un code RNCP sont rattachées à une division NAF. Mais aucun des huit millésimes Parcoursup ne porte de code RNCP, NSF ou ROME : la chaîne relie ONISEP à la NAF, pas les formations Parcoursup elles-mêmes. Le seul rapprochement mesuré entre les deux, un appariement textuel des libellés, ne couvre que 7 libellés sur 712, soit 6 017 lignes sur 440 030 (1,4 %) — sept diplômes d'État très normés, relus à la main. Pour les 98,6 % restants, le terme de débouchés est marqué indisponible, jamais mis à zéro en silence.</w:t>
      </w:r>
    </w:p>
    <w:p>
      <w:r>
        <w:rPr>
          <w:b/>
          <w:i w:val="0"/>
        </w:rPr>
        <w:t>Automatisation, qualité et supervision.</w:t>
      </w:r>
    </w:p>
    <w:p>
      <w:r>
        <w:rPr>
          <w:b w:val="0"/>
          <w:i w:val="0"/>
        </w:rPr>
        <w:t>Les contrôles qualité portent sur le schéma, la complétude et la cohérence (schémas Pandera pour Parcoursup, compteurs écrits à la main pour Sirene et les référentiels — Great Expectations écarté après mesure de son coût, inutile ici) : un taux hors intervalle, un effectif incohérent ou un millésime manquant bloquent la mise à jour, vérifié par une exécution réelle et un scénario de panne rejouable. Sans ce blocage, une donnée corrompue se propage jusqu'au modèle sans que personne ne le voie. La couche de volume ne contient par construction aucune donnée personnelle.</w:t>
      </w:r>
    </w:p>
    <w:p>
      <w:r>
        <w:rPr>
          <w:b w:val="0"/>
          <w:i w:val="0"/>
        </w:rPr>
        <w:t>Airflow orchestre la chaîne : quatre DAG, un par cadence réelle (annuelle, mensuelle, quotidienne, plus un DAG de purge), treize tâches au total. La reprise sur erreur est décidée en code plutôt que confiée au retry natif d'Airflow (désactivé) : erreur transitoire ou définitive, temporisation croissante, deux scénarios de panne rejouables. Le réentraînement et l'évaluation du modèle sont dans le graphe : le DAG annuel se termine par ces deux tâches, déclenchées après détection de dérive, derrière le même contrôle qualité bloquant. Une porte de promotion refuse de publier un modèle réentraîné qui ne bat pas strictement le plancher en test — à ce jour, elle refuse, pour la raison détaillée au bloc 4. La supervision du pipeline lui-même reste à ajouter ; les alertes écrites aujourd'hui portent sur le service d'inférence.</w:t>
      </w:r>
    </w:p>
    <w:p>
      <w:r>
        <w:rPr>
          <w:b w:val="0"/>
          <w:i/>
        </w:rPr>
        <w:t>À livrer : capture vidéo du pipeline en production, avec panne et reprise. Le diagramme et le code sont déjà sur le dépôt. Évaluation : lecture 20 min, présentation 5 min, questions 15 min.</w:t>
      </w:r>
    </w:p>
    <w:p>
      <w:r>
        <w:br w:type="page"/>
      </w:r>
    </w:p>
    <w:p>
      <w:pPr>
        <w:pStyle w:val="Heading1"/>
      </w:pPr>
      <w:r>
        <w:t>7. Bloc 4 - Déploiement de la solution IA</w:t>
      </w:r>
    </w:p>
    <w:p>
      <w:r>
        <w:rPr>
          <w:b w:val="0"/>
          <w:i/>
        </w:rPr>
        <w:t>Ce que le projet impose : une décision automatisée à fort enjeu, une explicabilité de droit et non de confort, des données sujettes à dérive, un environnement de production.</w:t>
      </w:r>
    </w:p>
    <w:p>
      <w:r>
        <w:rPr>
          <w:b/>
          <w:i w:val="0"/>
        </w:rPr>
        <w:t>Composition du score et rôle de chaque source.</w:t>
      </w:r>
    </w:p>
    <w:p>
      <w:r>
        <w:rPr>
          <w:b w:val="0"/>
          <w:i w:val="0"/>
        </w:rPr>
        <w:t>La recommandation combine trois termes. Un seul est appris ; les deux autres reposent sur des règles et des agrégats. C'est un choix d'architecte : je n'apprends que ce qui ne peut pas être établi autrement.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 du calcul</w:t>
            </w:r>
          </w:p>
        </w:tc>
      </w:tr>
      <w:tr>
        <w:tc>
          <w:tcPr>
            <w:tcW w:type="dxa" w:w="2160"/>
          </w:tcPr>
          <w:p>
            <w:r/>
            <w:r>
              <w:t>Affinité</w:t>
            </w:r>
          </w:p>
        </w:tc>
        <w:tc>
          <w:tcPr>
            <w:tcW w:type="dxa" w:w="2160"/>
          </w:tcPr>
          <w:p>
            <w:r/>
            <w:r>
              <w:t>Cela correspond-il aux centres d'intérêt du candidat ?</w:t>
            </w:r>
          </w:p>
        </w:tc>
        <w:tc>
          <w:tcPr>
            <w:tcW w:type="dxa" w:w="2160"/>
          </w:tcPr>
          <w:p>
            <w:r/>
            <w:r>
              <w:t>Intérêts déclarés, référentiels de domaines</w:t>
            </w:r>
          </w:p>
        </w:tc>
        <w:tc>
          <w:tcPr>
            <w:tcW w:type="dxa" w:w="2160"/>
          </w:tcPr>
          <w:p>
            <w:r/>
            <w:r>
              <w:t>Règles et pondérations métier. Aucun apprentissage, aucune donnée stockée.</w:t>
            </w:r>
          </w:p>
        </w:tc>
      </w:tr>
      <w:tr>
        <w:tc>
          <w:tcPr>
            <w:tcW w:type="dxa" w:w="2160"/>
          </w:tcPr>
          <w:p>
            <w:r/>
            <w:r>
              <w:t>Accessibilité</w:t>
            </w:r>
          </w:p>
        </w:tc>
        <w:tc>
          <w:tcPr>
            <w:tcW w:type="dxa" w:w="2160"/>
          </w:tcPr>
          <w:p>
            <w:r/>
            <w:r>
              <w:t>Le candidat a-t-il une chance d'être admis ?</w:t>
            </w:r>
          </w:p>
        </w:tc>
        <w:tc>
          <w:tcPr>
            <w:tcW w:type="dxa" w:w="2160"/>
          </w:tcPr>
          <w:p>
            <w:r/>
            <w:r>
              <w:t>Parcoursup, huit millésimes bruts, six exploitables (2020-2025)</w:t>
            </w:r>
          </w:p>
        </w:tc>
        <w:tc>
          <w:tcPr>
            <w:tcW w:type="dxa" w:w="2160"/>
          </w:tcPr>
          <w:p>
            <w:r/>
            <w:r>
              <w:t>Modèle appris (LightGBM, tracé dans MLflow). Explicabilité SHAP produite, mais le modèle ne bat pas son plancher en test (détail plus bas).</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Aucun apprentissage.</w:t>
            </w:r>
          </w:p>
        </w:tc>
      </w:tr>
    </w:tbl>
    <w:p>
      <w:r>
        <w:rPr>
          <w:b w:val="0"/>
          <w:i w:val="0"/>
        </w:rPr>
        <w:t>Les trois termes se multiplient, module testé : un terme nul supprime la recommandation, vérifié pour les trois termes séparément. Une somme pondérée ne donnerait pas cette garantie.</w:t>
      </w:r>
    </w:p>
    <w:p>
      <w:r>
        <w:rPr>
          <w:b w:val="0"/>
          <w:i w:val="0"/>
        </w:rPr>
        <w:t>Le terme de débouchés répond à la première cause identifiée en 1.2, le manque d'information sur les débouchés : ce n'est pas une variable ajoutée, c'est une dimension de la décision. Sa couverture réelle est faible et mesurée : 6 017 lignes sur 440 030 (1,4 %) seulement ont un appariement vérifié entre une formation Parcoursup et une activité économique, faute de code RNCP, NSF ou ROME porté par Parcoursup lui-même (section 6). Pour les autres lignes, le terme est marqué indisponible. Pour la même raison, les variables Sirene n'ont jamais pu entrer dans le modèle d'accessibilité : l'hypothèse d'un effet de la densité d'employeurs sur la sélectivité reste non testée, pas infirmée. Voir l'ablation en fin de section.</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n'apprendre qu'un seul composant</w:t>
            </w:r>
          </w:p>
          <w:p>
            <w:r>
              <w:t>L'affinité est une préférence exprimée par le candidat lui-même : rien à prédire, la valeur est dans la requête, la pondération relève de règles arbitrées avec des conseillers d'orientation.</w:t>
            </w:r>
          </w:p>
          <w:p>
            <w:r>
              <w:t>Les débouchés sont un dénombrement : la densité d'employeurs d'un secteur se calcule exactement depuis Sirene ; en faire une prédiction n'ajouterait rien et retirerait de la transparence.</w:t>
            </w:r>
          </w:p>
          <w:p>
            <w:r>
              <w:t>L'accessibilité, elle, doit être apprise : elle dépend d'une combinaison de facteurs (sélectivité historique, capacité, tension, territoire, profil du candidat) qu'aucune table ne décrit. C'est le seul endroit où un modèle apporte ce qu'une règle ne peut pas produire.</w:t>
            </w:r>
          </w:p>
        </w:tc>
      </w:tr>
    </w:tbl>
    <w:p/>
    <w:p>
      <w:r>
        <w:rPr>
          <w:b w:val="0"/>
          <w:i w:val="0"/>
        </w:rPr>
        <w:t>Algorithme : le modèle d'accessibilité est un gradient boosting (LightGBM) entraîné sur les résultats d'admission publiés, tracé dans MLflow. Je le préfère à un réseau de neurones : les variables sont tabulaires, l'inférence doit rester légère, et les valeurs de Shapley y sont exactes. Il est couplé à SHAP, qui donne pour chaque recommandation les facteurs déterminants — exigé par l'AI Act et le droit à explication du RGPD. L'axiome d'efficacité de SHAP est vérifié à 2,1 × 10⁻¹⁵ près sur le modèle réel et par un test indépendant sur un modèle jouet ; le précalcul complet (440 030 cellules, 8,3 minutes, 99,8 Mo) alimente la route /explain de l'API.</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apprendre sur les données publiques plutôt que sur le comportement des utilisateurs</w:t>
            </w:r>
          </w:p>
          <w:p>
            <w:r>
              <w:t>EduMatch démarre et n'a aucun historique d'usage : c'est le problème classique du démarrage à froid, impossible d'apprendre sur un comportement qui n'existe pas encore.</w:t>
            </w:r>
          </w:p>
          <w:p>
            <w:r>
              <w:t>La réponse retenue : apprendre la partie prédictive sur des données publiques déjà là, et traiter le reste par des règles et des taux observés. Les résultats Parcoursup donnent exactement l'information recherchée, publiée chaque année depuis 2018.</w:t>
            </w:r>
          </w:p>
          <w:p>
            <w:r>
              <w:t>Conséquence favorable : le seul composant appris repose sur un label observé et vérifiable, pas sur un indicateur de substitution — le modèle est évaluable honnêtement dès la première campagne.</w:t>
            </w:r>
          </w:p>
        </w:tc>
      </w:tr>
    </w:tbl>
    <w:p/>
    <w:p>
      <w:r>
        <w:rPr>
          <w:b w:val="0"/>
          <w:i w:val="0"/>
        </w:rPr>
        <w:t>Le chatbot RAG, brique secondaire, est réécrit pour ce projet plutôt que repris du MVP : il restitue en langue naturelle, avec citation des sources officielles, ce qui fonde une recommandation, sans faire partie du dispositif de réentraînement du modèle d'accessibilité. Le corpus (7 403 documents ONISEP) est indexé par recherche lexicale (TF-IDF) plutôt que par embeddings et base vectorielle, écartés faute de volume qui en justifierait le coût ; la citation est garantie par construction, puisque la liste des sources vient des documents retrouvés avant l'appel au modèle de langage, jamais de ce que celui-ci prétend avoir lu. Les briques du MVP (CamemBERT, FAISS, LangChain, Mistral-small) ne sont pas reprises.</w:t>
      </w:r>
    </w:p>
    <w:p>
      <w:r>
        <w:rPr>
          <w:b/>
          <w:i w:val="0"/>
        </w:rPr>
        <w:t>Cible, protocole et équité du modèle d'accessibilité.</w:t>
      </w:r>
    </w:p>
    <w:p>
      <w:r>
        <w:rPr>
          <w:b w:val="0"/>
          <w:i w:val="0"/>
        </w:rPr>
        <w:t>L'unité d'observation est la cellule : formation × session × type de bac × statut de boursier. La cible est le taux d'admission observé de cette cellule, rapport entre propositions d'admission et vœux en phase principale — deux grandeurs publiées.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Élément</w:t>
            </w:r>
          </w:p>
        </w:tc>
        <w:tc>
          <w:tcPr>
            <w:tcW w:type="dxa" w:w="4320"/>
          </w:tcPr>
          <w:p>
            <w:r/>
            <w:r>
              <w:rPr>
                <w:b/>
              </w:rPr>
              <w:t>Valeur retenue</w:t>
            </w:r>
          </w:p>
        </w:tc>
      </w:tr>
      <w:tr>
        <w:tc>
          <w:tcPr>
            <w:tcW w:type="dxa" w:w="4320"/>
          </w:tcPr>
          <w:p>
            <w:r/>
            <w:r>
              <w:t>Cible</w:t>
            </w:r>
          </w:p>
        </w:tc>
        <w:tc>
          <w:tcPr>
            <w:tcW w:type="dxa" w:w="4320"/>
          </w:tcPr>
          <w:p>
            <w:r/>
            <w:r>
              <w:t>Taux d'admission observé, dans [0, 1]. Mesuré et publié, ni simulé ni dérivé d'un indicateur de substitution</w:t>
            </w:r>
          </w:p>
        </w:tc>
      </w:tr>
      <w:tr>
        <w:tc>
          <w:tcPr>
            <w:tcW w:type="dxa" w:w="4320"/>
          </w:tcPr>
          <w:p>
            <w:r/>
            <w:r>
              <w:t>Volumétrie</w:t>
            </w:r>
          </w:p>
        </w:tc>
        <w:tc>
          <w:tcPr>
            <w:tcW w:type="dxa" w:w="4320"/>
          </w:tcPr>
          <w:p>
            <w:r/>
            <w:r>
              <w:t>77 159 cellules pour la session 2025 ; 440 030 observations sur les six sessions où le label est calculable (2020-2025)</w:t>
            </w:r>
          </w:p>
        </w:tc>
      </w:tr>
      <w:tr>
        <w:tc>
          <w:tcPr>
            <w:tcW w:type="dxa" w:w="4320"/>
          </w:tcPr>
          <w:p>
            <w:r/>
            <w:r>
              <w:t>Pondération</w:t>
            </w:r>
          </w:p>
        </w:tc>
        <w:tc>
          <w:tcPr>
            <w:tcW w:type="dxa" w:w="4320"/>
          </w:tcPr>
          <w:p>
            <w:r/>
            <w:r>
              <w:t>Chaque observation pondérée par l'effectif de la cellule : une cellule de trois candidats porte un taux bruité, une cellule de cinq cents une information fiable</w:t>
            </w:r>
          </w:p>
        </w:tc>
      </w:tr>
      <w:tr>
        <w:tc>
          <w:tcPr>
            <w:tcW w:type="dxa" w:w="4320"/>
          </w:tcPr>
          <w:p>
            <w:r/>
            <w:r>
              <w:t>Séparation</w:t>
            </w:r>
          </w:p>
        </w:tc>
        <w:tc>
          <w:tcPr>
            <w:tcW w:type="dxa" w:w="4320"/>
          </w:tcPr>
          <w:p>
            <w:r/>
            <w:r>
              <w:t>Strictement temporelle : entraînement 2020-2023 (286 463 cellules), validation 2024 (76 408), test 2025 (77 159). Bornée aux six sessions où le label existe (le numérateur par type de bac n'est pas publié en 2018-2019). Une séparation aléatoire placerait la même formation de part et d'autre et produirait une fuite d'information</w:t>
            </w:r>
          </w:p>
        </w:tc>
      </w:tr>
      <w:tr>
        <w:tc>
          <w:tcPr>
            <w:tcW w:type="dxa" w:w="4320"/>
          </w:tcPr>
          <w:p>
            <w:r/>
            <w:r>
              <w:t>Référence obligatoire</w:t>
            </w:r>
          </w:p>
        </w:tc>
        <w:tc>
          <w:tcPr>
            <w:tcW w:type="dxa" w:w="4320"/>
          </w:tcPr>
          <w:p>
            <w:r/>
            <w:r>
              <w:t>Taux d'admission de la même cellule à la session précédente. Si le modèle ne bat pas cette référence, cela est rapporté</w:t>
            </w:r>
          </w:p>
        </w:tc>
      </w:tr>
    </w:tbl>
    <w:p>
      <w:r>
        <w:rPr>
          <w:b/>
          <w:i w:val="0"/>
        </w:rPr>
        <w:t>Résultat, rapporté tel quel : le modèle appris ne bat pas son plancher en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Métrique</w:t>
            </w:r>
          </w:p>
        </w:tc>
        <w:tc>
          <w:tcPr>
            <w:tcW w:type="dxa" w:w="2160"/>
          </w:tcPr>
          <w:p>
            <w:r/>
            <w:r>
              <w:rPr>
                <w:b/>
              </w:rPr>
              <w:t>Modèle (test 2025)</w:t>
            </w:r>
          </w:p>
        </w:tc>
        <w:tc>
          <w:tcPr>
            <w:tcW w:type="dxa" w:w="2160"/>
          </w:tcPr>
          <w:p>
            <w:r/>
            <w:r>
              <w:rPr>
                <w:b/>
              </w:rPr>
              <w:t>Plancher — taux session précédente (test 2025)</w:t>
            </w:r>
          </w:p>
        </w:tc>
        <w:tc>
          <w:tcPr>
            <w:tcW w:type="dxa" w:w="2160"/>
          </w:tcPr>
          <w:p>
            <w:r/>
            <w:r>
              <w:rPr>
                <w:b/>
              </w:rPr>
              <w:t>Verdict</w:t>
            </w:r>
          </w:p>
        </w:tc>
      </w:tr>
      <w:tr>
        <w:tc>
          <w:tcPr>
            <w:tcW w:type="dxa" w:w="2160"/>
          </w:tcPr>
          <w:p>
            <w:r/>
            <w:r>
              <w:t>MAE pondérée par l'effectif</w:t>
            </w:r>
          </w:p>
        </w:tc>
        <w:tc>
          <w:tcPr>
            <w:tcW w:type="dxa" w:w="2160"/>
          </w:tcPr>
          <w:p>
            <w:r/>
            <w:r>
              <w:t>0,0758</w:t>
            </w:r>
          </w:p>
        </w:tc>
        <w:tc>
          <w:tcPr>
            <w:tcW w:type="dxa" w:w="2160"/>
          </w:tcPr>
          <w:p>
            <w:r/>
            <w:r>
              <w:t>0,0701</w:t>
            </w:r>
          </w:p>
        </w:tc>
        <w:tc>
          <w:tcPr>
            <w:tcW w:type="dxa" w:w="2160"/>
          </w:tcPr>
          <w:p>
            <w:r/>
            <w:r>
              <w:t>le modèle perd</w:t>
            </w:r>
          </w:p>
        </w:tc>
      </w:tr>
      <w:tr>
        <w:tc>
          <w:tcPr>
            <w:tcW w:type="dxa" w:w="2160"/>
          </w:tcPr>
          <w:p>
            <w:r/>
            <w:r>
              <w:t>Erreur de calibration attendue (ECE, 10 tranches)</w:t>
            </w:r>
          </w:p>
        </w:tc>
        <w:tc>
          <w:tcPr>
            <w:tcW w:type="dxa" w:w="2160"/>
          </w:tcPr>
          <w:p>
            <w:r/>
            <w:r>
              <w:t>0,0371</w:t>
            </w:r>
          </w:p>
        </w:tc>
        <w:tc>
          <w:tcPr>
            <w:tcW w:type="dxa" w:w="2160"/>
          </w:tcPr>
          <w:p>
            <w:r/>
            <w:r>
              <w:t>0,0322</w:t>
            </w:r>
          </w:p>
        </w:tc>
        <w:tc>
          <w:tcPr>
            <w:tcW w:type="dxa" w:w="2160"/>
          </w:tcPr>
          <w:p>
            <w:r/>
            <w:r>
              <w:t>le modèle perd</w:t>
            </w:r>
          </w:p>
        </w:tc>
      </w:tr>
    </w:tbl>
    <w:p>
      <w:r>
        <w:rPr>
          <w:b w:val="0"/>
          <w:i w:val="0"/>
        </w:rPr>
        <w:t>En validation 2024, le modèle passait devant (0,0690 contre 0,0727 de MAE pondérée, 0,0030 contre 0,0141 d'ECE) ; en test 2025 il repasse derrière sur les deux métriques. La courbe d'apprentissage (10, 25, 50, 100 % du volume : 0,0758, 0,0723, 0,0705, 0,0698 de MAE pondérée en validation) montre que ce n'est pas un manque de données — le gain marginal se divise par deux à chaque doublement du volume — mais une dérive entre les sessions d'entraînement (2020-2023) et le test (2025). Le seuil à battre (0,0701 de MAE pondérée) a été écrit avant l'entraînement, et le résultat est rapporté tel qu'il est sorti. C'est ce résultat qui fonde l'avis défavorable du délégué à la protection des données sur la restitution de cette estimation à des candidats réels (section 4).</w:t>
      </w:r>
    </w:p>
    <w:p>
      <w:r>
        <w:rPr>
          <w:b w:val="0"/>
          <w:i w:val="0"/>
        </w:rPr>
        <w:t>Restitution : l'estimation est présentée comme une fréquence observée, pas une prédiction individuelle : « sur cent candidats avec votre profil ayant demandé cette formation, tel nombre a reçu une proposition ». Le modèle ne connaît ni les notes, ni les appréciations, ni la lettre de motivation, alors que la sélection s'appuie sur tout le dossier. Cette formulation figure dans l'écran de supervision et dans l'API, avec la mise en garde issue du résultat ci-dessus attachée à chaque score.</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exclure le genre du modèle, et pourquoi cela ne coûte rien</w:t>
            </w:r>
          </w:p>
          <w:p>
            <w:r>
              <w:t>Aucune variable de genre n'entre dans le modèle ; elle sert seulement à l'audit d'équité a posteriori. Les substituts possibles (établissement d'origine, académie) sont testés pour corrélation résiduelle.</w:t>
            </w:r>
          </w:p>
          <w:p>
            <w:r>
              <w:t>On objecte souvent qu'exclure une variable prédictive coûte de la précision. La mesure montre que non ici : sur les 11 099 formations recevant au moins trente vœux de chaque sexe, l'écart médian de taux d'admission entre femmes et hommes est nul, la moyenne inférieure à un demi-point, et il reste sous cinq points dans 83,8 pour cent des cas.</w:t>
            </w:r>
          </w:p>
          <w:p>
            <w:r>
              <w:t>La sélection s'appuie sur le dossier scolaire, pas sur le sexe : le genre agit sur le choix des formations demandées, pas sur la probabilité d'être admis une fois le vœu formulé. Même si un écart existait, l'utiliser serait exclu : ce serait une discrimination directe, et le système amplifierait la ségrégation en boucle.</w:t>
            </w:r>
          </w:p>
        </w:tc>
      </w:tr>
    </w:tbl>
    <w:p/>
    <w:p>
      <w:r>
        <w:rPr>
          <w:b w:val="0"/>
          <w:i w:val="0"/>
        </w:rPr>
        <w:t>Audit d'équité, sur les prédictions réelles du modèle, sur quatre dimensions : type de baccalauréat, statut de boursier, genre, territoire. La définition retenue — la calibration par groupe, un taux prédit de 60 % doit correspondre à un taux observé de 60 % dans chaque groupe — est déclarée avant la mesure, car elle est incompatible avec la parité démographique dès que les taux de base diffèrent entre groupes : un théorème d'impossibilité, pas un arbitrage de goût.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Indicateur</w:t>
            </w:r>
          </w:p>
        </w:tc>
        <w:tc>
          <w:tcPr>
            <w:tcW w:type="dxa" w:w="2880"/>
          </w:tcPr>
          <w:p>
            <w:r/>
            <w:r>
              <w:rPr>
                <w:b/>
              </w:rPr>
              <w:t>Formations à plus de 80 % de candidates femmes</w:t>
            </w:r>
          </w:p>
        </w:tc>
        <w:tc>
          <w:tcPr>
            <w:tcW w:type="dxa" w:w="2880"/>
          </w:tcPr>
          <w:p>
            <w:r/>
            <w:r>
              <w:rPr>
                <w:b/>
              </w:rPr>
              <w:t>Autres formations</w:t>
            </w:r>
          </w:p>
        </w:tc>
      </w:tr>
      <w:tr>
        <w:tc>
          <w:tcPr>
            <w:tcW w:type="dxa" w:w="2880"/>
          </w:tcPr>
          <w:p>
            <w:r/>
            <w:r>
              <w:t>Ratio d'impact disparate (modèle)</w:t>
            </w:r>
          </w:p>
        </w:tc>
        <w:tc>
          <w:tcPr>
            <w:tcW w:type="dxa" w:w="2880"/>
          </w:tcPr>
          <w:p>
            <w:r/>
            <w:r>
              <w:t>0,76 — sous le seuil des quatre cinquièmes (0,80)</w:t>
            </w:r>
          </w:p>
        </w:tc>
        <w:tc>
          <w:tcPr>
            <w:tcW w:type="dxa" w:w="2880"/>
          </w:tcPr>
          <w:p>
            <w:r/>
            <w:r>
              <w:t>—</w:t>
            </w:r>
          </w:p>
        </w:tc>
      </w:tr>
      <w:tr>
        <w:tc>
          <w:tcPr>
            <w:tcW w:type="dxa" w:w="2880"/>
          </w:tcPr>
          <w:p>
            <w:r/>
            <w:r>
              <w:t>Ratio d'impact disparate (plancher)</w:t>
            </w:r>
          </w:p>
        </w:tc>
        <w:tc>
          <w:tcPr>
            <w:tcW w:type="dxa" w:w="2880"/>
          </w:tcPr>
          <w:p>
            <w:r/>
            <w:r>
              <w:t>0,63</w:t>
            </w:r>
          </w:p>
        </w:tc>
        <w:tc>
          <w:tcPr>
            <w:tcW w:type="dxa" w:w="2880"/>
          </w:tcPr>
          <w:p>
            <w:r/>
            <w:r>
              <w:t>—</w:t>
            </w:r>
          </w:p>
        </w:tc>
      </w:tr>
      <w:tr>
        <w:tc>
          <w:tcPr>
            <w:tcW w:type="dxa" w:w="2880"/>
          </w:tcPr>
          <w:p>
            <w:r/>
            <w:r>
              <w:t>Erreur de calibration attendue (ECE)</w:t>
            </w:r>
          </w:p>
        </w:tc>
        <w:tc>
          <w:tcPr>
            <w:tcW w:type="dxa" w:w="2880"/>
          </w:tcPr>
          <w:p>
            <w:r/>
            <w:r>
              <w:t>0,066</w:t>
            </w:r>
          </w:p>
        </w:tc>
        <w:tc>
          <w:tcPr>
            <w:tcW w:type="dxa" w:w="2880"/>
          </w:tcPr>
          <w:p>
            <w:r/>
            <w:r>
              <w:t>0,032 à 0,034</w:t>
            </w:r>
          </w:p>
        </w:tc>
      </w:tr>
    </w:tbl>
    <w:p>
      <w:r>
        <w:rPr>
          <w:b w:val="0"/>
          <w:i w:val="0"/>
        </w:rPr>
        <w:t>Le système n'est pas équitable sur cette dimension, et ce résultat n'est pas atténué : il fait mieux que le plancher sur la sélection (0,76 contre 0,63) mais moins bien sur la calibration, où il sur-annonce les chances sur les formations très féminisées. L'établissement d'origine (28,9 % net d'information mutuelle) et la filière (19,5 % net) sont les substituts du genre les plus puissants : l'établissement est exclu du modèle pour cette raison et pour sa cardinalité, la filière est conservée car sa suppression détruirait la capacité du modèle à distinguer les formations. L'audit confirme qu'exclure des variables à l'entrée ne suffit pas : le dispositif repose sur trois niveaux — exclusion du genre, mesure des substituts, audit a posteriori. La dimension territoriale reste, à ce stade, non pénalisante.</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l'apport de chaque source est mesuré, non postulé</w:t>
            </w:r>
          </w:p>
          <w:p>
            <w:r>
              <w:t>Une étude d'ablation à sept variantes mesure ce que chaque bloc de variables apporte, sur la validation 2024. Retirer les 35 variables décalées (dont le taux de la session précédente) fait passer la MAE pondérée de 0,0698 à 0,1120 (+0,0422) — l'essentiel de la performance vient de connaître ce taux.</w:t>
            </w:r>
          </w:p>
          <w:p>
            <w:r>
              <w:t>Retirer les quatre substituts du genre encore présents (filière, sélectivité, département, académie) coûte seulement +0,0006 et ne répare pas l'équité : le ratio d'impact disparate du groupe le plus féminisé se dégrade légèrement (0,66 à 0,62), ce qui confirme que l'information sur le genre est diffuse, pas concentrée dans ces colonnes.</w:t>
            </w:r>
          </w:p>
          <w:p>
            <w:r>
              <w:t>L'apport de Sirene n'a pas pu être mesuré : la chaîne de nomenclatures ne relie aucune formation Parcoursup à une activité NAF par une clé fiable, Sirene n'est donc jamais entré dans la table de variables. Ce n'est pas un apport nul mesuré, c'est une limite du dispositif, déclarée plutôt que déguisée en mesure.</w:t>
            </w:r>
          </w:p>
        </w:tc>
      </w:tr>
    </w:tbl>
    <w:p/>
    <w:p>
      <w:r>
        <w:rPr>
          <w:b w:val="0"/>
          <w:i w:val="0"/>
        </w:rPr>
        <w:t>Intégration : le modèle est exposé par une API FastAPI conteneurisée (gestion des erreurs, authentification, limitation de débit, en-têtes de sécurité). Les recommandations alimentent l'écran de supervision des conseillers, qui répond à l'exigence de contrôle humain de l'article 14 : le conseiller revoit chaque recommandation, la contextualise avec le dossier réel de l'élève que le modèle ne connaît pas, et peut l'écarter en motivant sa décision — écartement bloqué côté client et côté serveur, vérifié par test. L'accessibilité RGAA de cet écran est couverte par des tests unitaires (structure sémantique, contraste WCAG, focus jamais supprimé) et par une procédure d'audit navigateur écrite, mais pas encore déroulée : aucun rapport d'audit n'existe à ce jour.</w:t>
      </w:r>
    </w:p>
    <w:p>
      <w:r>
        <w:rPr>
          <w:b w:val="0"/>
          <w:i w:val="0"/>
        </w:rPr>
        <w:t>CI/CD : trois workflows GitHub Actions sont écrits dans le second dépôt (intégration, construction et publication d'images étiquetées par le commit, déploiement délibéré et non automatique). Aucun n'a encore été exécuté : une première exécution reste à déclencher pour voir ce qu'un YAML jamais testé cache toujours. Le suivi d'expériences MLflow est en service (cinq exécutions tracées), et le registre de modèles porte une version (edumatch-accessibilite v1), sans stade ni alias : l'étiquette posée dessus déclare en clair qu'elle ne bat pas le plancher en test. Deux dépôts de code distincts existent, sans recouvrement : la solution IA et l'intégration-déploiement (36 fichiers : workflows, Terraform, manifestes Kubernetes, monitoring).</w:t>
      </w:r>
    </w:p>
    <w:p>
      <w:r>
        <w:rPr>
          <w:b w:val="0"/>
          <w:i w:val="0"/>
        </w:rPr>
        <w:t>Dérive, mesurée sur les données réelles : l'indice de stabilité de population (PSI) et le test de Kolmogorov-Smirnov sont calculés sur les six sessions où le label existe (2020-2025), pour trois familles — variables, cible, prédictions. Evidently a été écarté, conflit de dépendance avec un paquet dont FastAPI dépend déjà. Le seuil de 0,20 s'applique à la médiane du PSI plutôt qu'à son maximum, pour ne pas déclencher en permanence sur des colonnes instables sans rapport avec la performance. C'est l'un des quatre résultats défavorables du projet : à ce seuil, le PSI n'aurait pas signalé la dégradation observée entre validation et test — c'est une dérive du concept, la relation entre les variables et la cible change alors que la distribution des entrées bouge à peine, à laquelle un indice qui ne compare que des distributions marginales est aveugle par construction. Le réentraînement automatique reste à construire : la détection journalise un avertissement mais ne déclenche encore rien. Le monitoring en production (Prometheus, Grafana, SLO sur la latence p95 et la disponibilité) est écrit dans le second dépôt, mais n'a jamais tourné en production.</w:t>
      </w:r>
    </w:p>
    <w:p>
      <w:r>
        <w:rPr>
          <w:b w:val="0"/>
          <w:i/>
        </w:rPr>
        <w:t>À livrer : rapport d'audit RGAA exécuté, première exécution de la chaîne d'intégration capturée, un réentraînement qui bat le plancher pour que la porte de promotion publie une version, capture vidéo de la solution en production. La présentation, le dépôt n°1 (solution IA) et le dépôt n°2 (intégration et déploiement continus) existent déjà, avec du code réel et distinct.</w:t>
      </w:r>
    </w:p>
    <w:p>
      <w:r>
        <w:br w:type="page"/>
      </w:r>
    </w:p>
    <w:p>
      <w:pPr>
        <w:pStyle w:val="Heading1"/>
      </w:pPr>
      <w:r>
        <w:t>8. Synthèse des livrables et soutenance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Bloc</w:t>
            </w:r>
          </w:p>
        </w:tc>
        <w:tc>
          <w:tcPr>
            <w:tcW w:type="dxa" w:w="2880"/>
          </w:tcPr>
          <w:p>
            <w:r/>
            <w:r>
              <w:rPr>
                <w:b/>
              </w:rPr>
              <w:t>Livrables principaux</w:t>
            </w:r>
          </w:p>
        </w:tc>
        <w:tc>
          <w:tcPr>
            <w:tcW w:type="dxa" w:w="2880"/>
          </w:tcPr>
          <w:p>
            <w:r/>
            <w:r>
              <w:rPr>
                <w:b/>
              </w:rPr>
              <w:t>Évaluation</w:t>
            </w:r>
          </w:p>
        </w:tc>
      </w:tr>
      <w:tr>
        <w:tc>
          <w:tcPr>
            <w:tcW w:type="dxa" w:w="2880"/>
          </w:tcPr>
          <w:p>
            <w:r/>
            <w:r>
              <w:t>Bloc 1</w:t>
            </w:r>
          </w:p>
        </w:tc>
        <w:tc>
          <w:tcPr>
            <w:tcW w:type="dxa" w:w="2880"/>
          </w:tcPr>
          <w:p>
            <w:r/>
            <w:r>
              <w:t>Plan de gouvernance, analyse d'impact, Model Card, registre des sources, slides</w:t>
            </w:r>
          </w:p>
        </w:tc>
        <w:tc>
          <w:tcPr>
            <w:tcW w:type="dxa" w:w="2880"/>
          </w:tcPr>
          <w:p>
            <w:r/>
            <w:r>
              <w:t>Lecture 15 min, présentation 15 min, questions 15 min</w:t>
            </w:r>
          </w:p>
        </w:tc>
      </w:tr>
      <w:tr>
        <w:tc>
          <w:tcPr>
            <w:tcW w:type="dxa" w:w="2880"/>
          </w:tcPr>
          <w:p>
            <w:r/>
            <w:r>
              <w:t>Bloc 2</w:t>
            </w:r>
          </w:p>
        </w:tc>
        <w:tc>
          <w:tcPr>
            <w:tcW w:type="dxa" w:w="2880"/>
          </w:tcPr>
          <w:p>
            <w:r/>
            <w:r>
              <w:t>Diagrammes C4, code d'infrastructure, vidéo</w:t>
            </w:r>
          </w:p>
        </w:tc>
        <w:tc>
          <w:tcPr>
            <w:tcW w:type="dxa" w:w="2880"/>
          </w:tcPr>
          <w:p>
            <w:r/>
            <w:r>
              <w:t>Lecture 20 min, présentation 5 min, questions 15 min</w:t>
            </w:r>
          </w:p>
        </w:tc>
      </w:tr>
      <w:tr>
        <w:tc>
          <w:tcPr>
            <w:tcW w:type="dxa" w:w="2880"/>
          </w:tcPr>
          <w:p>
            <w:r/>
            <w:r>
              <w:t>Bloc 3</w:t>
            </w:r>
          </w:p>
        </w:tc>
        <w:tc>
          <w:tcPr>
            <w:tcW w:type="dxa" w:w="2880"/>
          </w:tcPr>
          <w:p>
            <w:r/>
            <w:r>
              <w:t>Diagramme de pipeline, code, vidéo</w:t>
            </w:r>
          </w:p>
        </w:tc>
        <w:tc>
          <w:tcPr>
            <w:tcW w:type="dxa" w:w="2880"/>
          </w:tcPr>
          <w:p>
            <w:r/>
            <w:r>
              <w:t>Lecture 20 min, présentation 5 min, questions 15 min</w:t>
            </w:r>
          </w:p>
        </w:tc>
      </w:tr>
      <w:tr>
        <w:tc>
          <w:tcPr>
            <w:tcW w:type="dxa" w:w="2880"/>
          </w:tcPr>
          <w:p>
            <w:r/>
            <w:r>
              <w:t>Bloc 4</w:t>
            </w:r>
          </w:p>
        </w:tc>
        <w:tc>
          <w:tcPr>
            <w:tcW w:type="dxa" w:w="2880"/>
          </w:tcPr>
          <w:p>
            <w:r/>
            <w:r>
              <w:t>Slides, dépôt n°1, dépôt n°2, vidéo</w:t>
            </w:r>
          </w:p>
        </w:tc>
        <w:tc>
          <w:tcPr>
            <w:tcW w:type="dxa" w:w="2880"/>
          </w:tcPr>
          <w:p>
            <w:r/>
            <w:r>
              <w:t>Présentation et questions devant le jury</w:t>
            </w:r>
          </w:p>
        </w:tc>
      </w:tr>
    </w:tbl>
    <w:p>
      <w:r>
        <w:rPr>
          <w:b w:val="0"/>
          <w:i w:val="0"/>
        </w:rPr>
        <w:t>Fil conducteur de la soutenance : partir des constats mesurés dans les données publiques — la ségrégation par le genre est massive alors que les femmes sont majoritaires parmi les admis, et l'accès reste inégal selon le baccalauréat. Puis dérouler la chaîne complète, de la gouvernance à la solution, en montrant que chaque source répond à une question précise et qu'un seul composant est appris, défendu par « X plutôt que Y parce que... ». Quatre résultats défavorables, mesurés et non atténués, structurent une part importante de cette défense : le modèle ne bat pas le taux de la session précédente en test (MAE pondérée 0,0758 contre 0,0701, ECE 0,0371 contre 0,0322), le ratio d'impact disparate sur les formations très féminisées est à 0,76, sous le seuil légal de 0,80, la couverture du terme de débouchés n'atteint que 1,4 % des lignes, et l'avis du délégué à la protection des données est scindé, défavorable à la restitution du terme appris à des candidats réels tant qu'il n'aura pas été corrigé. Chacun de ces résultats est mesuré, documenté et assumé, ce que je présente comme une garantie de rigueur plutôt qu'une faiblesse à minimiser.</w:t>
      </w:r>
    </w:p>
    <w:p>
      <w:pPr>
        <w:pStyle w:val="Heading1"/>
      </w:pPr>
      <w:r>
        <w:t>9. Relecture avant remise</w:t>
      </w:r>
    </w:p>
    <w:p>
      <w:r>
        <w:rPr>
          <w:b w:val="0"/>
          <w:i w:val="0"/>
        </w:rPr>
        <w:t>Avant de remettre ce dossier, j'ai relu chaque section pour vérifier que ce qui y est affirmé se retrouve dans le dépôt. La problématique s'appuie sur des chiffres recalculés à partir du fichier source. Chaque choix technique important est justifié sous la forme « X plutôt que Y parce que... », avec au moins une alternative écartée. Aucune donnée n'est simulée : toutes les sources sont publiques, réelles et sous licence vérifiée. Les quatre résultats défavorables du projet figurent dans le corps du texte, pas en annexe : la performance du modèle sous son plancher en test, le ratio d'impact disparate sous le seuil légal, la couverture du terme de débouchés à 1,4 %, l'avis scindé et défavorable du délégué à la protection des données sur le terme appris. Ce qui n'existe pas encore est écrit au futur : déploiement cloud réel, exécution de la chaîne d'intégration, panne filmée, vidéos de production.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