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Psychological Introduction to Elementary Biology</w:t>
      </w:r>
    </w:p>
    <w:p w:rsidR="00000000" w:rsidDel="00000000" w:rsidP="00000000" w:rsidRDefault="00000000" w:rsidRPr="00000000" w14:paraId="0000000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 the elementary years, biology lessons meet the child’s deep desire to classify, organize, and make sense of the natural world. At this stage of development, children are driven by curiosity and an expanding imagination; they want to know the "why" and "how" behind everything they encounter. Montessori biology lessons respond to this inner call by offering a framework for understanding life through </w:t>
      </w:r>
      <w:r w:rsidDel="00000000" w:rsidR="00000000" w:rsidRPr="00000000">
        <w:rPr>
          <w:rFonts w:ascii="Open Sans" w:cs="Open Sans" w:eastAsia="Open Sans" w:hAnsi="Open Sans"/>
          <w:b w:val="1"/>
          <w:bCs w:val="1"/>
          <w:rtl w:val="0"/>
        </w:rPr>
        <w:t xml:space="preserve">classification, observation, and exploration. </w:t>
      </w:r>
      <w:r w:rsidDel="00000000" w:rsidR="00000000" w:rsidRPr="00000000">
        <w:rPr>
          <w:rFonts w:ascii="Open Sans" w:cs="Open Sans" w:eastAsia="Open Sans" w:hAnsi="Open Sans"/>
          <w:rtl w:val="0"/>
        </w:rPr>
        <w:t xml:space="preserve">These lessons are not presented in isolation but as part of the greater Cosmic Education story, where each form of life has a role in the interconnected web of existence. By exploring the diversity and function of living things, children begin to see patterns, build knowledge systematically, and understand their place in a vast, interconnected universe.</w:t>
      </w:r>
    </w:p>
    <w:p w:rsidR="00000000" w:rsidDel="00000000" w:rsidP="00000000" w:rsidRDefault="00000000" w:rsidRPr="00000000" w14:paraId="00000003">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Before working with cards and nomenclature materials, children are first invited to observe, explore, and experiment with real plants, animals, and natural environments. </w:t>
      </w:r>
      <w:r w:rsidDel="00000000" w:rsidR="00000000" w:rsidRPr="00000000">
        <w:rPr>
          <w:rFonts w:ascii="Open Sans" w:cs="Open Sans" w:eastAsia="Open Sans" w:hAnsi="Open Sans"/>
          <w:rtl w:val="0"/>
        </w:rPr>
        <w:t xml:space="preserve">These sensory experiences are essential; they ground abstract knowledge in lived experience and awaken a sense of wonder. Through hands-on encounters with the natural world—watching ants build a trail, dissecting a flower, or comparing leaves—children become scientists. As they study interdependence and ecological relationships, they come to recognize the vital roles each organism plays, including themselves. This awareness nurtures a sense of responsibility and care. They don’t just learn about life; they begin to see themselves as stewards of the Earth, entrusted with preserving the harmony of life on our planet.</w:t>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