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line="256"/>
        <w:jc w:val="left"/>
      </w:pPr>
      <w:r>
        <w:rPr>
          <w:rFonts w:ascii="Times New Roman" w:cs="Times New Roman" w:eastAsia="Times New Roman" w:hAnsi="Times New Roman"/>
          <w:b/>
          <w:bCs/>
          <w:i w:val="false"/>
          <w:iCs w:val="false"/>
          <w:caps w:val="false"/>
          <w:color w:val="20262B"/>
          <w:sz w:val="34"/>
          <w:szCs w:val="34"/>
        </w:rPr>
        <w:t xml:space="preserve">Research Data Management</w:t>
      </w:r>
    </w:p>
    <w:p>
      <w:pPr>
        <w:pBdr>
          <w:bottom w:val="single" w:color="0F6E77" w:sz="20" w:space="12"/>
        </w:pBdr>
        <w:spacing w:after="50" w:before="0" w:line="256"/>
        <w:jc w:val="left"/>
      </w:pPr>
      <w:r>
        <w:rPr>
          <w:rFonts w:ascii="Times New Roman" w:cs="Times New Roman" w:eastAsia="Times New Roman" w:hAnsi="Times New Roman"/>
          <w:b w:val="false"/>
          <w:bCs w:val="false"/>
          <w:i/>
          <w:iCs/>
          <w:caps w:val="false"/>
          <w:color w:val="7A848C"/>
          <w:sz w:val="18"/>
          <w:szCs w:val="18"/>
        </w:rPr>
        <w:t xml:space="preserve">How our group structures, documents and shares research data across its lifecycle.</w:t>
      </w:r>
    </w:p>
    <w:p>
      <w:pPr>
        <w:spacing w:after="20" w:before="30" w:line="256"/>
        <w:jc w:val="left"/>
      </w:pPr>
      <w:r>
        <w:rPr>
          <w:rFonts w:ascii="Times New Roman" w:cs="Times New Roman" w:eastAsia="Times New Roman" w:hAnsi="Times New Roman"/>
          <w:b/>
          <w:bCs/>
          <w:i w:val="false"/>
          <w:iCs w:val="false"/>
          <w:caps/>
          <w:color w:val="9A5B2C"/>
          <w:spacing w:val="8"/>
          <w:sz w:val="13"/>
          <w:szCs w:val="13"/>
        </w:rPr>
        <w:t xml:space="preserve">v0.3</w:t>
      </w:r>
      <w:r>
        <w:rPr>
          <w:rFonts w:ascii="Times New Roman" w:cs="Times New Roman" w:eastAsia="Times New Roman" w:hAnsi="Times New Roman"/>
          <w:b w:val="false"/>
          <w:bCs w:val="false"/>
          <w:i/>
          <w:iCs/>
          <w:caps w:val="false"/>
          <w:color w:val="7A848C"/>
          <w:sz w:val="13"/>
          <w:szCs w:val="13"/>
        </w:rPr>
        <w:t xml:space="preserve">  ·  2026-09-07  ·  AG Heinze  ·  DRAFT for discussion — comments from Katharina &amp; Thomas incorporated; existing lab rules take precedence.</w:t>
      </w:r>
    </w:p>
    <w:p>
      <w:pPr>
        <w:spacing w:after="40" w:before="0" w:line="256"/>
        <w:jc w:val="left"/>
      </w:pPr>
      <w:r>
        <w:rPr>
          <w:rFonts w:ascii="Times New Roman" w:cs="Times New Roman" w:eastAsia="Times New Roman" w:hAnsi="Times New Roman"/>
          <w:b/>
          <w:bCs/>
          <w:i w:val="false"/>
          <w:iCs w:val="false"/>
          <w:caps w:val="false"/>
          <w:color w:val="20262B"/>
          <w:sz w:val="13"/>
          <w:szCs w:val="13"/>
        </w:rPr>
        <w:t xml:space="preserve">v0.3 changes:  </w:t>
      </w:r>
      <w:r>
        <w:rPr>
          <w:rFonts w:ascii="Times New Roman" w:cs="Times New Roman" w:eastAsia="Times New Roman" w:hAnsi="Times New Roman"/>
          <w:b w:val="false"/>
          <w:bCs w:val="false"/>
          <w:i/>
          <w:iCs/>
          <w:caps w:val="false"/>
          <w:color w:val="7A848C"/>
          <w:sz w:val="13"/>
          <w:szCs w:val="13"/>
        </w:rPr>
        <w:t xml:space="preserve">sample ID now created at project start (§1) · DATAFINDER clarified as the searchable face of the metadata (§3–4) · naming: use the sample ID, keep it short (§5) · new §7 on machine-readability, incl. eLabFTW export and a note on avoiding PDFs for data.</w:t>
      </w:r>
    </w:p>
    <w:p>
      <w:pPr>
        <w:pBdr>
          <w:bottom w:val="single" w:color="D8DCDF" w:sz="6" w:space="6"/>
        </w:pBdr>
        <w:spacing w:after="55" w:before="170" w:line="256"/>
        <w:jc w:val="left"/>
      </w:pPr>
      <w:r>
        <w:rPr>
          <w:rFonts w:ascii="Times New Roman" w:cs="Times New Roman" w:eastAsia="Times New Roman" w:hAnsi="Times New Roman"/>
          <w:b/>
          <w:bCs/>
          <w:i w:val="false"/>
          <w:iCs w:val="false"/>
          <w:caps w:val="false"/>
          <w:color w:val="0F6E77"/>
          <w:sz w:val="20"/>
          <w:szCs w:val="20"/>
        </w:rPr>
        <w:t xml:space="preserve">1   </w:t>
      </w:r>
      <w:r>
        <w:rPr>
          <w:rFonts w:ascii="Times New Roman" w:cs="Times New Roman" w:eastAsia="Times New Roman" w:hAnsi="Times New Roman"/>
          <w:b/>
          <w:bCs/>
          <w:i w:val="false"/>
          <w:iCs w:val="false"/>
          <w:caps w:val="false"/>
          <w:color w:val="20262B"/>
          <w:sz w:val="20"/>
          <w:szCs w:val="20"/>
        </w:rPr>
        <w:t xml:space="preserve">The principle — FAIR</w:t>
      </w:r>
    </w:p>
    <w:p>
      <w:pPr>
        <w:spacing w:after="80" w:before="0" w:line="256"/>
        <w:jc w:val="left"/>
      </w:pPr>
      <w:r>
        <w:rPr>
          <w:rFonts w:ascii="Times New Roman" w:cs="Times New Roman" w:eastAsia="Times New Roman" w:hAnsi="Times New Roman"/>
          <w:b w:val="false"/>
          <w:bCs w:val="false"/>
          <w:i/>
          <w:iCs/>
          <w:caps w:val="false"/>
          <w:color w:val="7A848C"/>
          <w:sz w:val="16"/>
          <w:szCs w:val="16"/>
        </w:rPr>
        <w:t xml:space="preserve">Everything below serves these four properties. They are the why; the rest is the how.</w:t>
      </w:r>
    </w:p>
    <w:tbl>
      <w:tblPr>
        <w:tblW w:type="dxa" w:w="10080"/>
        <w:tblBorders>
          <w:top w:val="none"/>
          <w:left w:val="none"/>
          <w:bottom w:val="none"/>
          <w:right w:val="none"/>
          <w:insideH w:val="none"/>
          <w:insideV w:val="none"/>
        </w:tblBorders>
      </w:tblPr>
      <w:tblGrid>
        <w:gridCol w:w="2452"/>
        <w:gridCol w:w="90"/>
        <w:gridCol w:w="2452"/>
        <w:gridCol w:w="90"/>
        <w:gridCol w:w="2452"/>
        <w:gridCol w:w="90"/>
        <w:gridCol w:w="2452"/>
      </w:tblGrid>
      <w:tr>
        <w:tc>
          <w:tcPr>
            <w:tcW w:type="dxa" w:w="2452"/>
            <w:tcBorders>
              <w:top w:val="none"/>
              <w:left w:val="none"/>
              <w:bottom w:val="single" w:color="0F6E77" w:sz="16"/>
              <w:right w:val="none"/>
            </w:tcBorders>
            <w:shd w:fill="F5F7F7" w:val="clear"/>
            <w:tcMar>
              <w:top w:type="dxa" w:w="120"/>
              <w:left w:type="dxa" w:w="120"/>
              <w:bottom w:type="dxa" w:w="120"/>
              <w:right w:type="dxa" w:w="120"/>
            </w:tcMar>
            <w:vAlign w:val="top"/>
          </w:tcPr>
          <w:p>
            <w:pPr>
              <w:spacing w:after="20" w:before="0" w:line="256"/>
              <w:jc w:val="left"/>
            </w:pPr>
            <w:r>
              <w:rPr>
                <w:rFonts w:ascii="Times New Roman" w:cs="Times New Roman" w:eastAsia="Times New Roman" w:hAnsi="Times New Roman"/>
                <w:b/>
                <w:bCs/>
                <w:i w:val="false"/>
                <w:iCs w:val="false"/>
                <w:caps w:val="false"/>
                <w:color w:val="0F6E77"/>
                <w:sz w:val="30"/>
                <w:szCs w:val="30"/>
              </w:rPr>
              <w:t xml:space="preserve">F</w:t>
            </w:r>
          </w:p>
          <w:p>
            <w:pPr>
              <w:spacing w:after="26" w:before="0" w:line="256"/>
              <w:jc w:val="left"/>
            </w:pPr>
            <w:r>
              <w:rPr>
                <w:rFonts w:ascii="Times New Roman" w:cs="Times New Roman" w:eastAsia="Times New Roman" w:hAnsi="Times New Roman"/>
                <w:b/>
                <w:bCs/>
                <w:i w:val="false"/>
                <w:iCs w:val="false"/>
                <w:caps/>
                <w:color w:val="20262B"/>
                <w:spacing w:val="6"/>
                <w:sz w:val="16"/>
                <w:szCs w:val="16"/>
              </w:rPr>
              <w:t xml:space="preserve">Findable</w:t>
            </w:r>
          </w:p>
          <w:p>
            <w:pPr>
              <w:spacing w:after="60" w:before="0" w:line="214"/>
              <w:jc w:val="left"/>
            </w:pPr>
            <w:r>
              <w:rPr>
                <w:rFonts w:ascii="Times New Roman" w:cs="Times New Roman" w:eastAsia="Times New Roman" w:hAnsi="Times New Roman"/>
                <w:b w:val="false"/>
                <w:bCs w:val="false"/>
                <w:i w:val="false"/>
                <w:iCs w:val="false"/>
                <w:caps w:val="false"/>
                <w:color w:val="3C454C"/>
                <w:sz w:val="13"/>
                <w:szCs w:val="13"/>
              </w:rPr>
              <w:t xml:space="preserve">Persistent IDs and rich metadata, so data can be located.</w:t>
            </w:r>
          </w:p>
        </w:tc>
        <w:tc>
          <w:tcPr>
            <w:tcW w:type="dxa" w:w="90"/>
            <w:tcBorders>
              <w:top w:val="none"/>
              <w:left w:val="none"/>
              <w:bottom w:val="none"/>
              <w:right w:val="none"/>
            </w:tcBorders>
            <w:tcMar>
              <w:top w:type="dxa" w:w="70"/>
              <w:left w:type="dxa" w:w="130"/>
              <w:bottom w:type="dxa" w:w="70"/>
              <w:right w:type="dxa" w:w="130"/>
            </w:tcMar>
            <w:vAlign w:val="top"/>
          </w:tcPr>
          <w:p/>
        </w:tc>
        <w:tc>
          <w:tcPr>
            <w:tcW w:type="dxa" w:w="2452"/>
            <w:tcBorders>
              <w:top w:val="none"/>
              <w:left w:val="none"/>
              <w:bottom w:val="single" w:color="0F6E77" w:sz="16"/>
              <w:right w:val="none"/>
            </w:tcBorders>
            <w:shd w:fill="F5F7F7" w:val="clear"/>
            <w:tcMar>
              <w:top w:type="dxa" w:w="120"/>
              <w:left w:type="dxa" w:w="120"/>
              <w:bottom w:type="dxa" w:w="120"/>
              <w:right w:type="dxa" w:w="120"/>
            </w:tcMar>
            <w:vAlign w:val="top"/>
          </w:tcPr>
          <w:p>
            <w:pPr>
              <w:spacing w:after="20" w:before="0" w:line="256"/>
              <w:jc w:val="left"/>
            </w:pPr>
            <w:r>
              <w:rPr>
                <w:rFonts w:ascii="Times New Roman" w:cs="Times New Roman" w:eastAsia="Times New Roman" w:hAnsi="Times New Roman"/>
                <w:b/>
                <w:bCs/>
                <w:i w:val="false"/>
                <w:iCs w:val="false"/>
                <w:caps w:val="false"/>
                <w:color w:val="0F6E77"/>
                <w:sz w:val="30"/>
                <w:szCs w:val="30"/>
              </w:rPr>
              <w:t xml:space="preserve">A</w:t>
            </w:r>
          </w:p>
          <w:p>
            <w:pPr>
              <w:spacing w:after="26" w:before="0" w:line="256"/>
              <w:jc w:val="left"/>
            </w:pPr>
            <w:r>
              <w:rPr>
                <w:rFonts w:ascii="Times New Roman" w:cs="Times New Roman" w:eastAsia="Times New Roman" w:hAnsi="Times New Roman"/>
                <w:b/>
                <w:bCs/>
                <w:i w:val="false"/>
                <w:iCs w:val="false"/>
                <w:caps/>
                <w:color w:val="20262B"/>
                <w:spacing w:val="6"/>
                <w:sz w:val="16"/>
                <w:szCs w:val="16"/>
              </w:rPr>
              <w:t xml:space="preserve">Accessible</w:t>
            </w:r>
          </w:p>
          <w:p>
            <w:pPr>
              <w:spacing w:after="60" w:before="0" w:line="214"/>
              <w:jc w:val="left"/>
            </w:pPr>
            <w:r>
              <w:rPr>
                <w:rFonts w:ascii="Times New Roman" w:cs="Times New Roman" w:eastAsia="Times New Roman" w:hAnsi="Times New Roman"/>
                <w:b w:val="false"/>
                <w:bCs w:val="false"/>
                <w:i w:val="false"/>
                <w:iCs w:val="false"/>
                <w:caps w:val="false"/>
                <w:color w:val="3C454C"/>
                <w:sz w:val="13"/>
                <w:szCs w:val="13"/>
              </w:rPr>
              <w:t xml:space="preserve">A clear licence and defined access conditions.</w:t>
            </w:r>
          </w:p>
        </w:tc>
        <w:tc>
          <w:tcPr>
            <w:tcW w:type="dxa" w:w="90"/>
            <w:tcBorders>
              <w:top w:val="none"/>
              <w:left w:val="none"/>
              <w:bottom w:val="none"/>
              <w:right w:val="none"/>
            </w:tcBorders>
            <w:tcMar>
              <w:top w:type="dxa" w:w="70"/>
              <w:left w:type="dxa" w:w="130"/>
              <w:bottom w:type="dxa" w:w="70"/>
              <w:right w:type="dxa" w:w="130"/>
            </w:tcMar>
            <w:vAlign w:val="top"/>
          </w:tcPr>
          <w:p/>
        </w:tc>
        <w:tc>
          <w:tcPr>
            <w:tcW w:type="dxa" w:w="2452"/>
            <w:tcBorders>
              <w:top w:val="none"/>
              <w:left w:val="none"/>
              <w:bottom w:val="single" w:color="0F6E77" w:sz="16"/>
              <w:right w:val="none"/>
            </w:tcBorders>
            <w:shd w:fill="F5F7F7" w:val="clear"/>
            <w:tcMar>
              <w:top w:type="dxa" w:w="120"/>
              <w:left w:type="dxa" w:w="120"/>
              <w:bottom w:type="dxa" w:w="120"/>
              <w:right w:type="dxa" w:w="120"/>
            </w:tcMar>
            <w:vAlign w:val="top"/>
          </w:tcPr>
          <w:p>
            <w:pPr>
              <w:spacing w:after="20" w:before="0" w:line="256"/>
              <w:jc w:val="left"/>
            </w:pPr>
            <w:r>
              <w:rPr>
                <w:rFonts w:ascii="Times New Roman" w:cs="Times New Roman" w:eastAsia="Times New Roman" w:hAnsi="Times New Roman"/>
                <w:b/>
                <w:bCs/>
                <w:i w:val="false"/>
                <w:iCs w:val="false"/>
                <w:caps w:val="false"/>
                <w:color w:val="0F6E77"/>
                <w:sz w:val="30"/>
                <w:szCs w:val="30"/>
              </w:rPr>
              <w:t xml:space="preserve">I</w:t>
            </w:r>
          </w:p>
          <w:p>
            <w:pPr>
              <w:spacing w:after="26" w:before="0" w:line="256"/>
              <w:jc w:val="left"/>
            </w:pPr>
            <w:r>
              <w:rPr>
                <w:rFonts w:ascii="Times New Roman" w:cs="Times New Roman" w:eastAsia="Times New Roman" w:hAnsi="Times New Roman"/>
                <w:b/>
                <w:bCs/>
                <w:i w:val="false"/>
                <w:iCs w:val="false"/>
                <w:caps/>
                <w:color w:val="20262B"/>
                <w:spacing w:val="6"/>
                <w:sz w:val="16"/>
                <w:szCs w:val="16"/>
              </w:rPr>
              <w:t xml:space="preserve">Interoperable</w:t>
            </w:r>
          </w:p>
          <w:p>
            <w:pPr>
              <w:spacing w:after="60" w:before="0" w:line="214"/>
              <w:jc w:val="left"/>
            </w:pPr>
            <w:r>
              <w:rPr>
                <w:rFonts w:ascii="Times New Roman" w:cs="Times New Roman" w:eastAsia="Times New Roman" w:hAnsi="Times New Roman"/>
                <w:b w:val="false"/>
                <w:bCs w:val="false"/>
                <w:i w:val="false"/>
                <w:iCs w:val="false"/>
                <w:caps w:val="false"/>
                <w:color w:val="3C454C"/>
                <w:sz w:val="13"/>
                <w:szCs w:val="13"/>
              </w:rPr>
              <w:t xml:space="preserve">Open formats and controlled vocabularies.</w:t>
            </w:r>
          </w:p>
        </w:tc>
        <w:tc>
          <w:tcPr>
            <w:tcW w:type="dxa" w:w="90"/>
            <w:tcBorders>
              <w:top w:val="none"/>
              <w:left w:val="none"/>
              <w:bottom w:val="none"/>
              <w:right w:val="none"/>
            </w:tcBorders>
            <w:tcMar>
              <w:top w:type="dxa" w:w="70"/>
              <w:left w:type="dxa" w:w="130"/>
              <w:bottom w:type="dxa" w:w="70"/>
              <w:right w:type="dxa" w:w="130"/>
            </w:tcMar>
            <w:vAlign w:val="top"/>
          </w:tcPr>
          <w:p/>
        </w:tc>
        <w:tc>
          <w:tcPr>
            <w:tcW w:type="dxa" w:w="2452"/>
            <w:tcBorders>
              <w:top w:val="none"/>
              <w:left w:val="none"/>
              <w:bottom w:val="single" w:color="0F6E77" w:sz="16"/>
              <w:right w:val="none"/>
            </w:tcBorders>
            <w:shd w:fill="F5F7F7" w:val="clear"/>
            <w:tcMar>
              <w:top w:type="dxa" w:w="120"/>
              <w:left w:type="dxa" w:w="120"/>
              <w:bottom w:type="dxa" w:w="120"/>
              <w:right w:type="dxa" w:w="120"/>
            </w:tcMar>
            <w:vAlign w:val="top"/>
          </w:tcPr>
          <w:p>
            <w:pPr>
              <w:spacing w:after="20" w:before="0" w:line="256"/>
              <w:jc w:val="left"/>
            </w:pPr>
            <w:r>
              <w:rPr>
                <w:rFonts w:ascii="Times New Roman" w:cs="Times New Roman" w:eastAsia="Times New Roman" w:hAnsi="Times New Roman"/>
                <w:b/>
                <w:bCs/>
                <w:i w:val="false"/>
                <w:iCs w:val="false"/>
                <w:caps w:val="false"/>
                <w:color w:val="0F6E77"/>
                <w:sz w:val="30"/>
                <w:szCs w:val="30"/>
              </w:rPr>
              <w:t xml:space="preserve">R</w:t>
            </w:r>
          </w:p>
          <w:p>
            <w:pPr>
              <w:spacing w:after="26" w:before="0" w:line="256"/>
              <w:jc w:val="left"/>
            </w:pPr>
            <w:r>
              <w:rPr>
                <w:rFonts w:ascii="Times New Roman" w:cs="Times New Roman" w:eastAsia="Times New Roman" w:hAnsi="Times New Roman"/>
                <w:b/>
                <w:bCs/>
                <w:i w:val="false"/>
                <w:iCs w:val="false"/>
                <w:caps/>
                <w:color w:val="20262B"/>
                <w:spacing w:val="6"/>
                <w:sz w:val="16"/>
                <w:szCs w:val="16"/>
              </w:rPr>
              <w:t xml:space="preserve">Reusable</w:t>
            </w:r>
          </w:p>
          <w:p>
            <w:pPr>
              <w:spacing w:after="60" w:before="0" w:line="214"/>
              <w:jc w:val="left"/>
            </w:pPr>
            <w:r>
              <w:rPr>
                <w:rFonts w:ascii="Times New Roman" w:cs="Times New Roman" w:eastAsia="Times New Roman" w:hAnsi="Times New Roman"/>
                <w:b w:val="false"/>
                <w:bCs w:val="false"/>
                <w:i w:val="false"/>
                <w:iCs w:val="false"/>
                <w:caps w:val="false"/>
                <w:color w:val="3C454C"/>
                <w:sz w:val="13"/>
                <w:szCs w:val="13"/>
              </w:rPr>
              <w:t xml:space="preserve">Provenance and documentation, for you and others.</w:t>
            </w:r>
          </w:p>
        </w:tc>
      </w:tr>
    </w:tbl>
    <w:p>
      <w:pPr>
        <w:pBdr>
          <w:bottom w:val="single" w:color="D8DCDF" w:sz="6" w:space="6"/>
        </w:pBdr>
        <w:spacing w:after="55" w:before="170" w:line="256"/>
        <w:jc w:val="left"/>
      </w:pPr>
      <w:r>
        <w:rPr>
          <w:rFonts w:ascii="Times New Roman" w:cs="Times New Roman" w:eastAsia="Times New Roman" w:hAnsi="Times New Roman"/>
          <w:b/>
          <w:bCs/>
          <w:i w:val="false"/>
          <w:iCs w:val="false"/>
          <w:caps w:val="false"/>
          <w:color w:val="0F6E77"/>
          <w:sz w:val="20"/>
          <w:szCs w:val="20"/>
        </w:rPr>
        <w:t xml:space="preserve">2   </w:t>
      </w:r>
      <w:r>
        <w:rPr>
          <w:rFonts w:ascii="Times New Roman" w:cs="Times New Roman" w:eastAsia="Times New Roman" w:hAnsi="Times New Roman"/>
          <w:b/>
          <w:bCs/>
          <w:i w:val="false"/>
          <w:iCs w:val="false"/>
          <w:caps w:val="false"/>
          <w:color w:val="20262B"/>
          <w:sz w:val="20"/>
          <w:szCs w:val="20"/>
        </w:rPr>
        <w:t xml:space="preserve">The lifecycle</w:t>
      </w:r>
    </w:p>
    <w:p>
      <w:pPr>
        <w:spacing w:after="80" w:before="0" w:line="256"/>
        <w:jc w:val="left"/>
      </w:pPr>
      <w:r>
        <w:rPr>
          <w:rFonts w:ascii="Times New Roman" w:cs="Times New Roman" w:eastAsia="Times New Roman" w:hAnsi="Times New Roman"/>
          <w:b w:val="false"/>
          <w:bCs w:val="false"/>
          <w:i/>
          <w:iCs/>
          <w:caps w:val="false"/>
          <w:color w:val="7A848C"/>
          <w:sz w:val="16"/>
          <w:szCs w:val="16"/>
        </w:rPr>
        <w:t xml:space="preserve">Every project moves left to right. Start before you collect anything.</w:t>
      </w:r>
    </w:p>
    <w:tbl>
      <w:tblPr>
        <w:tblW w:type="dxa" w:w="10080"/>
        <w:tblBorders>
          <w:top w:val="none"/>
          <w:left w:val="none"/>
          <w:bottom w:val="none"/>
          <w:right w:val="none"/>
          <w:insideH w:val="none"/>
          <w:insideV w:val="none"/>
        </w:tblBorders>
      </w:tblPr>
      <w:tblGrid>
        <w:gridCol w:w="2437"/>
        <w:gridCol w:w="110"/>
        <w:gridCol w:w="2437"/>
        <w:gridCol w:w="110"/>
        <w:gridCol w:w="2437"/>
        <w:gridCol w:w="110"/>
        <w:gridCol w:w="2437"/>
      </w:tblGrid>
      <w:tr>
        <w:tc>
          <w:tcPr>
            <w:tcW w:type="dxa" w:w="2437"/>
            <w:tcBorders>
              <w:top w:val="none"/>
              <w:left w:val="none"/>
              <w:bottom w:val="none"/>
              <w:right w:val="none"/>
            </w:tcBorders>
            <w:shd w:fill="EEF1F2" w:val="clear"/>
            <w:tcMar>
              <w:top w:type="dxa" w:w="110"/>
              <w:left w:type="dxa" w:w="130"/>
              <w:bottom w:type="dxa" w:w="110"/>
              <w:right w:type="dxa" w:w="130"/>
            </w:tcMar>
            <w:vAlign w:val="top"/>
          </w:tcPr>
          <w:p>
            <w:pPr>
              <w:spacing w:after="16" w:before="0" w:line="256"/>
              <w:jc w:val="left"/>
            </w:pPr>
            <w:r>
              <w:rPr>
                <w:rFonts w:ascii="Times New Roman" w:cs="Times New Roman" w:eastAsia="Times New Roman" w:hAnsi="Times New Roman"/>
                <w:b/>
                <w:bCs/>
                <w:i w:val="false"/>
                <w:iCs w:val="false"/>
                <w:caps w:val="false"/>
                <w:color w:val="0F6E77"/>
                <w:sz w:val="22"/>
                <w:szCs w:val="22"/>
              </w:rPr>
              <w:t xml:space="preserve">1</w:t>
            </w:r>
          </w:p>
          <w:p>
            <w:pPr>
              <w:spacing w:after="34" w:before="0" w:line="256"/>
              <w:jc w:val="left"/>
            </w:pPr>
            <w:r>
              <w:rPr>
                <w:rFonts w:ascii="Times New Roman" w:cs="Times New Roman" w:eastAsia="Times New Roman" w:hAnsi="Times New Roman"/>
                <w:b/>
                <w:bCs/>
                <w:i w:val="false"/>
                <w:iCs w:val="false"/>
                <w:caps/>
                <w:color w:val="20262B"/>
                <w:spacing w:val="4"/>
                <w:sz w:val="16"/>
                <w:szCs w:val="16"/>
              </w:rPr>
              <w:t xml:space="preserve">Plan</w:t>
            </w:r>
          </w:p>
          <w:p>
            <w:pPr>
              <w:spacing w:after="14" w:before="0" w:line="212"/>
              <w:jc w:val="left"/>
            </w:pPr>
            <w:r>
              <w:rPr>
                <w:rFonts w:ascii="Times New Roman" w:cs="Times New Roman" w:eastAsia="Times New Roman" w:hAnsi="Times New Roman"/>
                <w:b w:val="false"/>
                <w:bCs w:val="false"/>
                <w:i w:val="false"/>
                <w:iCs w:val="false"/>
                <w:caps w:val="false"/>
                <w:color w:val="3C454C"/>
                <w:sz w:val="13"/>
                <w:szCs w:val="13"/>
              </w:rPr>
              <w:t xml:space="preserve">Write the DMP first</w:t>
            </w:r>
          </w:p>
          <w:p>
            <w:pPr>
              <w:spacing w:after="14" w:before="0" w:line="212"/>
              <w:jc w:val="left"/>
            </w:pPr>
            <w:r>
              <w:rPr>
                <w:rFonts w:ascii="Times New Roman" w:cs="Times New Roman" w:eastAsia="Times New Roman" w:hAnsi="Times New Roman"/>
                <w:b w:val="false"/>
                <w:bCs w:val="false"/>
                <w:i w:val="false"/>
                <w:iCs w:val="false"/>
                <w:caps w:val="false"/>
                <w:color w:val="3C454C"/>
                <w:sz w:val="13"/>
                <w:szCs w:val="13"/>
              </w:rPr>
              <w:t xml:space="preserve">Folder skeleton</w:t>
            </w:r>
          </w:p>
          <w:p>
            <w:pPr>
              <w:spacing w:after="14" w:before="0" w:line="212"/>
              <w:jc w:val="left"/>
            </w:pPr>
            <w:r>
              <w:rPr>
                <w:rFonts w:ascii="Times New Roman" w:cs="Times New Roman" w:eastAsia="Times New Roman" w:hAnsi="Times New Roman"/>
                <w:b w:val="false"/>
                <w:bCs w:val="false"/>
                <w:i w:val="false"/>
                <w:iCs w:val="false"/>
                <w:caps w:val="false"/>
                <w:color w:val="3C454C"/>
                <w:sz w:val="13"/>
                <w:szCs w:val="13"/>
              </w:rPr>
              <w:t xml:space="preserve">Naming &amp; licence</w:t>
            </w:r>
          </w:p>
          <w:p>
            <w:pPr>
              <w:spacing w:after="14" w:before="0" w:line="212"/>
              <w:jc w:val="left"/>
            </w:pPr>
            <w:r>
              <w:rPr>
                <w:rFonts w:ascii="Times New Roman" w:cs="Times New Roman" w:eastAsia="Times New Roman" w:hAnsi="Times New Roman"/>
                <w:b w:val="false"/>
                <w:bCs w:val="false"/>
                <w:i w:val="false"/>
                <w:iCs w:val="false"/>
                <w:caps w:val="false"/>
                <w:color w:val="3C454C"/>
                <w:sz w:val="13"/>
                <w:szCs w:val="13"/>
              </w:rPr>
              <w:t xml:space="preserve">Set up the sample-ID list</w:t>
            </w:r>
          </w:p>
        </w:tc>
        <w:tc>
          <w:tcPr>
            <w:tcW w:type="dxa" w:w="110"/>
            <w:tcBorders>
              <w:top w:val="none"/>
              <w:left w:val="none"/>
              <w:bottom w:val="none"/>
              <w:right w:val="none"/>
            </w:tcBorders>
            <w:tcMar>
              <w:top w:type="dxa" w:w="70"/>
              <w:left w:type="dxa" w:w="130"/>
              <w:bottom w:type="dxa" w:w="70"/>
              <w:right w:type="dxa" w:w="130"/>
            </w:tcMar>
            <w:vAlign w:val="center"/>
          </w:tcPr>
          <w:p>
            <w:pPr>
              <w:spacing w:after="60" w:before="0" w:line="256"/>
              <w:jc w:val="center"/>
            </w:pPr>
            <w:r>
              <w:rPr>
                <w:rFonts w:ascii="Times New Roman" w:cs="Times New Roman" w:eastAsia="Times New Roman" w:hAnsi="Times New Roman"/>
                <w:b w:val="false"/>
                <w:bCs w:val="false"/>
                <w:i w:val="false"/>
                <w:iCs w:val="false"/>
                <w:caps w:val="false"/>
                <w:color w:val="7A848C"/>
                <w:sz w:val="22"/>
                <w:szCs w:val="22"/>
              </w:rPr>
              <w:t xml:space="preserve">→</w:t>
            </w:r>
          </w:p>
        </w:tc>
        <w:tc>
          <w:tcPr>
            <w:tcW w:type="dxa" w:w="2437"/>
            <w:tcBorders>
              <w:top w:val="none"/>
              <w:left w:val="none"/>
              <w:bottom w:val="none"/>
              <w:right w:val="none"/>
            </w:tcBorders>
            <w:shd w:fill="EEF1F2" w:val="clear"/>
            <w:tcMar>
              <w:top w:type="dxa" w:w="110"/>
              <w:left w:type="dxa" w:w="130"/>
              <w:bottom w:type="dxa" w:w="110"/>
              <w:right w:type="dxa" w:w="130"/>
            </w:tcMar>
            <w:vAlign w:val="top"/>
          </w:tcPr>
          <w:p>
            <w:pPr>
              <w:spacing w:after="16" w:before="0" w:line="256"/>
              <w:jc w:val="left"/>
            </w:pPr>
            <w:r>
              <w:rPr>
                <w:rFonts w:ascii="Times New Roman" w:cs="Times New Roman" w:eastAsia="Times New Roman" w:hAnsi="Times New Roman"/>
                <w:b/>
                <w:bCs/>
                <w:i w:val="false"/>
                <w:iCs w:val="false"/>
                <w:caps w:val="false"/>
                <w:color w:val="0F6E77"/>
                <w:sz w:val="22"/>
                <w:szCs w:val="22"/>
              </w:rPr>
              <w:t xml:space="preserve">2</w:t>
            </w:r>
          </w:p>
          <w:p>
            <w:pPr>
              <w:spacing w:after="34" w:before="0" w:line="256"/>
              <w:jc w:val="left"/>
            </w:pPr>
            <w:r>
              <w:rPr>
                <w:rFonts w:ascii="Times New Roman" w:cs="Times New Roman" w:eastAsia="Times New Roman" w:hAnsi="Times New Roman"/>
                <w:b/>
                <w:bCs/>
                <w:i w:val="false"/>
                <w:iCs w:val="false"/>
                <w:caps/>
                <w:color w:val="20262B"/>
                <w:spacing w:val="4"/>
                <w:sz w:val="16"/>
                <w:szCs w:val="16"/>
              </w:rPr>
              <w:t xml:space="preserve">Collect &amp; describe</w:t>
            </w:r>
          </w:p>
          <w:p>
            <w:pPr>
              <w:spacing w:after="14" w:before="0" w:line="212"/>
              <w:jc w:val="left"/>
            </w:pPr>
            <w:r>
              <w:rPr>
                <w:rFonts w:ascii="Times New Roman" w:cs="Times New Roman" w:eastAsia="Times New Roman" w:hAnsi="Times New Roman"/>
                <w:b w:val="false"/>
                <w:bCs w:val="false"/>
                <w:i w:val="false"/>
                <w:iCs w:val="false"/>
                <w:caps w:val="false"/>
                <w:color w:val="3C454C"/>
                <w:sz w:val="13"/>
                <w:szCs w:val="13"/>
              </w:rPr>
              <w:t xml:space="preserve">Raw data in, then locked</w:t>
            </w:r>
          </w:p>
          <w:p>
            <w:pPr>
              <w:spacing w:after="14" w:before="0" w:line="212"/>
              <w:jc w:val="left"/>
            </w:pPr>
            <w:r>
              <w:rPr>
                <w:rFonts w:ascii="Times New Roman" w:cs="Times New Roman" w:eastAsia="Times New Roman" w:hAnsi="Times New Roman"/>
                <w:b w:val="false"/>
                <w:bCs w:val="false"/>
                <w:i w:val="false"/>
                <w:iCs w:val="false"/>
                <w:caps w:val="false"/>
                <w:color w:val="3C454C"/>
                <w:sz w:val="13"/>
                <w:szCs w:val="13"/>
              </w:rPr>
              <w:t xml:space="preserve">Log in the ELN &lt; 48 h</w:t>
            </w:r>
          </w:p>
          <w:p>
            <w:pPr>
              <w:spacing w:after="14" w:before="0" w:line="212"/>
              <w:jc w:val="left"/>
            </w:pPr>
            <w:r>
              <w:rPr>
                <w:rFonts w:ascii="Times New Roman" w:cs="Times New Roman" w:eastAsia="Times New Roman" w:hAnsi="Times New Roman"/>
                <w:b w:val="false"/>
                <w:bCs w:val="false"/>
                <w:i w:val="false"/>
                <w:iCs w:val="false"/>
                <w:caps w:val="false"/>
                <w:color w:val="3C454C"/>
                <w:sz w:val="13"/>
                <w:szCs w:val="13"/>
              </w:rPr>
              <w:t xml:space="preserve">Metadata at capture</w:t>
            </w:r>
          </w:p>
          <w:p>
            <w:pPr>
              <w:spacing w:after="14" w:before="0" w:line="212"/>
              <w:jc w:val="left"/>
            </w:pPr>
            <w:r>
              <w:rPr>
                <w:rFonts w:ascii="Times New Roman" w:cs="Times New Roman" w:eastAsia="Times New Roman" w:hAnsi="Times New Roman"/>
                <w:b w:val="false"/>
                <w:bCs w:val="false"/>
                <w:i w:val="false"/>
                <w:iCs w:val="false"/>
                <w:caps w:val="false"/>
                <w:color w:val="3C454C"/>
                <w:sz w:val="13"/>
                <w:szCs w:val="13"/>
              </w:rPr>
              <w:t xml:space="preserve">Controlled vocabulary</w:t>
            </w:r>
          </w:p>
        </w:tc>
        <w:tc>
          <w:tcPr>
            <w:tcW w:type="dxa" w:w="110"/>
            <w:tcBorders>
              <w:top w:val="none"/>
              <w:left w:val="none"/>
              <w:bottom w:val="none"/>
              <w:right w:val="none"/>
            </w:tcBorders>
            <w:tcMar>
              <w:top w:type="dxa" w:w="70"/>
              <w:left w:type="dxa" w:w="130"/>
              <w:bottom w:type="dxa" w:w="70"/>
              <w:right w:type="dxa" w:w="130"/>
            </w:tcMar>
            <w:vAlign w:val="center"/>
          </w:tcPr>
          <w:p>
            <w:pPr>
              <w:spacing w:after="60" w:before="0" w:line="256"/>
              <w:jc w:val="center"/>
            </w:pPr>
            <w:r>
              <w:rPr>
                <w:rFonts w:ascii="Times New Roman" w:cs="Times New Roman" w:eastAsia="Times New Roman" w:hAnsi="Times New Roman"/>
                <w:b w:val="false"/>
                <w:bCs w:val="false"/>
                <w:i w:val="false"/>
                <w:iCs w:val="false"/>
                <w:caps w:val="false"/>
                <w:color w:val="7A848C"/>
                <w:sz w:val="22"/>
                <w:szCs w:val="22"/>
              </w:rPr>
              <w:t xml:space="preserve">→</w:t>
            </w:r>
          </w:p>
        </w:tc>
        <w:tc>
          <w:tcPr>
            <w:tcW w:type="dxa" w:w="2437"/>
            <w:tcBorders>
              <w:top w:val="none"/>
              <w:left w:val="none"/>
              <w:bottom w:val="none"/>
              <w:right w:val="none"/>
            </w:tcBorders>
            <w:shd w:fill="EEF1F2" w:val="clear"/>
            <w:tcMar>
              <w:top w:type="dxa" w:w="110"/>
              <w:left w:type="dxa" w:w="130"/>
              <w:bottom w:type="dxa" w:w="110"/>
              <w:right w:type="dxa" w:w="130"/>
            </w:tcMar>
            <w:vAlign w:val="top"/>
          </w:tcPr>
          <w:p>
            <w:pPr>
              <w:spacing w:after="16" w:before="0" w:line="256"/>
              <w:jc w:val="left"/>
            </w:pPr>
            <w:r>
              <w:rPr>
                <w:rFonts w:ascii="Times New Roman" w:cs="Times New Roman" w:eastAsia="Times New Roman" w:hAnsi="Times New Roman"/>
                <w:b/>
                <w:bCs/>
                <w:i w:val="false"/>
                <w:iCs w:val="false"/>
                <w:caps w:val="false"/>
                <w:color w:val="0F6E77"/>
                <w:sz w:val="22"/>
                <w:szCs w:val="22"/>
              </w:rPr>
              <w:t xml:space="preserve">3</w:t>
            </w:r>
          </w:p>
          <w:p>
            <w:pPr>
              <w:spacing w:after="34" w:before="0" w:line="256"/>
              <w:jc w:val="left"/>
            </w:pPr>
            <w:r>
              <w:rPr>
                <w:rFonts w:ascii="Times New Roman" w:cs="Times New Roman" w:eastAsia="Times New Roman" w:hAnsi="Times New Roman"/>
                <w:b/>
                <w:bCs/>
                <w:i w:val="false"/>
                <w:iCs w:val="false"/>
                <w:caps/>
                <w:color w:val="20262B"/>
                <w:spacing w:val="4"/>
                <w:sz w:val="16"/>
                <w:szCs w:val="16"/>
              </w:rPr>
              <w:t xml:space="preserve">Process by code</w:t>
            </w:r>
          </w:p>
          <w:p>
            <w:pPr>
              <w:spacing w:after="14" w:before="0" w:line="212"/>
              <w:jc w:val="left"/>
            </w:pPr>
            <w:r>
              <w:rPr>
                <w:rFonts w:ascii="Times New Roman" w:cs="Times New Roman" w:eastAsia="Times New Roman" w:hAnsi="Times New Roman"/>
                <w:b w:val="false"/>
                <w:bCs w:val="false"/>
                <w:i w:val="false"/>
                <w:iCs w:val="false"/>
                <w:caps w:val="false"/>
                <w:color w:val="3C454C"/>
                <w:sz w:val="13"/>
                <w:szCs w:val="13"/>
              </w:rPr>
              <w:t xml:space="preserve">Raw → primary → secondary</w:t>
            </w:r>
          </w:p>
          <w:p>
            <w:pPr>
              <w:spacing w:after="14" w:before="0" w:line="212"/>
              <w:jc w:val="left"/>
            </w:pPr>
            <w:r>
              <w:rPr>
                <w:rFonts w:ascii="Times New Roman" w:cs="Times New Roman" w:eastAsia="Times New Roman" w:hAnsi="Times New Roman"/>
                <w:b w:val="false"/>
                <w:bCs w:val="false"/>
                <w:i w:val="false"/>
                <w:iCs w:val="false"/>
                <w:caps w:val="false"/>
                <w:color w:val="3C454C"/>
                <w:sz w:val="13"/>
                <w:szCs w:val="13"/>
              </w:rPr>
              <w:t xml:space="preserve">Numbered to the plan</w:t>
            </w:r>
          </w:p>
          <w:p>
            <w:pPr>
              <w:spacing w:after="14" w:before="0" w:line="212"/>
              <w:jc w:val="left"/>
            </w:pPr>
            <w:r>
              <w:rPr>
                <w:rFonts w:ascii="Times New Roman" w:cs="Times New Roman" w:eastAsia="Times New Roman" w:hAnsi="Times New Roman"/>
                <w:b w:val="false"/>
                <w:bCs w:val="false"/>
                <w:i w:val="false"/>
                <w:iCs w:val="false"/>
                <w:caps w:val="false"/>
                <w:color w:val="3C454C"/>
                <w:sz w:val="13"/>
                <w:szCs w:val="13"/>
              </w:rPr>
              <w:t xml:space="preserve">Versioned in Git</w:t>
            </w:r>
          </w:p>
          <w:p>
            <w:pPr>
              <w:spacing w:after="14" w:before="0" w:line="212"/>
              <w:jc w:val="left"/>
            </w:pPr>
            <w:r>
              <w:rPr>
                <w:rFonts w:ascii="Times New Roman" w:cs="Times New Roman" w:eastAsia="Times New Roman" w:hAnsi="Times New Roman"/>
                <w:b w:val="false"/>
                <w:bCs w:val="false"/>
                <w:i w:val="false"/>
                <w:iCs w:val="false"/>
                <w:caps w:val="false"/>
                <w:color w:val="3C454C"/>
                <w:sz w:val="13"/>
                <w:szCs w:val="13"/>
              </w:rPr>
              <w:t xml:space="preserve">Data never in Git</w:t>
            </w:r>
          </w:p>
        </w:tc>
        <w:tc>
          <w:tcPr>
            <w:tcW w:type="dxa" w:w="110"/>
            <w:tcBorders>
              <w:top w:val="none"/>
              <w:left w:val="none"/>
              <w:bottom w:val="none"/>
              <w:right w:val="none"/>
            </w:tcBorders>
            <w:tcMar>
              <w:top w:type="dxa" w:w="70"/>
              <w:left w:type="dxa" w:w="130"/>
              <w:bottom w:type="dxa" w:w="70"/>
              <w:right w:type="dxa" w:w="130"/>
            </w:tcMar>
            <w:vAlign w:val="center"/>
          </w:tcPr>
          <w:p>
            <w:pPr>
              <w:spacing w:after="60" w:before="0" w:line="256"/>
              <w:jc w:val="center"/>
            </w:pPr>
            <w:r>
              <w:rPr>
                <w:rFonts w:ascii="Times New Roman" w:cs="Times New Roman" w:eastAsia="Times New Roman" w:hAnsi="Times New Roman"/>
                <w:b w:val="false"/>
                <w:bCs w:val="false"/>
                <w:i w:val="false"/>
                <w:iCs w:val="false"/>
                <w:caps w:val="false"/>
                <w:color w:val="7A848C"/>
                <w:sz w:val="22"/>
                <w:szCs w:val="22"/>
              </w:rPr>
              <w:t xml:space="preserve">→</w:t>
            </w:r>
          </w:p>
        </w:tc>
        <w:tc>
          <w:tcPr>
            <w:tcW w:type="dxa" w:w="2437"/>
            <w:tcBorders>
              <w:top w:val="none"/>
              <w:left w:val="none"/>
              <w:bottom w:val="none"/>
              <w:right w:val="none"/>
            </w:tcBorders>
            <w:shd w:fill="EEF1F2" w:val="clear"/>
            <w:tcMar>
              <w:top w:type="dxa" w:w="110"/>
              <w:left w:type="dxa" w:w="130"/>
              <w:bottom w:type="dxa" w:w="110"/>
              <w:right w:type="dxa" w:w="130"/>
            </w:tcMar>
            <w:vAlign w:val="top"/>
          </w:tcPr>
          <w:p>
            <w:pPr>
              <w:spacing w:after="16" w:before="0" w:line="256"/>
              <w:jc w:val="left"/>
            </w:pPr>
            <w:r>
              <w:rPr>
                <w:rFonts w:ascii="Times New Roman" w:cs="Times New Roman" w:eastAsia="Times New Roman" w:hAnsi="Times New Roman"/>
                <w:b/>
                <w:bCs/>
                <w:i w:val="false"/>
                <w:iCs w:val="false"/>
                <w:caps w:val="false"/>
                <w:color w:val="0F6E77"/>
                <w:sz w:val="22"/>
                <w:szCs w:val="22"/>
              </w:rPr>
              <w:t xml:space="preserve">4</w:t>
            </w:r>
          </w:p>
          <w:p>
            <w:pPr>
              <w:spacing w:after="34" w:before="0" w:line="256"/>
              <w:jc w:val="left"/>
            </w:pPr>
            <w:r>
              <w:rPr>
                <w:rFonts w:ascii="Times New Roman" w:cs="Times New Roman" w:eastAsia="Times New Roman" w:hAnsi="Times New Roman"/>
                <w:b/>
                <w:bCs/>
                <w:i w:val="false"/>
                <w:iCs w:val="false"/>
                <w:caps/>
                <w:color w:val="20262B"/>
                <w:spacing w:val="4"/>
                <w:sz w:val="16"/>
                <w:szCs w:val="16"/>
              </w:rPr>
              <w:t xml:space="preserve">Share &amp; publish</w:t>
            </w:r>
          </w:p>
          <w:p>
            <w:pPr>
              <w:spacing w:after="14" w:before="0" w:line="212"/>
              <w:jc w:val="left"/>
            </w:pPr>
            <w:r>
              <w:rPr>
                <w:rFonts w:ascii="Times New Roman" w:cs="Times New Roman" w:eastAsia="Times New Roman" w:hAnsi="Times New Roman"/>
                <w:b w:val="false"/>
                <w:bCs w:val="false"/>
                <w:i w:val="false"/>
                <w:iCs w:val="false"/>
                <w:caps w:val="false"/>
                <w:color w:val="3C454C"/>
                <w:sz w:val="13"/>
                <w:szCs w:val="13"/>
              </w:rPr>
              <w:t xml:space="preserve">Back up 3-2-1</w:t>
            </w:r>
          </w:p>
          <w:p>
            <w:pPr>
              <w:spacing w:after="14" w:before="0" w:line="212"/>
              <w:jc w:val="left"/>
            </w:pPr>
            <w:r>
              <w:rPr>
                <w:rFonts w:ascii="Times New Roman" w:cs="Times New Roman" w:eastAsia="Times New Roman" w:hAnsi="Times New Roman"/>
                <w:b w:val="false"/>
                <w:bCs w:val="false"/>
                <w:i w:val="false"/>
                <w:iCs w:val="false"/>
                <w:caps w:val="false"/>
                <w:color w:val="3C454C"/>
                <w:sz w:val="13"/>
                <w:szCs w:val="13"/>
              </w:rPr>
              <w:t xml:space="preserve">G1: FAIR + GDPR check</w:t>
            </w:r>
          </w:p>
          <w:p>
            <w:pPr>
              <w:spacing w:after="14" w:before="0" w:line="212"/>
              <w:jc w:val="left"/>
            </w:pPr>
            <w:r>
              <w:rPr>
                <w:rFonts w:ascii="Times New Roman" w:cs="Times New Roman" w:eastAsia="Times New Roman" w:hAnsi="Times New Roman"/>
                <w:b w:val="false"/>
                <w:bCs w:val="false"/>
                <w:i w:val="false"/>
                <w:iCs w:val="false"/>
                <w:caps w:val="false"/>
                <w:color w:val="3C454C"/>
                <w:sz w:val="13"/>
                <w:szCs w:val="13"/>
              </w:rPr>
              <w:t xml:space="preserve">G2: repository, DOI, licence</w:t>
            </w:r>
          </w:p>
          <w:p>
            <w:pPr>
              <w:spacing w:after="14" w:before="0" w:line="212"/>
              <w:jc w:val="left"/>
            </w:pPr>
            <w:r>
              <w:rPr>
                <w:rFonts w:ascii="Times New Roman" w:cs="Times New Roman" w:eastAsia="Times New Roman" w:hAnsi="Times New Roman"/>
                <w:b w:val="false"/>
                <w:bCs w:val="false"/>
                <w:i w:val="false"/>
                <w:iCs w:val="false"/>
                <w:caps w:val="false"/>
                <w:color w:val="3C454C"/>
                <w:sz w:val="13"/>
                <w:szCs w:val="13"/>
              </w:rPr>
              <w:t xml:space="preserve">Never a cloud link</w:t>
            </w:r>
          </w:p>
        </w:tc>
      </w:tr>
    </w:tbl>
    <w:p>
      <w:pPr>
        <w:pBdr>
          <w:top w:val="single" w:color="0F6E77" w:sz="4"/>
          <w:bottom w:val="single" w:color="0F6E77" w:sz="4"/>
          <w:left w:val="single" w:color="0F6E77" w:sz="22" w:space="10"/>
          <w:right w:val="single" w:color="0F6E77" w:sz="4"/>
        </w:pBdr>
        <w:shd w:fill="E4EDED" w:val="clear"/>
        <w:spacing w:after="60" w:before="80" w:line="238"/>
        <w:jc w:val="left"/>
      </w:pPr>
      <w:r>
        <w:rPr>
          <w:rFonts w:ascii="Times New Roman" w:cs="Times New Roman" w:eastAsia="Times New Roman" w:hAnsi="Times New Roman"/>
          <w:b/>
          <w:bCs/>
          <w:i w:val="false"/>
          <w:iCs w:val="false"/>
          <w:caps w:val="false"/>
          <w:color w:val="20262B"/>
          <w:sz w:val="15"/>
          <w:szCs w:val="15"/>
        </w:rPr>
        <w:t xml:space="preserve">Two gates before data leaves the group.  </w:t>
      </w:r>
      <w:r>
        <w:rPr>
          <w:rFonts w:ascii="Times New Roman" w:cs="Times New Roman" w:eastAsia="Times New Roman" w:hAnsi="Times New Roman"/>
          <w:b w:val="false"/>
          <w:bCs w:val="false"/>
          <w:i w:val="false"/>
          <w:iCs w:val="false"/>
          <w:caps w:val="false"/>
          <w:color w:val="3C454C"/>
          <w:sz w:val="15"/>
          <w:szCs w:val="15"/>
        </w:rPr>
        <w:t xml:space="preserve">G1 — sharing with anyone: pass the FAIR self-check and the GDPR rules (pseudonymise; patient-identifying data stays at UKW).  G2 — publishing: deposit to a repository with a DOI and a licence, not a cloud link.</w:t>
      </w:r>
    </w:p>
    <w:p>
      <w:pPr>
        <w:pBdr>
          <w:left w:val="single" w:color="0F6E77" w:sz="18" w:space="10"/>
        </w:pBdr>
        <w:shd w:fill="EEF1F2" w:val="clear"/>
        <w:spacing w:after="60" w:before="70" w:line="236"/>
        <w:jc w:val="left"/>
      </w:pPr>
      <w:r>
        <w:rPr>
          <w:rFonts w:ascii="Times New Roman" w:cs="Times New Roman" w:eastAsia="Times New Roman" w:hAnsi="Times New Roman"/>
          <w:b/>
          <w:bCs/>
          <w:i w:val="false"/>
          <w:iCs w:val="false"/>
          <w:caps w:val="false"/>
          <w:color w:val="20262B"/>
          <w:sz w:val="15"/>
          <w:szCs w:val="15"/>
        </w:rPr>
        <w:t xml:space="preserve">Set up the sample-ID list on day one.  </w:t>
      </w:r>
      <w:r>
        <w:rPr>
          <w:rFonts w:ascii="Times New Roman" w:cs="Times New Roman" w:eastAsia="Times New Roman" w:hAnsi="Times New Roman"/>
          <w:b w:val="false"/>
          <w:bCs w:val="false"/>
          <w:i w:val="false"/>
          <w:iCs w:val="false"/>
          <w:caps w:val="false"/>
          <w:color w:val="3C454C"/>
          <w:sz w:val="15"/>
          <w:szCs w:val="15"/>
        </w:rPr>
        <w:t xml:space="preserve">Before any data arrives, create one simple table — one column per field (sample ID, date, instrument, condition …). The sample ID defined here is the single identifier used in every filename, the ELN, the metadata, and every link. This table IS the DATAFINDER / metadata (see §3–§4).</w:t>
      </w:r>
    </w:p>
    <w:p>
      <w:pPr>
        <w:pBdr>
          <w:bottom w:val="single" w:color="D8DCDF" w:sz="6" w:space="6"/>
        </w:pBdr>
        <w:spacing w:after="55" w:before="170" w:line="256"/>
        <w:jc w:val="left"/>
      </w:pPr>
      <w:r>
        <w:rPr>
          <w:rFonts w:ascii="Times New Roman" w:cs="Times New Roman" w:eastAsia="Times New Roman" w:hAnsi="Times New Roman"/>
          <w:b/>
          <w:bCs/>
          <w:i w:val="false"/>
          <w:iCs w:val="false"/>
          <w:caps w:val="false"/>
          <w:color w:val="0F6E77"/>
          <w:sz w:val="20"/>
          <w:szCs w:val="20"/>
        </w:rPr>
        <w:t xml:space="preserve">3   </w:t>
      </w:r>
      <w:r>
        <w:rPr>
          <w:rFonts w:ascii="Times New Roman" w:cs="Times New Roman" w:eastAsia="Times New Roman" w:hAnsi="Times New Roman"/>
          <w:b/>
          <w:bCs/>
          <w:i w:val="false"/>
          <w:iCs w:val="false"/>
          <w:caps w:val="false"/>
          <w:color w:val="20262B"/>
          <w:sz w:val="20"/>
          <w:szCs w:val="20"/>
        </w:rPr>
        <w:t xml:space="preserve">The folder structure</w:t>
      </w:r>
    </w:p>
    <w:p>
      <w:pPr>
        <w:spacing w:after="80" w:before="0" w:line="256"/>
        <w:jc w:val="left"/>
      </w:pPr>
      <w:r>
        <w:rPr>
          <w:rFonts w:ascii="Times New Roman" w:cs="Times New Roman" w:eastAsia="Times New Roman" w:hAnsi="Times New Roman"/>
          <w:b w:val="false"/>
          <w:bCs w:val="false"/>
          <w:i/>
          <w:iCs/>
          <w:caps w:val="false"/>
          <w:color w:val="7A848C"/>
          <w:sz w:val="16"/>
          <w:szCs w:val="16"/>
        </w:rPr>
        <w:t xml:space="preserve">The same skeleton for every project — 3 files or 30,000. Anyone opening it knows where things are.</w:t>
      </w:r>
    </w:p>
    <w:tbl>
      <w:tblPr>
        <w:tblW w:type="dxa" w:w="10080"/>
        <w:tblBorders>
          <w:top w:val="none"/>
          <w:left w:val="none"/>
          <w:bottom w:val="none"/>
          <w:right w:val="none"/>
          <w:insideH w:val="none"/>
          <w:insideV w:val="none"/>
        </w:tblBorders>
      </w:tblPr>
      <w:tblGrid>
        <w:gridCol w:w="10080"/>
      </w:tblGrid>
      <w:tr>
        <w:tc>
          <w:tcPr>
            <w:tcW w:type="dxa" w:w="10080"/>
            <w:tcBorders>
              <w:top w:val="none"/>
              <w:left w:val="single" w:color="0F6E77" w:sz="16"/>
              <w:bottom w:val="none"/>
              <w:right w:val="none"/>
            </w:tcBorders>
            <w:shd w:fill="F5F7F7" w:val="clear"/>
            <w:tcMar>
              <w:top w:type="dxa" w:w="140"/>
              <w:left w:type="dxa" w:w="170"/>
              <w:bottom w:type="dxa" w:w="140"/>
              <w:right w:type="dxa" w:w="170"/>
            </w:tcMar>
            <w:vAlign w:val="top"/>
          </w:tcPr>
          <w:p>
            <w:pPr>
              <w:spacing w:after="14" w:before="0" w:line="224"/>
              <w:jc w:val="left"/>
            </w:pPr>
            <w:r>
              <w:rPr>
                <w:rFonts w:ascii="Times New Roman" w:cs="Times New Roman" w:eastAsia="Times New Roman" w:hAnsi="Times New Roman"/>
                <w:b/>
                <w:bCs/>
                <w:i w:val="false"/>
                <w:iCs w:val="false"/>
                <w:caps w:val="false"/>
                <w:color w:val="20262B"/>
                <w:sz w:val="16"/>
                <w:szCs w:val="16"/>
              </w:rPr>
              <w:t xml:space="preserve">PROJECT_NAME/           </w:t>
            </w:r>
          </w:p>
          <w:p>
            <w:pPr>
              <w:spacing w:after="14" w:before="0" w:line="224"/>
              <w:jc w:val="left"/>
            </w:pPr>
            <w:r>
              <w:rPr>
                <w:rFonts w:ascii="Times New Roman" w:cs="Times New Roman" w:eastAsia="Times New Roman" w:hAnsi="Times New Roman"/>
                <w:b w:val="false"/>
                <w:bCs w:val="false"/>
                <w:i w:val="false"/>
                <w:iCs w:val="false"/>
                <w:caps w:val="false"/>
                <w:color w:val="7A848C"/>
                <w:sz w:val="16"/>
                <w:szCs w:val="16"/>
              </w:rPr>
              <w:t xml:space="preserve">│                       </w:t>
            </w:r>
          </w:p>
          <w:p>
            <w:pPr>
              <w:spacing w:after="14" w:before="0" w:line="224"/>
              <w:jc w:val="left"/>
            </w:pPr>
            <w:r>
              <w:rPr>
                <w:rFonts w:ascii="Times New Roman" w:cs="Times New Roman" w:eastAsia="Times New Roman" w:hAnsi="Times New Roman"/>
                <w:b/>
                <w:bCs/>
                <w:i w:val="false"/>
                <w:iCs w:val="false"/>
                <w:caps w:val="false"/>
                <w:color w:val="0F6E77"/>
                <w:sz w:val="16"/>
                <w:szCs w:val="16"/>
              </w:rPr>
              <w:t xml:space="preserve">├─ README.md            </w:t>
            </w:r>
            <w:r>
              <w:rPr>
                <w:rFonts w:ascii="Times New Roman" w:cs="Times New Roman" w:eastAsia="Times New Roman" w:hAnsi="Times New Roman"/>
                <w:b w:val="false"/>
                <w:bCs w:val="false"/>
                <w:i/>
                <w:iCs/>
                <w:caps w:val="false"/>
                <w:color w:val="7A848C"/>
                <w:sz w:val="13"/>
                <w:szCs w:val="13"/>
              </w:rPr>
              <w:t xml:space="preserve">  guides the folder · folder + file-naming rules · install &amp; run</w:t>
            </w:r>
          </w:p>
          <w:p>
            <w:pPr>
              <w:spacing w:after="14" w:before="0" w:line="224"/>
              <w:jc w:val="left"/>
            </w:pPr>
            <w:r>
              <w:rPr>
                <w:rFonts w:ascii="Times New Roman" w:cs="Times New Roman" w:eastAsia="Times New Roman" w:hAnsi="Times New Roman"/>
                <w:b/>
                <w:bCs/>
                <w:i w:val="false"/>
                <w:iCs w:val="false"/>
                <w:caps w:val="false"/>
                <w:color w:val="20262B"/>
                <w:sz w:val="16"/>
                <w:szCs w:val="16"/>
              </w:rPr>
              <w:t xml:space="preserve">├─ DMP.(docx/pdf)       </w:t>
            </w:r>
            <w:r>
              <w:rPr>
                <w:rFonts w:ascii="Times New Roman" w:cs="Times New Roman" w:eastAsia="Times New Roman" w:hAnsi="Times New Roman"/>
                <w:b w:val="false"/>
                <w:bCs w:val="false"/>
                <w:i/>
                <w:iCs/>
                <w:caps w:val="false"/>
                <w:color w:val="7A848C"/>
                <w:sz w:val="13"/>
                <w:szCs w:val="13"/>
              </w:rPr>
              <w:t xml:space="preserve">  data management plan</w:t>
            </w:r>
          </w:p>
          <w:p>
            <w:pPr>
              <w:spacing w:after="14" w:before="0" w:line="224"/>
              <w:jc w:val="left"/>
            </w:pPr>
            <w:r>
              <w:rPr>
                <w:rFonts w:ascii="Times New Roman" w:cs="Times New Roman" w:eastAsia="Times New Roman" w:hAnsi="Times New Roman"/>
                <w:b/>
                <w:bCs/>
                <w:i w:val="false"/>
                <w:iCs w:val="false"/>
                <w:caps w:val="false"/>
                <w:color w:val="20262B"/>
                <w:sz w:val="16"/>
                <w:szCs w:val="16"/>
              </w:rPr>
              <w:t xml:space="preserve">├─ LICENSE              </w:t>
            </w:r>
            <w:r>
              <w:rPr>
                <w:rFonts w:ascii="Times New Roman" w:cs="Times New Roman" w:eastAsia="Times New Roman" w:hAnsi="Times New Roman"/>
                <w:b w:val="false"/>
                <w:bCs w:val="false"/>
                <w:i/>
                <w:iCs/>
                <w:caps w:val="false"/>
                <w:color w:val="7A848C"/>
                <w:sz w:val="13"/>
                <w:szCs w:val="13"/>
              </w:rPr>
              <w:t xml:space="preserve">  how others may use code &amp; data</w:t>
            </w:r>
          </w:p>
          <w:p>
            <w:pPr>
              <w:spacing w:after="14" w:before="0" w:line="224"/>
              <w:jc w:val="left"/>
            </w:pPr>
            <w:r>
              <w:rPr>
                <w:rFonts w:ascii="Times New Roman" w:cs="Times New Roman" w:eastAsia="Times New Roman" w:hAnsi="Times New Roman"/>
                <w:b/>
                <w:bCs/>
                <w:i w:val="false"/>
                <w:iCs w:val="false"/>
                <w:caps w:val="false"/>
                <w:color w:val="0F6E77"/>
                <w:sz w:val="16"/>
                <w:szCs w:val="16"/>
              </w:rPr>
              <w:t xml:space="preserve">├─ DATAFINDER.(xlsx/csv)</w:t>
            </w:r>
            <w:r>
              <w:rPr>
                <w:rFonts w:ascii="Times New Roman" w:cs="Times New Roman" w:eastAsia="Times New Roman" w:hAnsi="Times New Roman"/>
                <w:b w:val="false"/>
                <w:bCs w:val="false"/>
                <w:i/>
                <w:iCs/>
                <w:caps w:val="false"/>
                <w:color w:val="7A848C"/>
                <w:sz w:val="13"/>
                <w:szCs w:val="13"/>
              </w:rPr>
              <w:t xml:space="preserve">  searchable sample index — the human-facing face of meta_data/</w:t>
            </w:r>
          </w:p>
          <w:p>
            <w:pPr>
              <w:spacing w:after="14" w:before="0" w:line="224"/>
              <w:jc w:val="left"/>
            </w:pPr>
            <w:r>
              <w:rPr>
                <w:rFonts w:ascii="Times New Roman" w:cs="Times New Roman" w:eastAsia="Times New Roman" w:hAnsi="Times New Roman"/>
                <w:b w:val="false"/>
                <w:bCs w:val="false"/>
                <w:i w:val="false"/>
                <w:iCs w:val="false"/>
                <w:caps w:val="false"/>
                <w:color w:val="7A848C"/>
                <w:sz w:val="16"/>
                <w:szCs w:val="16"/>
              </w:rPr>
              <w:t xml:space="preserve">│                       </w:t>
            </w:r>
          </w:p>
          <w:p>
            <w:pPr>
              <w:spacing w:after="14" w:before="0" w:line="224"/>
              <w:jc w:val="left"/>
            </w:pPr>
            <w:r>
              <w:rPr>
                <w:rFonts w:ascii="Times New Roman" w:cs="Times New Roman" w:eastAsia="Times New Roman" w:hAnsi="Times New Roman"/>
                <w:b/>
                <w:bCs/>
                <w:i w:val="false"/>
                <w:iCs w:val="false"/>
                <w:caps w:val="false"/>
                <w:color w:val="20262B"/>
                <w:sz w:val="16"/>
                <w:szCs w:val="16"/>
              </w:rPr>
              <w:t xml:space="preserve">├─ data/                </w:t>
            </w:r>
          </w:p>
          <w:p>
            <w:pPr>
              <w:spacing w:after="14" w:before="0" w:line="224"/>
              <w:jc w:val="left"/>
            </w:pPr>
            <w:r>
              <w:rPr>
                <w:rFonts w:ascii="Times New Roman" w:cs="Times New Roman" w:eastAsia="Times New Roman" w:hAnsi="Times New Roman"/>
                <w:b w:val="false"/>
                <w:bCs w:val="false"/>
                <w:i w:val="false"/>
                <w:iCs w:val="false"/>
                <w:caps w:val="false"/>
                <w:color w:val="20262B"/>
                <w:sz w:val="16"/>
                <w:szCs w:val="16"/>
              </w:rPr>
              <w:t xml:space="preserve">│   ├─ raw_data/        </w:t>
            </w:r>
            <w:r>
              <w:rPr>
                <w:rFonts w:ascii="Times New Roman" w:cs="Times New Roman" w:eastAsia="Times New Roman" w:hAnsi="Times New Roman"/>
                <w:b w:val="false"/>
                <w:bCs w:val="false"/>
                <w:i/>
                <w:iCs/>
                <w:caps w:val="false"/>
                <w:color w:val="7A848C"/>
                <w:sz w:val="13"/>
                <w:szCs w:val="13"/>
              </w:rPr>
              <w:t xml:space="preserve">  first-generated · unprocessed · read-only · may be a link</w:t>
            </w:r>
          </w:p>
          <w:p>
            <w:pPr>
              <w:spacing w:after="14" w:before="0" w:line="224"/>
              <w:jc w:val="left"/>
            </w:pPr>
            <w:r>
              <w:rPr>
                <w:rFonts w:ascii="Times New Roman" w:cs="Times New Roman" w:eastAsia="Times New Roman" w:hAnsi="Times New Roman"/>
                <w:b w:val="false"/>
                <w:bCs w:val="false"/>
                <w:i w:val="false"/>
                <w:iCs w:val="false"/>
                <w:caps w:val="false"/>
                <w:color w:val="20262B"/>
                <w:sz w:val="16"/>
                <w:szCs w:val="16"/>
              </w:rPr>
              <w:t xml:space="preserve">│   ├─ primary_data/    </w:t>
            </w:r>
            <w:r>
              <w:rPr>
                <w:rFonts w:ascii="Times New Roman" w:cs="Times New Roman" w:eastAsia="Times New Roman" w:hAnsi="Times New Roman"/>
                <w:b w:val="false"/>
                <w:bCs w:val="false"/>
                <w:i/>
                <w:iCs/>
                <w:caps w:val="false"/>
                <w:color w:val="7A848C"/>
                <w:sz w:val="13"/>
                <w:szCs w:val="13"/>
              </w:rPr>
              <w:t xml:space="preserve">  raw made usable — cleaned, open, analysis-ready</w:t>
            </w:r>
          </w:p>
          <w:p>
            <w:pPr>
              <w:spacing w:after="14" w:before="0" w:line="224"/>
              <w:jc w:val="left"/>
            </w:pPr>
            <w:r>
              <w:rPr>
                <w:rFonts w:ascii="Times New Roman" w:cs="Times New Roman" w:eastAsia="Times New Roman" w:hAnsi="Times New Roman"/>
                <w:b w:val="false"/>
                <w:bCs w:val="false"/>
                <w:i w:val="false"/>
                <w:iCs w:val="false"/>
                <w:caps w:val="false"/>
                <w:color w:val="20262B"/>
                <w:sz w:val="16"/>
                <w:szCs w:val="16"/>
              </w:rPr>
              <w:t xml:space="preserve">│   ├─ secondary_data/  </w:t>
            </w:r>
            <w:r>
              <w:rPr>
                <w:rFonts w:ascii="Times New Roman" w:cs="Times New Roman" w:eastAsia="Times New Roman" w:hAnsi="Times New Roman"/>
                <w:b w:val="false"/>
                <w:bCs w:val="false"/>
                <w:i/>
                <w:iCs/>
                <w:caps w:val="false"/>
                <w:color w:val="7A848C"/>
                <w:sz w:val="13"/>
                <w:szCs w:val="13"/>
              </w:rPr>
              <w:t xml:space="preserve">  compiled from existing / external sources</w:t>
            </w:r>
          </w:p>
          <w:p>
            <w:pPr>
              <w:spacing w:after="14" w:before="0" w:line="224"/>
              <w:jc w:val="left"/>
            </w:pPr>
            <w:r>
              <w:rPr>
                <w:rFonts w:ascii="Times New Roman" w:cs="Times New Roman" w:eastAsia="Times New Roman" w:hAnsi="Times New Roman"/>
                <w:b w:val="false"/>
                <w:bCs w:val="false"/>
                <w:i w:val="false"/>
                <w:iCs w:val="false"/>
                <w:caps w:val="false"/>
                <w:color w:val="0F6E77"/>
                <w:sz w:val="16"/>
                <w:szCs w:val="16"/>
              </w:rPr>
              <w:t xml:space="preserve">│   └─ meta_data/       </w:t>
            </w:r>
            <w:r>
              <w:rPr>
                <w:rFonts w:ascii="Times New Roman" w:cs="Times New Roman" w:eastAsia="Times New Roman" w:hAnsi="Times New Roman"/>
                <w:b w:val="false"/>
                <w:bCs w:val="false"/>
                <w:i/>
                <w:iCs/>
                <w:caps w:val="false"/>
                <w:color w:val="7A848C"/>
                <w:sz w:val="13"/>
                <w:szCs w:val="13"/>
              </w:rPr>
              <w:t xml:space="preserve">  the data model · file pointers · controlled vocabulary · = DATAFINDER</w:t>
            </w:r>
          </w:p>
          <w:p>
            <w:pPr>
              <w:spacing w:after="14" w:before="0" w:line="224"/>
              <w:jc w:val="left"/>
            </w:pPr>
            <w:r>
              <w:rPr>
                <w:rFonts w:ascii="Times New Roman" w:cs="Times New Roman" w:eastAsia="Times New Roman" w:hAnsi="Times New Roman"/>
                <w:b w:val="false"/>
                <w:bCs w:val="false"/>
                <w:i w:val="false"/>
                <w:iCs w:val="false"/>
                <w:caps w:val="false"/>
                <w:color w:val="7A848C"/>
                <w:sz w:val="16"/>
                <w:szCs w:val="16"/>
              </w:rPr>
              <w:t xml:space="preserve">│                       </w:t>
            </w:r>
          </w:p>
          <w:p>
            <w:pPr>
              <w:spacing w:after="14" w:before="0" w:line="224"/>
              <w:jc w:val="left"/>
            </w:pPr>
            <w:r>
              <w:rPr>
                <w:rFonts w:ascii="Times New Roman" w:cs="Times New Roman" w:eastAsia="Times New Roman" w:hAnsi="Times New Roman"/>
                <w:b/>
                <w:bCs/>
                <w:i w:val="false"/>
                <w:iCs w:val="false"/>
                <w:caps w:val="false"/>
                <w:color w:val="20262B"/>
                <w:sz w:val="16"/>
                <w:szCs w:val="16"/>
              </w:rPr>
              <w:t xml:space="preserve">├─ documents/           </w:t>
            </w:r>
          </w:p>
          <w:p>
            <w:pPr>
              <w:spacing w:after="14" w:before="0" w:line="224"/>
              <w:jc w:val="left"/>
            </w:pPr>
            <w:r>
              <w:rPr>
                <w:rFonts w:ascii="Times New Roman" w:cs="Times New Roman" w:eastAsia="Times New Roman" w:hAnsi="Times New Roman"/>
                <w:b w:val="false"/>
                <w:bCs w:val="false"/>
                <w:i w:val="false"/>
                <w:iCs w:val="false"/>
                <w:caps w:val="false"/>
                <w:color w:val="20262B"/>
                <w:sz w:val="16"/>
                <w:szCs w:val="16"/>
              </w:rPr>
              <w:t xml:space="preserve">│   ├─ project_plan/    </w:t>
            </w:r>
            <w:r>
              <w:rPr>
                <w:rFonts w:ascii="Times New Roman" w:cs="Times New Roman" w:eastAsia="Times New Roman" w:hAnsi="Times New Roman"/>
                <w:b w:val="false"/>
                <w:bCs w:val="false"/>
                <w:i/>
                <w:iCs/>
                <w:caps w:val="false"/>
                <w:color w:val="7A848C"/>
                <w:sz w:val="13"/>
                <w:szCs w:val="13"/>
              </w:rPr>
              <w:t xml:space="preserve">  the plan · pipeline &amp; workflow flowcharts · ELN link</w:t>
            </w:r>
          </w:p>
          <w:p>
            <w:pPr>
              <w:spacing w:after="14" w:before="0" w:line="224"/>
              <w:jc w:val="left"/>
            </w:pPr>
            <w:r>
              <w:rPr>
                <w:rFonts w:ascii="Times New Roman" w:cs="Times New Roman" w:eastAsia="Times New Roman" w:hAnsi="Times New Roman"/>
                <w:b w:val="false"/>
                <w:bCs w:val="false"/>
                <w:i w:val="false"/>
                <w:iCs w:val="false"/>
                <w:caps w:val="false"/>
                <w:color w:val="20262B"/>
                <w:sz w:val="16"/>
                <w:szCs w:val="16"/>
              </w:rPr>
              <w:t xml:space="preserve">│   └─ report/          </w:t>
            </w:r>
            <w:r>
              <w:rPr>
                <w:rFonts w:ascii="Times New Roman" w:cs="Times New Roman" w:eastAsia="Times New Roman" w:hAnsi="Times New Roman"/>
                <w:b w:val="false"/>
                <w:bCs w:val="false"/>
                <w:i/>
                <w:iCs/>
                <w:caps w:val="false"/>
                <w:color w:val="7A848C"/>
                <w:sz w:val="13"/>
                <w:szCs w:val="13"/>
              </w:rPr>
              <w:t xml:space="preserve">  daily reports · intermediate results · discussion</w:t>
            </w:r>
          </w:p>
          <w:p>
            <w:pPr>
              <w:spacing w:after="14" w:before="0" w:line="224"/>
              <w:jc w:val="left"/>
            </w:pPr>
            <w:r>
              <w:rPr>
                <w:rFonts w:ascii="Times New Roman" w:cs="Times New Roman" w:eastAsia="Times New Roman" w:hAnsi="Times New Roman"/>
                <w:b w:val="false"/>
                <w:bCs w:val="false"/>
                <w:i w:val="false"/>
                <w:iCs w:val="false"/>
                <w:caps w:val="false"/>
                <w:color w:val="7A848C"/>
                <w:sz w:val="16"/>
                <w:szCs w:val="16"/>
              </w:rPr>
              <w:t xml:space="preserve">│                       </w:t>
            </w:r>
          </w:p>
          <w:p>
            <w:pPr>
              <w:spacing w:after="14" w:before="0" w:line="224"/>
              <w:jc w:val="left"/>
            </w:pPr>
            <w:r>
              <w:rPr>
                <w:rFonts w:ascii="Times New Roman" w:cs="Times New Roman" w:eastAsia="Times New Roman" w:hAnsi="Times New Roman"/>
                <w:b w:val="false"/>
                <w:bCs w:val="false"/>
                <w:i w:val="false"/>
                <w:iCs w:val="false"/>
                <w:caps w:val="false"/>
                <w:color w:val="20262B"/>
                <w:sz w:val="16"/>
                <w:szCs w:val="16"/>
              </w:rPr>
              <w:t xml:space="preserve">├─ scripts/             </w:t>
            </w:r>
            <w:r>
              <w:rPr>
                <w:rFonts w:ascii="Times New Roman" w:cs="Times New Roman" w:eastAsia="Times New Roman" w:hAnsi="Times New Roman"/>
                <w:b w:val="false"/>
                <w:bCs w:val="false"/>
                <w:i/>
                <w:iCs/>
                <w:caps w:val="false"/>
                <w:color w:val="7A848C"/>
                <w:sz w:val="13"/>
                <w:szCs w:val="13"/>
              </w:rPr>
              <w:t xml:space="preserve">  every pipeline step, numbered &amp; named to the plan</w:t>
            </w:r>
          </w:p>
          <w:p>
            <w:pPr>
              <w:spacing w:after="14" w:before="0" w:line="224"/>
              <w:jc w:val="left"/>
            </w:pPr>
            <w:r>
              <w:rPr>
                <w:rFonts w:ascii="Times New Roman" w:cs="Times New Roman" w:eastAsia="Times New Roman" w:hAnsi="Times New Roman"/>
                <w:b w:val="false"/>
                <w:bCs w:val="false"/>
                <w:i w:val="false"/>
                <w:iCs w:val="false"/>
                <w:caps w:val="false"/>
                <w:color w:val="20262B"/>
                <w:sz w:val="16"/>
                <w:szCs w:val="16"/>
              </w:rPr>
              <w:t xml:space="preserve">├─ analysis/            </w:t>
            </w:r>
            <w:r>
              <w:rPr>
                <w:rFonts w:ascii="Times New Roman" w:cs="Times New Roman" w:eastAsia="Times New Roman" w:hAnsi="Times New Roman"/>
                <w:b w:val="false"/>
                <w:bCs w:val="false"/>
                <w:i/>
                <w:iCs/>
                <w:caps w:val="false"/>
                <w:color w:val="7A848C"/>
                <w:sz w:val="13"/>
                <w:szCs w:val="13"/>
              </w:rPr>
              <w:t xml:space="preserve">  inputs &amp; outputs per step · same numbering as scripts/</w:t>
            </w:r>
          </w:p>
          <w:p>
            <w:pPr>
              <w:spacing w:after="14" w:before="0" w:line="224"/>
              <w:jc w:val="left"/>
            </w:pPr>
            <w:r>
              <w:rPr>
                <w:rFonts w:ascii="Times New Roman" w:cs="Times New Roman" w:eastAsia="Times New Roman" w:hAnsi="Times New Roman"/>
                <w:b w:val="false"/>
                <w:bCs w:val="false"/>
                <w:i w:val="false"/>
                <w:iCs w:val="false"/>
                <w:caps w:val="false"/>
                <w:color w:val="20262B"/>
                <w:sz w:val="16"/>
                <w:szCs w:val="16"/>
              </w:rPr>
              <w:t xml:space="preserve">├─ results/             </w:t>
            </w:r>
            <w:r>
              <w:rPr>
                <w:rFonts w:ascii="Times New Roman" w:cs="Times New Roman" w:eastAsia="Times New Roman" w:hAnsi="Times New Roman"/>
                <w:b w:val="false"/>
                <w:bCs w:val="false"/>
                <w:i/>
                <w:iCs/>
                <w:caps w:val="false"/>
                <w:color w:val="7A848C"/>
                <w:sz w:val="13"/>
                <w:szCs w:val="13"/>
              </w:rPr>
              <w:t xml:space="preserve">  selected results · paper figures · summaries</w:t>
            </w:r>
          </w:p>
          <w:p>
            <w:pPr>
              <w:spacing w:after="14" w:before="0" w:line="224"/>
              <w:jc w:val="left"/>
            </w:pPr>
            <w:r>
              <w:rPr>
                <w:rFonts w:ascii="Times New Roman" w:cs="Times New Roman" w:eastAsia="Times New Roman" w:hAnsi="Times New Roman"/>
                <w:b w:val="false"/>
                <w:bCs w:val="false"/>
                <w:i w:val="false"/>
                <w:iCs w:val="false"/>
                <w:caps w:val="false"/>
                <w:color w:val="20262B"/>
                <w:sz w:val="16"/>
                <w:szCs w:val="16"/>
              </w:rPr>
              <w:t xml:space="preserve">├─ code/                </w:t>
            </w:r>
            <w:r>
              <w:rPr>
                <w:rFonts w:ascii="Times New Roman" w:cs="Times New Roman" w:eastAsia="Times New Roman" w:hAnsi="Times New Roman"/>
                <w:b w:val="false"/>
                <w:bCs w:val="false"/>
                <w:i/>
                <w:iCs/>
                <w:caps w:val="false"/>
                <w:color w:val="7A848C"/>
                <w:sz w:val="13"/>
                <w:szCs w:val="13"/>
              </w:rPr>
              <w:t xml:space="preserve">  when scripts grow into an application</w:t>
            </w:r>
          </w:p>
          <w:p>
            <w:pPr>
              <w:spacing w:after="14" w:before="0" w:line="224"/>
              <w:jc w:val="left"/>
            </w:pPr>
            <w:r>
              <w:rPr>
                <w:rFonts w:ascii="Times New Roman" w:cs="Times New Roman" w:eastAsia="Times New Roman" w:hAnsi="Times New Roman"/>
                <w:b w:val="false"/>
                <w:bCs w:val="false"/>
                <w:i w:val="false"/>
                <w:iCs w:val="false"/>
                <w:caps w:val="false"/>
                <w:color w:val="7A848C"/>
                <w:sz w:val="16"/>
                <w:szCs w:val="16"/>
              </w:rPr>
              <w:t xml:space="preserve">├─ var/                 </w:t>
            </w:r>
            <w:r>
              <w:rPr>
                <w:rFonts w:ascii="Times New Roman" w:cs="Times New Roman" w:eastAsia="Times New Roman" w:hAnsi="Times New Roman"/>
                <w:b w:val="false"/>
                <w:bCs w:val="false"/>
                <w:i/>
                <w:iCs/>
                <w:caps w:val="false"/>
                <w:color w:val="7A848C"/>
                <w:sz w:val="13"/>
                <w:szCs w:val="13"/>
              </w:rPr>
              <w:t xml:space="preserve">  various — anything that doesn't fit above</w:t>
            </w:r>
          </w:p>
          <w:p>
            <w:pPr>
              <w:spacing w:after="14" w:before="0" w:line="224"/>
              <w:jc w:val="left"/>
            </w:pPr>
            <w:r>
              <w:rPr>
                <w:rFonts w:ascii="Times New Roman" w:cs="Times New Roman" w:eastAsia="Times New Roman" w:hAnsi="Times New Roman"/>
                <w:b w:val="false"/>
                <w:bCs w:val="false"/>
                <w:i w:val="false"/>
                <w:iCs w:val="false"/>
                <w:caps w:val="false"/>
                <w:color w:val="7A848C"/>
                <w:sz w:val="16"/>
                <w:szCs w:val="16"/>
              </w:rPr>
              <w:t xml:space="preserve">└─ …                    </w:t>
            </w:r>
            <w:r>
              <w:rPr>
                <w:rFonts w:ascii="Times New Roman" w:cs="Times New Roman" w:eastAsia="Times New Roman" w:hAnsi="Times New Roman"/>
                <w:b w:val="false"/>
                <w:bCs w:val="false"/>
                <w:i/>
                <w:iCs/>
                <w:caps w:val="false"/>
                <w:color w:val="7A848C"/>
                <w:sz w:val="13"/>
                <w:szCs w:val="13"/>
              </w:rPr>
              <w:t xml:space="preserve">  optional project-specific folders</w:t>
            </w:r>
          </w:p>
        </w:tc>
      </w:tr>
    </w:tbl>
    <w:p>
      <w:pPr>
        <w:spacing w:after="60" w:before="0" w:line="256"/>
        <w:jc w:val="left"/>
      </w:pPr>
    </w:p>
    <w:tbl>
      <w:tblPr>
        <w:tblW w:type="dxa" w:w="10080"/>
        <w:tblBorders>
          <w:top w:val="none"/>
          <w:left w:val="none"/>
          <w:bottom w:val="none"/>
          <w:right w:val="none"/>
          <w:insideH w:val="none"/>
          <w:insideV w:val="none"/>
        </w:tblBorders>
      </w:tblPr>
      <w:tblGrid>
        <w:gridCol w:w="3266"/>
        <w:gridCol w:w="140"/>
        <w:gridCol w:w="3266"/>
        <w:gridCol w:w="140"/>
        <w:gridCol w:w="3266"/>
      </w:tblGrid>
      <w:tr>
        <w:tc>
          <w:tcPr>
            <w:tcW w:type="dxa" w:w="3266"/>
            <w:tcBorders>
              <w:top w:val="none"/>
              <w:left w:val="none"/>
              <w:bottom w:val="none"/>
              <w:right w:val="none"/>
            </w:tcBorders>
            <w:shd w:fill="EEF1F2" w:val="clear"/>
            <w:tcMar>
              <w:top w:type="dxa" w:w="100"/>
              <w:left w:type="dxa" w:w="130"/>
              <w:bottom w:type="dxa" w:w="100"/>
              <w:right w:type="dxa" w:w="130"/>
            </w:tcMar>
            <w:vAlign w:val="top"/>
          </w:tcPr>
          <w:p>
            <w:pPr>
              <w:spacing w:after="40" w:before="0" w:line="256"/>
              <w:jc w:val="left"/>
            </w:pPr>
            <w:r>
              <w:rPr>
                <w:rFonts w:ascii="Times New Roman" w:cs="Times New Roman" w:eastAsia="Times New Roman" w:hAnsi="Times New Roman"/>
                <w:b/>
                <w:bCs/>
                <w:i w:val="false"/>
                <w:iCs w:val="false"/>
                <w:caps/>
                <w:color w:val="0F6E77"/>
                <w:spacing w:val="6"/>
                <w:sz w:val="14"/>
                <w:szCs w:val="14"/>
              </w:rPr>
              <w:t xml:space="preserve">Raw is the ground truth</w:t>
            </w:r>
          </w:p>
          <w:p>
            <w:pPr>
              <w:spacing w:after="60" w:before="0" w:line="216"/>
              <w:jc w:val="left"/>
            </w:pPr>
            <w:r>
              <w:rPr>
                <w:rFonts w:ascii="Times New Roman" w:cs="Times New Roman" w:eastAsia="Times New Roman" w:hAnsi="Times New Roman"/>
                <w:b w:val="false"/>
                <w:bCs w:val="false"/>
                <w:i w:val="false"/>
                <w:iCs w:val="false"/>
                <w:caps w:val="false"/>
                <w:color w:val="3C454C"/>
                <w:sz w:val="13"/>
                <w:szCs w:val="13"/>
              </w:rPr>
              <w:t xml:space="preserve">raw_data/ is read-only, or a link to the source. If it changes, nothing downstream can be trusted.</w:t>
            </w:r>
          </w:p>
        </w:tc>
        <w:tc>
          <w:tcPr>
            <w:tcW w:type="dxa" w:w="140"/>
            <w:tcBorders>
              <w:top w:val="none"/>
              <w:left w:val="none"/>
              <w:bottom w:val="none"/>
              <w:right w:val="none"/>
            </w:tcBorders>
            <w:tcMar>
              <w:top w:type="dxa" w:w="70"/>
              <w:left w:type="dxa" w:w="130"/>
              <w:bottom w:type="dxa" w:w="70"/>
              <w:right w:type="dxa" w:w="130"/>
            </w:tcMar>
            <w:vAlign w:val="top"/>
          </w:tcPr>
          <w:p/>
        </w:tc>
        <w:tc>
          <w:tcPr>
            <w:tcW w:type="dxa" w:w="3266"/>
            <w:tcBorders>
              <w:top w:val="none"/>
              <w:left w:val="none"/>
              <w:bottom w:val="none"/>
              <w:right w:val="none"/>
            </w:tcBorders>
            <w:shd w:fill="EEF1F2" w:val="clear"/>
            <w:tcMar>
              <w:top w:type="dxa" w:w="100"/>
              <w:left w:type="dxa" w:w="130"/>
              <w:bottom w:type="dxa" w:w="100"/>
              <w:right w:type="dxa" w:w="130"/>
            </w:tcMar>
            <w:vAlign w:val="top"/>
          </w:tcPr>
          <w:p>
            <w:pPr>
              <w:spacing w:after="40" w:before="0" w:line="256"/>
              <w:jc w:val="left"/>
            </w:pPr>
            <w:r>
              <w:rPr>
                <w:rFonts w:ascii="Times New Roman" w:cs="Times New Roman" w:eastAsia="Times New Roman" w:hAnsi="Times New Roman"/>
                <w:b/>
                <w:bCs/>
                <w:i w:val="false"/>
                <w:iCs w:val="false"/>
                <w:caps/>
                <w:color w:val="0F6E77"/>
                <w:spacing w:val="6"/>
                <w:sz w:val="14"/>
                <w:szCs w:val="14"/>
              </w:rPr>
              <w:t xml:space="preserve">One sample ID, everywhere</w:t>
            </w:r>
          </w:p>
          <w:p>
            <w:pPr>
              <w:spacing w:after="60" w:before="0" w:line="216"/>
              <w:jc w:val="left"/>
            </w:pPr>
            <w:r>
              <w:rPr>
                <w:rFonts w:ascii="Times New Roman" w:cs="Times New Roman" w:eastAsia="Times New Roman" w:hAnsi="Times New Roman"/>
                <w:b w:val="false"/>
                <w:bCs w:val="false"/>
                <w:i w:val="false"/>
                <w:iCs w:val="false"/>
                <w:caps w:val="false"/>
                <w:color w:val="3C454C"/>
                <w:sz w:val="13"/>
                <w:szCs w:val="13"/>
              </w:rPr>
              <w:t xml:space="preserve">The ID from the DATAFINDER is used in every filename, the ELN, the metadata and every link — so everything about a sample can be found from its ID.</w:t>
            </w:r>
          </w:p>
        </w:tc>
        <w:tc>
          <w:tcPr>
            <w:tcW w:type="dxa" w:w="140"/>
            <w:tcBorders>
              <w:top w:val="none"/>
              <w:left w:val="none"/>
              <w:bottom w:val="none"/>
              <w:right w:val="none"/>
            </w:tcBorders>
            <w:tcMar>
              <w:top w:type="dxa" w:w="70"/>
              <w:left w:type="dxa" w:w="130"/>
              <w:bottom w:type="dxa" w:w="70"/>
              <w:right w:type="dxa" w:w="130"/>
            </w:tcMar>
            <w:vAlign w:val="top"/>
          </w:tcPr>
          <w:p/>
        </w:tc>
        <w:tc>
          <w:tcPr>
            <w:tcW w:type="dxa" w:w="3266"/>
            <w:tcBorders>
              <w:top w:val="none"/>
              <w:left w:val="none"/>
              <w:bottom w:val="none"/>
              <w:right w:val="none"/>
            </w:tcBorders>
            <w:shd w:fill="EEF1F2" w:val="clear"/>
            <w:tcMar>
              <w:top w:type="dxa" w:w="100"/>
              <w:left w:type="dxa" w:w="130"/>
              <w:bottom w:type="dxa" w:w="100"/>
              <w:right w:type="dxa" w:w="130"/>
            </w:tcMar>
            <w:vAlign w:val="top"/>
          </w:tcPr>
          <w:p>
            <w:pPr>
              <w:spacing w:after="40" w:before="0" w:line="256"/>
              <w:jc w:val="left"/>
            </w:pPr>
            <w:r>
              <w:rPr>
                <w:rFonts w:ascii="Times New Roman" w:cs="Times New Roman" w:eastAsia="Times New Roman" w:hAnsi="Times New Roman"/>
                <w:b/>
                <w:bCs/>
                <w:i w:val="false"/>
                <w:iCs w:val="false"/>
                <w:caps/>
                <w:color w:val="0F6E77"/>
                <w:spacing w:val="6"/>
                <w:sz w:val="14"/>
                <w:szCs w:val="14"/>
              </w:rPr>
              <w:t xml:space="preserve">DATAFINDER = metadata</w:t>
            </w:r>
          </w:p>
          <w:p>
            <w:pPr>
              <w:spacing w:after="60" w:before="0" w:line="216"/>
              <w:jc w:val="left"/>
            </w:pPr>
            <w:r>
              <w:rPr>
                <w:rFonts w:ascii="Times New Roman" w:cs="Times New Roman" w:eastAsia="Times New Roman" w:hAnsi="Times New Roman"/>
                <w:b w:val="false"/>
                <w:bCs w:val="false"/>
                <w:i w:val="false"/>
                <w:iCs w:val="false"/>
                <w:caps w:val="false"/>
                <w:color w:val="3C454C"/>
                <w:sz w:val="13"/>
                <w:szCs w:val="13"/>
              </w:rPr>
              <w:t xml:space="preserve">One table, two names. It is the searchable index (which sample, which day, which instrument) AND the metadata with its file pointers. Keep one, not two.</w:t>
            </w:r>
          </w:p>
        </w:tc>
      </w:tr>
    </w:tbl>
    <w:p>
      <w:pPr>
        <w:pBdr>
          <w:bottom w:val="single" w:color="D8DCDF" w:sz="6" w:space="6"/>
        </w:pBdr>
        <w:spacing w:after="55" w:before="170" w:line="256"/>
        <w:jc w:val="left"/>
      </w:pPr>
      <w:r>
        <w:rPr>
          <w:rFonts w:ascii="Times New Roman" w:cs="Times New Roman" w:eastAsia="Times New Roman" w:hAnsi="Times New Roman"/>
          <w:b/>
          <w:bCs/>
          <w:i w:val="false"/>
          <w:iCs w:val="false"/>
          <w:caps w:val="false"/>
          <w:color w:val="0F6E77"/>
          <w:sz w:val="20"/>
          <w:szCs w:val="20"/>
        </w:rPr>
        <w:t xml:space="preserve">4   </w:t>
      </w:r>
      <w:r>
        <w:rPr>
          <w:rFonts w:ascii="Times New Roman" w:cs="Times New Roman" w:eastAsia="Times New Roman" w:hAnsi="Times New Roman"/>
          <w:b/>
          <w:bCs/>
          <w:i w:val="false"/>
          <w:iCs w:val="false"/>
          <w:caps w:val="false"/>
          <w:color w:val="20262B"/>
          <w:sz w:val="20"/>
          <w:szCs w:val="20"/>
        </w:rPr>
        <w:t xml:space="preserve">What goes where</w:t>
      </w:r>
    </w:p>
    <w:tbl>
      <w:tblPr>
        <w:tblW w:type="dxa" w:w="10080"/>
        <w:tblBorders>
          <w:top w:val="single" w:color="D8DCDF" w:sz="4"/>
          <w:left w:val="none"/>
          <w:bottom w:val="single" w:color="D8DCDF" w:sz="4"/>
          <w:right w:val="none"/>
          <w:insideH w:val="single" w:color="D8DCDF" w:sz="4"/>
          <w:insideV w:val="none"/>
        </w:tblBorders>
      </w:tblPr>
      <w:tblGrid>
        <w:gridCol w:w="2620"/>
        <w:gridCol w:w="7459"/>
      </w:tblGrid>
      <w:tr>
        <w:tc>
          <w:tcPr>
            <w:tcW w:type="dxa" w:w="2620"/>
            <w:tcBorders>
              <w:top w:val="none"/>
              <w:left w:val="none"/>
              <w:bottom w:val="none"/>
              <w:right w:val="none"/>
            </w:tcBorders>
            <w:tcMar>
              <w:top w:type="dxa" w:w="70"/>
              <w:left w:type="dxa" w:w="130"/>
              <w:bottom w:type="dxa" w:w="70"/>
              <w:right w:type="dxa" w:w="130"/>
            </w:tcMar>
            <w:vAlign w:val="top"/>
          </w:tcPr>
          <w:p>
            <w:pPr>
              <w:spacing w:after="60" w:before="0" w:line="256"/>
              <w:jc w:val="left"/>
            </w:pPr>
            <w:r>
              <w:rPr>
                <w:rFonts w:ascii="Times New Roman" w:cs="Times New Roman" w:eastAsia="Times New Roman" w:hAnsi="Times New Roman"/>
                <w:b/>
                <w:bCs/>
                <w:i w:val="false"/>
                <w:iCs w:val="false"/>
                <w:caps w:val="false"/>
                <w:color w:val="0F6E77"/>
                <w:sz w:val="14"/>
                <w:szCs w:val="14"/>
              </w:rPr>
              <w:t xml:space="preserve">DATAFINDER + meta_data/</w:t>
            </w:r>
          </w:p>
        </w:tc>
        <w:tc>
          <w:tcPr>
            <w:tcW w:type="dxa" w:w="7459"/>
            <w:tcBorders>
              <w:top w:val="none"/>
              <w:left w:val="none"/>
              <w:bottom w:val="none"/>
              <w:right w:val="none"/>
            </w:tcBorders>
            <w:tcMar>
              <w:top w:type="dxa" w:w="70"/>
              <w:left w:type="dxa" w:w="130"/>
              <w:bottom w:type="dxa" w:w="70"/>
              <w:right w:type="dxa" w:w="130"/>
            </w:tcMar>
            <w:vAlign w:val="top"/>
          </w:tcPr>
          <w:p>
            <w:pPr>
              <w:spacing w:after="60" w:before="0" w:line="220"/>
              <w:jc w:val="left"/>
            </w:pPr>
            <w:r>
              <w:rPr>
                <w:rFonts w:ascii="Times New Roman" w:cs="Times New Roman" w:eastAsia="Times New Roman" w:hAnsi="Times New Roman"/>
                <w:b w:val="false"/>
                <w:bCs w:val="false"/>
                <w:i w:val="false"/>
                <w:iCs w:val="false"/>
                <w:caps w:val="false"/>
                <w:color w:val="3C454C"/>
                <w:sz w:val="14"/>
                <w:szCs w:val="14"/>
              </w:rPr>
              <w:t xml:space="preserve">One thing, two names. A searchable table (xlsx/csv, or a small database) with one row per sample: the sample ID, its measurement conditions (day, instrument, treatment …) and a pointer to where each dataset lives. Katharina's “DataFinder” and the metadata model are the same object — the metadata already carries file pointers, so keep a single source of truth. The folder name DATAFINDER stays for familiarity.</w:t>
            </w:r>
          </w:p>
        </w:tc>
      </w:tr>
      <w:tr>
        <w:tc>
          <w:tcPr>
            <w:tcW w:type="dxa" w:w="2620"/>
            <w:tcBorders>
              <w:top w:val="none"/>
              <w:left w:val="none"/>
              <w:bottom w:val="none"/>
              <w:right w:val="none"/>
            </w:tcBorders>
            <w:tcMar>
              <w:top w:type="dxa" w:w="70"/>
              <w:left w:type="dxa" w:w="130"/>
              <w:bottom w:type="dxa" w:w="70"/>
              <w:right w:type="dxa" w:w="130"/>
            </w:tcMar>
            <w:vAlign w:val="top"/>
          </w:tcPr>
          <w:p>
            <w:pPr>
              <w:spacing w:after="60" w:before="0" w:line="256"/>
              <w:jc w:val="left"/>
            </w:pPr>
            <w:r>
              <w:rPr>
                <w:rFonts w:ascii="Times New Roman" w:cs="Times New Roman" w:eastAsia="Times New Roman" w:hAnsi="Times New Roman"/>
                <w:b/>
                <w:bCs/>
                <w:i w:val="false"/>
                <w:iCs w:val="false"/>
                <w:caps w:val="false"/>
                <w:color w:val="0F6E77"/>
                <w:sz w:val="14"/>
                <w:szCs w:val="14"/>
              </w:rPr>
              <w:t xml:space="preserve">raw_data/</w:t>
            </w:r>
          </w:p>
        </w:tc>
        <w:tc>
          <w:tcPr>
            <w:tcW w:type="dxa" w:w="7459"/>
            <w:tcBorders>
              <w:top w:val="none"/>
              <w:left w:val="none"/>
              <w:bottom w:val="none"/>
              <w:right w:val="none"/>
            </w:tcBorders>
            <w:tcMar>
              <w:top w:type="dxa" w:w="70"/>
              <w:left w:type="dxa" w:w="130"/>
              <w:bottom w:type="dxa" w:w="70"/>
              <w:right w:type="dxa" w:w="130"/>
            </w:tcMar>
            <w:vAlign w:val="top"/>
          </w:tcPr>
          <w:p>
            <w:pPr>
              <w:spacing w:after="60" w:before="0" w:line="220"/>
              <w:jc w:val="left"/>
            </w:pPr>
            <w:r>
              <w:rPr>
                <w:rFonts w:ascii="Times New Roman" w:cs="Times New Roman" w:eastAsia="Times New Roman" w:hAnsi="Times New Roman"/>
                <w:b w:val="false"/>
                <w:bCs w:val="false"/>
                <w:i w:val="false"/>
                <w:iCs w:val="false"/>
                <w:caps w:val="false"/>
                <w:color w:val="3C454C"/>
                <w:sz w:val="14"/>
                <w:szCs w:val="14"/>
              </w:rPr>
              <w:t xml:space="preserve">First-generated, unprocessed data. Read-only, or a link to where it lives.</w:t>
            </w:r>
          </w:p>
        </w:tc>
      </w:tr>
      <w:tr>
        <w:tc>
          <w:tcPr>
            <w:tcW w:type="dxa" w:w="2620"/>
            <w:tcBorders>
              <w:top w:val="none"/>
              <w:left w:val="none"/>
              <w:bottom w:val="none"/>
              <w:right w:val="none"/>
            </w:tcBorders>
            <w:tcMar>
              <w:top w:type="dxa" w:w="70"/>
              <w:left w:type="dxa" w:w="130"/>
              <w:bottom w:type="dxa" w:w="70"/>
              <w:right w:type="dxa" w:w="130"/>
            </w:tcMar>
            <w:vAlign w:val="top"/>
          </w:tcPr>
          <w:p>
            <w:pPr>
              <w:spacing w:after="60" w:before="0" w:line="256"/>
              <w:jc w:val="left"/>
            </w:pPr>
            <w:r>
              <w:rPr>
                <w:rFonts w:ascii="Times New Roman" w:cs="Times New Roman" w:eastAsia="Times New Roman" w:hAnsi="Times New Roman"/>
                <w:b/>
                <w:bCs/>
                <w:i w:val="false"/>
                <w:iCs w:val="false"/>
                <w:caps w:val="false"/>
                <w:color w:val="0F6E77"/>
                <w:sz w:val="14"/>
                <w:szCs w:val="14"/>
              </w:rPr>
              <w:t xml:space="preserve">primary_data/</w:t>
            </w:r>
          </w:p>
        </w:tc>
        <w:tc>
          <w:tcPr>
            <w:tcW w:type="dxa" w:w="7459"/>
            <w:tcBorders>
              <w:top w:val="none"/>
              <w:left w:val="none"/>
              <w:bottom w:val="none"/>
              <w:right w:val="none"/>
            </w:tcBorders>
            <w:tcMar>
              <w:top w:type="dxa" w:w="70"/>
              <w:left w:type="dxa" w:w="130"/>
              <w:bottom w:type="dxa" w:w="70"/>
              <w:right w:type="dxa" w:w="130"/>
            </w:tcMar>
            <w:vAlign w:val="top"/>
          </w:tcPr>
          <w:p>
            <w:pPr>
              <w:spacing w:after="60" w:before="0" w:line="220"/>
              <w:jc w:val="left"/>
            </w:pPr>
            <w:r>
              <w:rPr>
                <w:rFonts w:ascii="Times New Roman" w:cs="Times New Roman" w:eastAsia="Times New Roman" w:hAnsi="Times New Roman"/>
                <w:b w:val="false"/>
                <w:bCs w:val="false"/>
                <w:i w:val="false"/>
                <w:iCs w:val="false"/>
                <w:caps w:val="false"/>
                <w:color w:val="3C454C"/>
                <w:sz w:val="14"/>
                <w:szCs w:val="14"/>
              </w:rPr>
              <w:t xml:space="preserve">Raw data made usable: cleaned, converted to open, analysis-ready formats — by code, never by hand.</w:t>
            </w:r>
          </w:p>
        </w:tc>
      </w:tr>
      <w:tr>
        <w:tc>
          <w:tcPr>
            <w:tcW w:type="dxa" w:w="2620"/>
            <w:tcBorders>
              <w:top w:val="none"/>
              <w:left w:val="none"/>
              <w:bottom w:val="none"/>
              <w:right w:val="none"/>
            </w:tcBorders>
            <w:tcMar>
              <w:top w:type="dxa" w:w="70"/>
              <w:left w:type="dxa" w:w="130"/>
              <w:bottom w:type="dxa" w:w="70"/>
              <w:right w:type="dxa" w:w="130"/>
            </w:tcMar>
            <w:vAlign w:val="top"/>
          </w:tcPr>
          <w:p>
            <w:pPr>
              <w:spacing w:after="60" w:before="0" w:line="256"/>
              <w:jc w:val="left"/>
            </w:pPr>
            <w:r>
              <w:rPr>
                <w:rFonts w:ascii="Times New Roman" w:cs="Times New Roman" w:eastAsia="Times New Roman" w:hAnsi="Times New Roman"/>
                <w:b/>
                <w:bCs/>
                <w:i w:val="false"/>
                <w:iCs w:val="false"/>
                <w:caps w:val="false"/>
                <w:color w:val="0F6E77"/>
                <w:sz w:val="14"/>
                <w:szCs w:val="14"/>
              </w:rPr>
              <w:t xml:space="preserve">secondary_data/</w:t>
            </w:r>
          </w:p>
        </w:tc>
        <w:tc>
          <w:tcPr>
            <w:tcW w:type="dxa" w:w="7459"/>
            <w:tcBorders>
              <w:top w:val="none"/>
              <w:left w:val="none"/>
              <w:bottom w:val="none"/>
              <w:right w:val="none"/>
            </w:tcBorders>
            <w:tcMar>
              <w:top w:type="dxa" w:w="70"/>
              <w:left w:type="dxa" w:w="130"/>
              <w:bottom w:type="dxa" w:w="70"/>
              <w:right w:type="dxa" w:w="130"/>
            </w:tcMar>
            <w:vAlign w:val="top"/>
          </w:tcPr>
          <w:p>
            <w:pPr>
              <w:spacing w:after="60" w:before="0" w:line="220"/>
              <w:jc w:val="left"/>
            </w:pPr>
            <w:r>
              <w:rPr>
                <w:rFonts w:ascii="Times New Roman" w:cs="Times New Roman" w:eastAsia="Times New Roman" w:hAnsi="Times New Roman"/>
                <w:b w:val="false"/>
                <w:bCs w:val="false"/>
                <w:i w:val="false"/>
                <w:iCs w:val="false"/>
                <w:caps w:val="false"/>
                <w:color w:val="3C454C"/>
                <w:sz w:val="14"/>
                <w:szCs w:val="14"/>
              </w:rPr>
              <w:t xml:space="preserve">Data compiled from existing / external sources. Not generated by us.</w:t>
            </w:r>
          </w:p>
        </w:tc>
      </w:tr>
      <w:tr>
        <w:tc>
          <w:tcPr>
            <w:tcW w:type="dxa" w:w="2620"/>
            <w:tcBorders>
              <w:top w:val="none"/>
              <w:left w:val="none"/>
              <w:bottom w:val="none"/>
              <w:right w:val="none"/>
            </w:tcBorders>
            <w:tcMar>
              <w:top w:type="dxa" w:w="70"/>
              <w:left w:type="dxa" w:w="130"/>
              <w:bottom w:type="dxa" w:w="70"/>
              <w:right w:type="dxa" w:w="130"/>
            </w:tcMar>
            <w:vAlign w:val="top"/>
          </w:tcPr>
          <w:p>
            <w:pPr>
              <w:spacing w:after="60" w:before="0" w:line="256"/>
              <w:jc w:val="left"/>
            </w:pPr>
            <w:r>
              <w:rPr>
                <w:rFonts w:ascii="Times New Roman" w:cs="Times New Roman" w:eastAsia="Times New Roman" w:hAnsi="Times New Roman"/>
                <w:b/>
                <w:bCs/>
                <w:i w:val="false"/>
                <w:iCs w:val="false"/>
                <w:caps w:val="false"/>
                <w:color w:val="0F6E77"/>
                <w:sz w:val="14"/>
                <w:szCs w:val="14"/>
              </w:rPr>
              <w:t xml:space="preserve">scripts/ · analysis/</w:t>
            </w:r>
          </w:p>
        </w:tc>
        <w:tc>
          <w:tcPr>
            <w:tcW w:type="dxa" w:w="7459"/>
            <w:tcBorders>
              <w:top w:val="none"/>
              <w:left w:val="none"/>
              <w:bottom w:val="none"/>
              <w:right w:val="none"/>
            </w:tcBorders>
            <w:tcMar>
              <w:top w:type="dxa" w:w="70"/>
              <w:left w:type="dxa" w:w="130"/>
              <w:bottom w:type="dxa" w:w="70"/>
              <w:right w:type="dxa" w:w="130"/>
            </w:tcMar>
            <w:vAlign w:val="top"/>
          </w:tcPr>
          <w:p>
            <w:pPr>
              <w:spacing w:after="60" w:before="0" w:line="220"/>
              <w:jc w:val="left"/>
            </w:pPr>
            <w:r>
              <w:rPr>
                <w:rFonts w:ascii="Times New Roman" w:cs="Times New Roman" w:eastAsia="Times New Roman" w:hAnsi="Times New Roman"/>
                <w:b w:val="false"/>
                <w:bCs w:val="false"/>
                <w:i w:val="false"/>
                <w:iCs w:val="false"/>
                <w:caps w:val="false"/>
                <w:color w:val="3C454C"/>
                <w:sz w:val="14"/>
                <w:szCs w:val="14"/>
              </w:rPr>
              <w:t xml:space="preserve">The pipeline and its inputs/outputs, numbered to match the project plan. Delete everything downstream of raw_data/ and this regenerates it.</w:t>
            </w:r>
          </w:p>
        </w:tc>
      </w:tr>
      <w:tr>
        <w:tc>
          <w:tcPr>
            <w:tcW w:type="dxa" w:w="2620"/>
            <w:tcBorders>
              <w:top w:val="none"/>
              <w:left w:val="none"/>
              <w:bottom w:val="none"/>
              <w:right w:val="none"/>
            </w:tcBorders>
            <w:tcMar>
              <w:top w:type="dxa" w:w="70"/>
              <w:left w:type="dxa" w:w="130"/>
              <w:bottom w:type="dxa" w:w="70"/>
              <w:right w:type="dxa" w:w="130"/>
            </w:tcMar>
            <w:vAlign w:val="top"/>
          </w:tcPr>
          <w:p>
            <w:pPr>
              <w:spacing w:after="60" w:before="0" w:line="256"/>
              <w:jc w:val="left"/>
            </w:pPr>
            <w:r>
              <w:rPr>
                <w:rFonts w:ascii="Times New Roman" w:cs="Times New Roman" w:eastAsia="Times New Roman" w:hAnsi="Times New Roman"/>
                <w:b/>
                <w:bCs/>
                <w:i w:val="false"/>
                <w:iCs w:val="false"/>
                <w:caps w:val="false"/>
                <w:color w:val="0F6E77"/>
                <w:sz w:val="14"/>
                <w:szCs w:val="14"/>
              </w:rPr>
              <w:t xml:space="preserve">results/</w:t>
            </w:r>
          </w:p>
        </w:tc>
        <w:tc>
          <w:tcPr>
            <w:tcW w:type="dxa" w:w="7459"/>
            <w:tcBorders>
              <w:top w:val="none"/>
              <w:left w:val="none"/>
              <w:bottom w:val="none"/>
              <w:right w:val="none"/>
            </w:tcBorders>
            <w:tcMar>
              <w:top w:type="dxa" w:w="70"/>
              <w:left w:type="dxa" w:w="130"/>
              <w:bottom w:type="dxa" w:w="70"/>
              <w:right w:type="dxa" w:w="130"/>
            </w:tcMar>
            <w:vAlign w:val="top"/>
          </w:tcPr>
          <w:p>
            <w:pPr>
              <w:spacing w:after="60" w:before="0" w:line="220"/>
              <w:jc w:val="left"/>
            </w:pPr>
            <w:r>
              <w:rPr>
                <w:rFonts w:ascii="Times New Roman" w:cs="Times New Roman" w:eastAsia="Times New Roman" w:hAnsi="Times New Roman"/>
                <w:b w:val="false"/>
                <w:bCs w:val="false"/>
                <w:i w:val="false"/>
                <w:iCs w:val="false"/>
                <w:caps w:val="false"/>
                <w:color w:val="3C454C"/>
                <w:sz w:val="14"/>
                <w:szCs w:val="14"/>
              </w:rPr>
              <w:t xml:space="preserve">Selected outputs: paper figures, summaries for discussion. A curated subset.</w:t>
            </w:r>
          </w:p>
        </w:tc>
      </w:tr>
    </w:tbl>
    <w:p>
      <w:pPr>
        <w:pBdr>
          <w:bottom w:val="single" w:color="D8DCDF" w:sz="6" w:space="6"/>
        </w:pBdr>
        <w:spacing w:after="55" w:before="170" w:line="256"/>
        <w:jc w:val="left"/>
      </w:pPr>
      <w:r>
        <w:rPr>
          <w:rFonts w:ascii="Times New Roman" w:cs="Times New Roman" w:eastAsia="Times New Roman" w:hAnsi="Times New Roman"/>
          <w:b/>
          <w:bCs/>
          <w:i w:val="false"/>
          <w:iCs w:val="false"/>
          <w:caps w:val="false"/>
          <w:color w:val="0F6E77"/>
          <w:sz w:val="20"/>
          <w:szCs w:val="20"/>
        </w:rPr>
        <w:t xml:space="preserve">5   </w:t>
      </w:r>
      <w:r>
        <w:rPr>
          <w:rFonts w:ascii="Times New Roman" w:cs="Times New Roman" w:eastAsia="Times New Roman" w:hAnsi="Times New Roman"/>
          <w:b/>
          <w:bCs/>
          <w:i w:val="false"/>
          <w:iCs w:val="false"/>
          <w:caps w:val="false"/>
          <w:color w:val="20262B"/>
          <w:sz w:val="20"/>
          <w:szCs w:val="20"/>
        </w:rPr>
        <w:t xml:space="preserve">Naming</w:t>
      </w:r>
    </w:p>
    <w:tbl>
      <w:tblPr>
        <w:tblW w:type="dxa" w:w="10080"/>
        <w:tblBorders>
          <w:top w:val="none"/>
          <w:left w:val="none"/>
          <w:bottom w:val="none"/>
          <w:right w:val="none"/>
          <w:insideH w:val="none"/>
          <w:insideV w:val="none"/>
        </w:tblBorders>
      </w:tblPr>
      <w:tblGrid>
        <w:gridCol w:w="10080"/>
      </w:tblGrid>
      <w:tr>
        <w:tc>
          <w:tcPr>
            <w:tcW w:type="dxa" w:w="10080"/>
            <w:tcBorders>
              <w:top w:val="none"/>
              <w:left w:val="single" w:color="0F6E77" w:sz="16"/>
              <w:bottom w:val="none"/>
              <w:right w:val="none"/>
            </w:tcBorders>
            <w:shd w:fill="F5F7F7" w:val="clear"/>
            <w:tcMar>
              <w:top w:type="dxa" w:w="120"/>
              <w:left w:type="dxa" w:w="160"/>
              <w:bottom w:type="dxa" w:w="120"/>
              <w:right w:type="dxa" w:w="160"/>
            </w:tcMar>
            <w:vAlign w:val="top"/>
          </w:tcPr>
          <w:p>
            <w:pPr>
              <w:spacing w:after="50" w:before="0" w:line="224"/>
              <w:jc w:val="left"/>
            </w:pPr>
            <w:r>
              <w:rPr>
                <w:rFonts w:ascii="Times New Roman" w:cs="Times New Roman" w:eastAsia="Times New Roman" w:hAnsi="Times New Roman"/>
                <w:b/>
                <w:bCs/>
                <w:i w:val="false"/>
                <w:iCs w:val="false"/>
                <w:caps w:val="false"/>
                <w:color w:val="20262B"/>
                <w:sz w:val="16"/>
                <w:szCs w:val="16"/>
              </w:rPr>
              <w:t xml:space="preserve">Use the sample ID as the filename. Keep it short.</w:t>
            </w:r>
          </w:p>
          <w:p>
            <w:pPr>
              <w:spacing w:after="50" w:before="0" w:line="256"/>
              <w:jc w:val="left"/>
            </w:pPr>
            <w:r>
              <w:rPr>
                <w:rFonts w:ascii="Times New Roman" w:cs="Times New Roman" w:eastAsia="Times New Roman" w:hAnsi="Times New Roman"/>
                <w:b/>
                <w:bCs/>
                <w:i w:val="false"/>
                <w:iCs w:val="false"/>
                <w:caps w:val="false"/>
                <w:color w:val="0F6E77"/>
                <w:sz w:val="15"/>
                <w:szCs w:val="15"/>
              </w:rPr>
              <w:t xml:space="preserve">YYYYMMDD_sampleID_type_v01.ext</w:t>
            </w:r>
          </w:p>
          <w:p>
            <w:pPr>
              <w:pStyle w:val="ListParagraph"/>
              <w:numPr>
                <w:ilvl w:val="0"/>
                <w:numId w:val="1"/>
              </w:numPr>
              <w:spacing w:after="12" w:before="0" w:line="214"/>
              <w:jc w:val="left"/>
            </w:pPr>
            <w:r>
              <w:rPr>
                <w:rFonts w:ascii="Times New Roman" w:cs="Times New Roman" w:eastAsia="Times New Roman" w:hAnsi="Times New Roman"/>
                <w:b w:val="false"/>
                <w:bCs w:val="false"/>
                <w:i w:val="false"/>
                <w:iCs w:val="false"/>
                <w:caps w:val="false"/>
                <w:color w:val="3C454C"/>
                <w:sz w:val="14"/>
                <w:szCs w:val="14"/>
              </w:rPr>
              <w:t xml:space="preserve">Prefer the sample ID over a long descriptive name — the exact conditions live in the DATAFINDER, not in the filename.</w:t>
            </w:r>
          </w:p>
          <w:p>
            <w:pPr>
              <w:pStyle w:val="ListParagraph"/>
              <w:numPr>
                <w:ilvl w:val="0"/>
                <w:numId w:val="1"/>
              </w:numPr>
              <w:spacing w:after="12" w:before="0" w:line="214"/>
              <w:jc w:val="left"/>
            </w:pPr>
            <w:r>
              <w:rPr>
                <w:rFonts w:ascii="Times New Roman" w:cs="Times New Roman" w:eastAsia="Times New Roman" w:hAnsi="Times New Roman"/>
                <w:b w:val="false"/>
                <w:bCs w:val="false"/>
                <w:i w:val="false"/>
                <w:iCs w:val="false"/>
                <w:caps w:val="false"/>
                <w:color w:val="3C454C"/>
                <w:sz w:val="14"/>
                <w:szCs w:val="14"/>
              </w:rPr>
              <w:t xml:space="preserve">No spaces — use _ between fields, - within a field.</w:t>
            </w:r>
          </w:p>
          <w:p>
            <w:pPr>
              <w:pStyle w:val="ListParagraph"/>
              <w:numPr>
                <w:ilvl w:val="0"/>
                <w:numId w:val="1"/>
              </w:numPr>
              <w:spacing w:after="12" w:before="0" w:line="214"/>
              <w:jc w:val="left"/>
            </w:pPr>
            <w:r>
              <w:rPr>
                <w:rFonts w:ascii="Times New Roman" w:cs="Times New Roman" w:eastAsia="Times New Roman" w:hAnsi="Times New Roman"/>
                <w:b w:val="false"/>
                <w:bCs w:val="false"/>
                <w:i w:val="false"/>
                <w:iCs w:val="false"/>
                <w:caps w:val="false"/>
                <w:color w:val="3C454C"/>
                <w:sz w:val="14"/>
                <w:szCs w:val="14"/>
              </w:rPr>
              <w:t xml:space="preserve">No special characters ( / \ : * ? " &lt; &gt; | &amp; ).</w:t>
            </w:r>
          </w:p>
          <w:p>
            <w:pPr>
              <w:pStyle w:val="ListParagraph"/>
              <w:numPr>
                <w:ilvl w:val="0"/>
                <w:numId w:val="1"/>
              </w:numPr>
              <w:spacing w:after="12" w:before="0" w:line="214"/>
              <w:jc w:val="left"/>
            </w:pPr>
            <w:r>
              <w:rPr>
                <w:rFonts w:ascii="Times New Roman" w:cs="Times New Roman" w:eastAsia="Times New Roman" w:hAnsi="Times New Roman"/>
                <w:b w:val="false"/>
                <w:bCs w:val="false"/>
                <w:i w:val="false"/>
                <w:iCs w:val="false"/>
                <w:caps w:val="false"/>
                <w:color w:val="3C454C"/>
                <w:sz w:val="14"/>
                <w:szCs w:val="14"/>
              </w:rPr>
              <w:t xml:space="preserve">Dates as YYYYMMDD — sorts chronologically.  Leading zeros: 01, 02 …</w:t>
            </w:r>
          </w:p>
          <w:p>
            <w:pPr>
              <w:pStyle w:val="ListParagraph"/>
              <w:numPr>
                <w:ilvl w:val="0"/>
                <w:numId w:val="1"/>
              </w:numPr>
              <w:spacing w:after="12" w:before="0" w:line="214"/>
              <w:jc w:val="left"/>
            </w:pPr>
            <w:r>
              <w:rPr>
                <w:rFonts w:ascii="Times New Roman" w:cs="Times New Roman" w:eastAsia="Times New Roman" w:hAnsi="Times New Roman"/>
                <w:b w:val="false"/>
                <w:bCs w:val="false"/>
                <w:i w:val="false"/>
                <w:iCs w:val="false"/>
                <w:caps w:val="false"/>
                <w:color w:val="3C454C"/>
                <w:sz w:val="14"/>
                <w:szCs w:val="14"/>
              </w:rPr>
              <w:t xml:space="preserve">Machine-readable first: a name a script can parse beats a name that reads like a sentence.</w:t>
            </w:r>
          </w:p>
        </w:tc>
      </w:tr>
    </w:tbl>
    <w:p>
      <w:pPr>
        <w:pBdr>
          <w:bottom w:val="single" w:color="D8DCDF" w:sz="6" w:space="6"/>
        </w:pBdr>
        <w:spacing w:after="55" w:before="170" w:line="256"/>
        <w:jc w:val="left"/>
      </w:pPr>
      <w:r>
        <w:rPr>
          <w:rFonts w:ascii="Times New Roman" w:cs="Times New Roman" w:eastAsia="Times New Roman" w:hAnsi="Times New Roman"/>
          <w:b/>
          <w:bCs/>
          <w:i w:val="false"/>
          <w:iCs w:val="false"/>
          <w:caps w:val="false"/>
          <w:color w:val="0F6E77"/>
          <w:sz w:val="20"/>
          <w:szCs w:val="20"/>
        </w:rPr>
        <w:t xml:space="preserve">6   </w:t>
      </w:r>
      <w:r>
        <w:rPr>
          <w:rFonts w:ascii="Times New Roman" w:cs="Times New Roman" w:eastAsia="Times New Roman" w:hAnsi="Times New Roman"/>
          <w:b/>
          <w:bCs/>
          <w:i w:val="false"/>
          <w:iCs w:val="false"/>
          <w:caps w:val="false"/>
          <w:color w:val="20262B"/>
          <w:sz w:val="20"/>
          <w:szCs w:val="20"/>
        </w:rPr>
        <w:t xml:space="preserve">Links — the connective tissue</w:t>
      </w:r>
    </w:p>
    <w:p>
      <w:pPr>
        <w:spacing w:after="80" w:before="0" w:line="256"/>
        <w:jc w:val="left"/>
      </w:pPr>
      <w:r>
        <w:rPr>
          <w:rFonts w:ascii="Times New Roman" w:cs="Times New Roman" w:eastAsia="Times New Roman" w:hAnsi="Times New Roman"/>
          <w:b w:val="false"/>
          <w:bCs w:val="false"/>
          <w:i/>
          <w:iCs/>
          <w:caps w:val="false"/>
          <w:color w:val="7A848C"/>
          <w:sz w:val="16"/>
          <w:szCs w:val="16"/>
        </w:rPr>
        <w:t xml:space="preserve">Data, documentation and analysis are one project only if they point at each other.</w:t>
      </w:r>
    </w:p>
    <w:p>
      <w:pPr>
        <w:pBdr>
          <w:top w:val="single" w:color="0F6E77" w:sz="4"/>
          <w:bottom w:val="single" w:color="0F6E77" w:sz="4"/>
          <w:left w:val="single" w:color="0F6E77" w:sz="22" w:space="10"/>
          <w:right w:val="single" w:color="0F6E77" w:sz="4"/>
        </w:pBdr>
        <w:shd w:fill="E4EDED" w:val="clear"/>
        <w:spacing w:after="60" w:before="70" w:line="236"/>
        <w:jc w:val="left"/>
      </w:pPr>
      <w:r>
        <w:rPr>
          <w:rFonts w:ascii="Times New Roman" w:cs="Times New Roman" w:eastAsia="Times New Roman" w:hAnsi="Times New Roman"/>
          <w:b/>
          <w:bCs/>
          <w:i w:val="false"/>
          <w:iCs w:val="false"/>
          <w:caps w:val="false"/>
          <w:color w:val="20262B"/>
          <w:sz w:val="15"/>
          <w:szCs w:val="15"/>
        </w:rPr>
        <w:t xml:space="preserve">Link richly, and both ways.  </w:t>
      </w:r>
      <w:r>
        <w:rPr>
          <w:rFonts w:ascii="Times New Roman" w:cs="Times New Roman" w:eastAsia="Times New Roman" w:hAnsi="Times New Roman"/>
          <w:b w:val="false"/>
          <w:bCs w:val="false"/>
          <w:i w:val="false"/>
          <w:iCs w:val="false"/>
          <w:caps w:val="false"/>
          <w:color w:val="3C454C"/>
          <w:sz w:val="15"/>
          <w:szCs w:val="15"/>
        </w:rPr>
        <w:t xml:space="preserve">Data, its documentation and its analysis are only one project if they point at each other. Use the same sample ID everywhere, and keep every external link in the README so nothing has to be hunted for.</w:t>
      </w:r>
    </w:p>
    <w:p>
      <w:pPr>
        <w:spacing w:after="40" w:before="0" w:line="256"/>
        <w:jc w:val="left"/>
      </w:pPr>
    </w:p>
    <w:tbl>
      <w:tblPr>
        <w:tblW w:type="dxa" w:w="10080"/>
        <w:tblBorders>
          <w:top w:val="single" w:color="D8DCDF" w:sz="4"/>
          <w:left w:val="none"/>
          <w:bottom w:val="single" w:color="D8DCDF" w:sz="4"/>
          <w:right w:val="none"/>
          <w:insideH w:val="single" w:color="D8DCDF" w:sz="4"/>
          <w:insideV w:val="none"/>
        </w:tblBorders>
      </w:tblPr>
      <w:tblGrid>
        <w:gridCol w:w="2419"/>
        <w:gridCol w:w="4636"/>
        <w:gridCol w:w="3024"/>
      </w:tblGrid>
      <w:tr>
        <w:tc>
          <w:tcPr>
            <w:tcW w:type="dxa" w:w="2419"/>
            <w:tcBorders>
              <w:top w:val="none"/>
              <w:left w:val="none"/>
              <w:bottom w:val="none"/>
              <w:right w:val="none"/>
            </w:tcBorders>
            <w:tcMar>
              <w:top w:type="dxa" w:w="55"/>
              <w:left w:type="dxa" w:w="130"/>
              <w:bottom w:type="dxa" w:w="55"/>
              <w:right w:type="dxa" w:w="130"/>
            </w:tcMar>
            <w:vAlign w:val="top"/>
          </w:tcPr>
          <w:p>
            <w:pPr>
              <w:spacing w:after="60" w:before="0" w:line="256"/>
              <w:jc w:val="left"/>
            </w:pPr>
            <w:r>
              <w:rPr>
                <w:rFonts w:ascii="Times New Roman" w:cs="Times New Roman" w:eastAsia="Times New Roman" w:hAnsi="Times New Roman"/>
                <w:b/>
                <w:bCs/>
                <w:i w:val="false"/>
                <w:iCs w:val="false"/>
                <w:caps/>
                <w:color w:val="7A848C"/>
                <w:spacing w:val="6"/>
                <w:sz w:val="13"/>
                <w:szCs w:val="13"/>
              </w:rPr>
              <w:t xml:space="preserve">Link to</w:t>
            </w:r>
          </w:p>
        </w:tc>
        <w:tc>
          <w:tcPr>
            <w:tcW w:type="dxa" w:w="4636"/>
            <w:tcBorders>
              <w:top w:val="none"/>
              <w:left w:val="none"/>
              <w:bottom w:val="none"/>
              <w:right w:val="none"/>
            </w:tcBorders>
            <w:tcMar>
              <w:top w:type="dxa" w:w="55"/>
              <w:left w:type="dxa" w:w="130"/>
              <w:bottom w:type="dxa" w:w="55"/>
              <w:right w:type="dxa" w:w="130"/>
            </w:tcMar>
            <w:vAlign w:val="top"/>
          </w:tcPr>
          <w:p>
            <w:pPr>
              <w:spacing w:after="60" w:before="0" w:line="256"/>
              <w:jc w:val="left"/>
            </w:pPr>
            <w:r>
              <w:rPr>
                <w:rFonts w:ascii="Times New Roman" w:cs="Times New Roman" w:eastAsia="Times New Roman" w:hAnsi="Times New Roman"/>
                <w:b/>
                <w:bCs/>
                <w:i w:val="false"/>
                <w:iCs w:val="false"/>
                <w:caps/>
                <w:color w:val="7A848C"/>
                <w:spacing w:val="6"/>
                <w:sz w:val="13"/>
                <w:szCs w:val="13"/>
              </w:rPr>
              <w:t xml:space="preserve">What it connects</w:t>
            </w:r>
          </w:p>
        </w:tc>
        <w:tc>
          <w:tcPr>
            <w:tcW w:type="dxa" w:w="3024"/>
            <w:tcBorders>
              <w:top w:val="none"/>
              <w:left w:val="none"/>
              <w:bottom w:val="none"/>
              <w:right w:val="none"/>
            </w:tcBorders>
            <w:tcMar>
              <w:top w:type="dxa" w:w="55"/>
              <w:left w:type="dxa" w:w="130"/>
              <w:bottom w:type="dxa" w:w="55"/>
              <w:right w:type="dxa" w:w="130"/>
            </w:tcMar>
            <w:vAlign w:val="top"/>
          </w:tcPr>
          <w:p>
            <w:pPr>
              <w:spacing w:after="60" w:before="0" w:line="256"/>
              <w:jc w:val="left"/>
            </w:pPr>
            <w:r>
              <w:rPr>
                <w:rFonts w:ascii="Times New Roman" w:cs="Times New Roman" w:eastAsia="Times New Roman" w:hAnsi="Times New Roman"/>
                <w:b/>
                <w:bCs/>
                <w:i w:val="false"/>
                <w:iCs w:val="false"/>
                <w:caps/>
                <w:color w:val="7A848C"/>
                <w:spacing w:val="6"/>
                <w:sz w:val="13"/>
                <w:szCs w:val="13"/>
              </w:rPr>
              <w:t xml:space="preserve">Recorded in</w:t>
            </w:r>
          </w:p>
        </w:tc>
      </w:tr>
      <w:tr>
        <w:tc>
          <w:tcPr>
            <w:tcW w:type="dxa" w:w="2419"/>
            <w:tcBorders>
              <w:top w:val="none"/>
              <w:left w:val="none"/>
              <w:bottom w:val="none"/>
              <w:right w:val="none"/>
            </w:tcBorders>
            <w:tcMar>
              <w:top w:type="dxa" w:w="55"/>
              <w:left w:type="dxa" w:w="130"/>
              <w:bottom w:type="dxa" w:w="55"/>
              <w:right w:type="dxa" w:w="130"/>
            </w:tcMar>
            <w:vAlign w:val="top"/>
          </w:tcPr>
          <w:p>
            <w:pPr>
              <w:spacing w:after="60" w:before="0" w:line="256"/>
              <w:jc w:val="left"/>
            </w:pPr>
            <w:r>
              <w:rPr>
                <w:rFonts w:ascii="Times New Roman" w:cs="Times New Roman" w:eastAsia="Times New Roman" w:hAnsi="Times New Roman"/>
                <w:b/>
                <w:bCs/>
                <w:i w:val="false"/>
                <w:iCs w:val="false"/>
                <w:caps w:val="false"/>
                <w:color w:val="0F6E77"/>
                <w:sz w:val="14"/>
                <w:szCs w:val="14"/>
              </w:rPr>
              <w:t xml:space="preserve">ELN</w:t>
            </w:r>
          </w:p>
        </w:tc>
        <w:tc>
          <w:tcPr>
            <w:tcW w:type="dxa" w:w="4636"/>
            <w:tcBorders>
              <w:top w:val="none"/>
              <w:left w:val="none"/>
              <w:bottom w:val="none"/>
              <w:right w:val="none"/>
            </w:tcBorders>
            <w:tcMar>
              <w:top w:type="dxa" w:w="55"/>
              <w:left w:type="dxa" w:w="130"/>
              <w:bottom w:type="dxa" w:w="55"/>
              <w:right w:type="dxa" w:w="130"/>
            </w:tcMar>
            <w:vAlign w:val="top"/>
          </w:tcPr>
          <w:p>
            <w:pPr>
              <w:spacing w:after="60" w:before="0" w:line="220"/>
              <w:jc w:val="left"/>
            </w:pPr>
            <w:r>
              <w:rPr>
                <w:rFonts w:ascii="Times New Roman" w:cs="Times New Roman" w:eastAsia="Times New Roman" w:hAnsi="Times New Roman"/>
                <w:b w:val="false"/>
                <w:bCs w:val="false"/>
                <w:i w:val="false"/>
                <w:iCs w:val="false"/>
                <w:caps w:val="false"/>
                <w:color w:val="3C454C"/>
                <w:sz w:val="14"/>
                <w:szCs w:val="14"/>
              </w:rPr>
              <w:t xml:space="preserve">The lab-notebook entry for each run — the same sample ID used in the folder.</w:t>
            </w:r>
          </w:p>
        </w:tc>
        <w:tc>
          <w:tcPr>
            <w:tcW w:type="dxa" w:w="3024"/>
            <w:tcBorders>
              <w:top w:val="none"/>
              <w:left w:val="none"/>
              <w:bottom w:val="none"/>
              <w:right w:val="none"/>
            </w:tcBorders>
            <w:tcMar>
              <w:top w:type="dxa" w:w="55"/>
              <w:left w:type="dxa" w:w="130"/>
              <w:bottom w:type="dxa" w:w="55"/>
              <w:right w:type="dxa" w:w="130"/>
            </w:tcMar>
            <w:vAlign w:val="top"/>
          </w:tcPr>
          <w:p>
            <w:pPr>
              <w:spacing w:after="60" w:before="0" w:line="216"/>
              <w:jc w:val="left"/>
            </w:pPr>
            <w:r>
              <w:rPr>
                <w:rFonts w:ascii="Times New Roman" w:cs="Times New Roman" w:eastAsia="Times New Roman" w:hAnsi="Times New Roman"/>
                <w:b w:val="false"/>
                <w:bCs w:val="false"/>
                <w:i w:val="false"/>
                <w:iCs w:val="false"/>
                <w:caps w:val="false"/>
                <w:color w:val="7A848C"/>
                <w:sz w:val="13"/>
                <w:szCs w:val="13"/>
              </w:rPr>
              <w:t xml:space="preserve">README · meta_data / DATAFINDER</w:t>
            </w:r>
          </w:p>
        </w:tc>
      </w:tr>
      <w:tr>
        <w:tc>
          <w:tcPr>
            <w:tcW w:type="dxa" w:w="2419"/>
            <w:tcBorders>
              <w:top w:val="none"/>
              <w:left w:val="none"/>
              <w:bottom w:val="none"/>
              <w:right w:val="none"/>
            </w:tcBorders>
            <w:tcMar>
              <w:top w:type="dxa" w:w="55"/>
              <w:left w:type="dxa" w:w="130"/>
              <w:bottom w:type="dxa" w:w="55"/>
              <w:right w:type="dxa" w:w="130"/>
            </w:tcMar>
            <w:vAlign w:val="top"/>
          </w:tcPr>
          <w:p>
            <w:pPr>
              <w:spacing w:after="60" w:before="0" w:line="256"/>
              <w:jc w:val="left"/>
            </w:pPr>
            <w:r>
              <w:rPr>
                <w:rFonts w:ascii="Times New Roman" w:cs="Times New Roman" w:eastAsia="Times New Roman" w:hAnsi="Times New Roman"/>
                <w:b/>
                <w:bCs/>
                <w:i w:val="false"/>
                <w:iCs w:val="false"/>
                <w:caps w:val="false"/>
                <w:color w:val="0F6E77"/>
                <w:sz w:val="14"/>
                <w:szCs w:val="14"/>
              </w:rPr>
              <w:t xml:space="preserve">Data / cloud</w:t>
            </w:r>
          </w:p>
        </w:tc>
        <w:tc>
          <w:tcPr>
            <w:tcW w:type="dxa" w:w="4636"/>
            <w:tcBorders>
              <w:top w:val="none"/>
              <w:left w:val="none"/>
              <w:bottom w:val="none"/>
              <w:right w:val="none"/>
            </w:tcBorders>
            <w:tcMar>
              <w:top w:type="dxa" w:w="55"/>
              <w:left w:type="dxa" w:w="130"/>
              <w:bottom w:type="dxa" w:w="55"/>
              <w:right w:type="dxa" w:w="130"/>
            </w:tcMar>
            <w:vAlign w:val="top"/>
          </w:tcPr>
          <w:p>
            <w:pPr>
              <w:spacing w:after="60" w:before="0" w:line="220"/>
              <w:jc w:val="left"/>
            </w:pPr>
            <w:r>
              <w:rPr>
                <w:rFonts w:ascii="Times New Roman" w:cs="Times New Roman" w:eastAsia="Times New Roman" w:hAnsi="Times New Roman"/>
                <w:b w:val="false"/>
                <w:bCs w:val="false"/>
                <w:i w:val="false"/>
                <w:iCs w:val="false"/>
                <w:caps w:val="false"/>
                <w:color w:val="3C454C"/>
                <w:sz w:val="14"/>
                <w:szCs w:val="14"/>
              </w:rPr>
              <w:t xml:space="preserve">Where the data actually lives if not in this folder (Nextcloud, group storage, archive).</w:t>
            </w:r>
          </w:p>
        </w:tc>
        <w:tc>
          <w:tcPr>
            <w:tcW w:type="dxa" w:w="3024"/>
            <w:tcBorders>
              <w:top w:val="none"/>
              <w:left w:val="none"/>
              <w:bottom w:val="none"/>
              <w:right w:val="none"/>
            </w:tcBorders>
            <w:tcMar>
              <w:top w:type="dxa" w:w="55"/>
              <w:left w:type="dxa" w:w="130"/>
              <w:bottom w:type="dxa" w:w="55"/>
              <w:right w:type="dxa" w:w="130"/>
            </w:tcMar>
            <w:vAlign w:val="top"/>
          </w:tcPr>
          <w:p>
            <w:pPr>
              <w:spacing w:after="60" w:before="0" w:line="216"/>
              <w:jc w:val="left"/>
            </w:pPr>
            <w:r>
              <w:rPr>
                <w:rFonts w:ascii="Times New Roman" w:cs="Times New Roman" w:eastAsia="Times New Roman" w:hAnsi="Times New Roman"/>
                <w:b w:val="false"/>
                <w:bCs w:val="false"/>
                <w:i w:val="false"/>
                <w:iCs w:val="false"/>
                <w:caps w:val="false"/>
                <w:color w:val="7A848C"/>
                <w:sz w:val="13"/>
                <w:szCs w:val="13"/>
              </w:rPr>
              <w:t xml:space="preserve">README · raw_data/ (as a link)</w:t>
            </w:r>
          </w:p>
        </w:tc>
      </w:tr>
      <w:tr>
        <w:tc>
          <w:tcPr>
            <w:tcW w:type="dxa" w:w="2419"/>
            <w:tcBorders>
              <w:top w:val="none"/>
              <w:left w:val="none"/>
              <w:bottom w:val="none"/>
              <w:right w:val="none"/>
            </w:tcBorders>
            <w:tcMar>
              <w:top w:type="dxa" w:w="55"/>
              <w:left w:type="dxa" w:w="130"/>
              <w:bottom w:type="dxa" w:w="55"/>
              <w:right w:type="dxa" w:w="130"/>
            </w:tcMar>
            <w:vAlign w:val="top"/>
          </w:tcPr>
          <w:p>
            <w:pPr>
              <w:spacing w:after="60" w:before="0" w:line="256"/>
              <w:jc w:val="left"/>
            </w:pPr>
            <w:r>
              <w:rPr>
                <w:rFonts w:ascii="Times New Roman" w:cs="Times New Roman" w:eastAsia="Times New Roman" w:hAnsi="Times New Roman"/>
                <w:b/>
                <w:bCs/>
                <w:i w:val="false"/>
                <w:iCs w:val="false"/>
                <w:caps w:val="false"/>
                <w:color w:val="0F6E77"/>
                <w:sz w:val="14"/>
                <w:szCs w:val="14"/>
              </w:rPr>
              <w:t xml:space="preserve">Analysis server</w:t>
            </w:r>
          </w:p>
        </w:tc>
        <w:tc>
          <w:tcPr>
            <w:tcW w:type="dxa" w:w="4636"/>
            <w:tcBorders>
              <w:top w:val="none"/>
              <w:left w:val="none"/>
              <w:bottom w:val="none"/>
              <w:right w:val="none"/>
            </w:tcBorders>
            <w:tcMar>
              <w:top w:type="dxa" w:w="55"/>
              <w:left w:type="dxa" w:w="130"/>
              <w:bottom w:type="dxa" w:w="55"/>
              <w:right w:type="dxa" w:w="130"/>
            </w:tcMar>
            <w:vAlign w:val="top"/>
          </w:tcPr>
          <w:p>
            <w:pPr>
              <w:spacing w:after="60" w:before="0" w:line="220"/>
              <w:jc w:val="left"/>
            </w:pPr>
            <w:r>
              <w:rPr>
                <w:rFonts w:ascii="Times New Roman" w:cs="Times New Roman" w:eastAsia="Times New Roman" w:hAnsi="Times New Roman"/>
                <w:b w:val="false"/>
                <w:bCs w:val="false"/>
                <w:i w:val="false"/>
                <w:iCs w:val="false"/>
                <w:caps w:val="false"/>
                <w:color w:val="3C454C"/>
                <w:sz w:val="14"/>
                <w:szCs w:val="14"/>
              </w:rPr>
              <w:t xml:space="preserve">The HPC / JupyterHub location where the pipeline runs, if not local.</w:t>
            </w:r>
          </w:p>
        </w:tc>
        <w:tc>
          <w:tcPr>
            <w:tcW w:type="dxa" w:w="3024"/>
            <w:tcBorders>
              <w:top w:val="none"/>
              <w:left w:val="none"/>
              <w:bottom w:val="none"/>
              <w:right w:val="none"/>
            </w:tcBorders>
            <w:tcMar>
              <w:top w:type="dxa" w:w="55"/>
              <w:left w:type="dxa" w:w="130"/>
              <w:bottom w:type="dxa" w:w="55"/>
              <w:right w:type="dxa" w:w="130"/>
            </w:tcMar>
            <w:vAlign w:val="top"/>
          </w:tcPr>
          <w:p>
            <w:pPr>
              <w:spacing w:after="60" w:before="0" w:line="216"/>
              <w:jc w:val="left"/>
            </w:pPr>
            <w:r>
              <w:rPr>
                <w:rFonts w:ascii="Times New Roman" w:cs="Times New Roman" w:eastAsia="Times New Roman" w:hAnsi="Times New Roman"/>
                <w:b w:val="false"/>
                <w:bCs w:val="false"/>
                <w:i w:val="false"/>
                <w:iCs w:val="false"/>
                <w:caps w:val="false"/>
                <w:color w:val="7A848C"/>
                <w:sz w:val="13"/>
                <w:szCs w:val="13"/>
              </w:rPr>
              <w:t xml:space="preserve">README · project_plan/</w:t>
            </w:r>
          </w:p>
        </w:tc>
      </w:tr>
      <w:tr>
        <w:tc>
          <w:tcPr>
            <w:tcW w:type="dxa" w:w="2419"/>
            <w:tcBorders>
              <w:top w:val="none"/>
              <w:left w:val="none"/>
              <w:bottom w:val="none"/>
              <w:right w:val="none"/>
            </w:tcBorders>
            <w:tcMar>
              <w:top w:type="dxa" w:w="55"/>
              <w:left w:type="dxa" w:w="130"/>
              <w:bottom w:type="dxa" w:w="55"/>
              <w:right w:type="dxa" w:w="130"/>
            </w:tcMar>
            <w:vAlign w:val="top"/>
          </w:tcPr>
          <w:p>
            <w:pPr>
              <w:spacing w:after="60" w:before="0" w:line="256"/>
              <w:jc w:val="left"/>
            </w:pPr>
            <w:r>
              <w:rPr>
                <w:rFonts w:ascii="Times New Roman" w:cs="Times New Roman" w:eastAsia="Times New Roman" w:hAnsi="Times New Roman"/>
                <w:b/>
                <w:bCs/>
                <w:i w:val="false"/>
                <w:iCs w:val="false"/>
                <w:caps w:val="false"/>
                <w:color w:val="0F6E77"/>
                <w:sz w:val="14"/>
                <w:szCs w:val="14"/>
              </w:rPr>
              <w:t xml:space="preserve">Code repository</w:t>
            </w:r>
          </w:p>
        </w:tc>
        <w:tc>
          <w:tcPr>
            <w:tcW w:type="dxa" w:w="4636"/>
            <w:tcBorders>
              <w:top w:val="none"/>
              <w:left w:val="none"/>
              <w:bottom w:val="none"/>
              <w:right w:val="none"/>
            </w:tcBorders>
            <w:tcMar>
              <w:top w:type="dxa" w:w="55"/>
              <w:left w:type="dxa" w:w="130"/>
              <w:bottom w:type="dxa" w:w="55"/>
              <w:right w:type="dxa" w:w="130"/>
            </w:tcMar>
            <w:vAlign w:val="top"/>
          </w:tcPr>
          <w:p>
            <w:pPr>
              <w:spacing w:after="60" w:before="0" w:line="220"/>
              <w:jc w:val="left"/>
            </w:pPr>
            <w:r>
              <w:rPr>
                <w:rFonts w:ascii="Times New Roman" w:cs="Times New Roman" w:eastAsia="Times New Roman" w:hAnsi="Times New Roman"/>
                <w:b w:val="false"/>
                <w:bCs w:val="false"/>
                <w:i w:val="false"/>
                <w:iCs w:val="false"/>
                <w:caps w:val="false"/>
                <w:color w:val="3C454C"/>
                <w:sz w:val="14"/>
                <w:szCs w:val="14"/>
              </w:rPr>
              <w:t xml:space="preserve">The Git repository holding scripts/ and code/.</w:t>
            </w:r>
          </w:p>
        </w:tc>
        <w:tc>
          <w:tcPr>
            <w:tcW w:type="dxa" w:w="3024"/>
            <w:tcBorders>
              <w:top w:val="none"/>
              <w:left w:val="none"/>
              <w:bottom w:val="none"/>
              <w:right w:val="none"/>
            </w:tcBorders>
            <w:tcMar>
              <w:top w:type="dxa" w:w="55"/>
              <w:left w:type="dxa" w:w="130"/>
              <w:bottom w:type="dxa" w:w="55"/>
              <w:right w:type="dxa" w:w="130"/>
            </w:tcMar>
            <w:vAlign w:val="top"/>
          </w:tcPr>
          <w:p>
            <w:pPr>
              <w:spacing w:after="60" w:before="0" w:line="216"/>
              <w:jc w:val="left"/>
            </w:pPr>
            <w:r>
              <w:rPr>
                <w:rFonts w:ascii="Times New Roman" w:cs="Times New Roman" w:eastAsia="Times New Roman" w:hAnsi="Times New Roman"/>
                <w:b w:val="false"/>
                <w:bCs w:val="false"/>
                <w:i w:val="false"/>
                <w:iCs w:val="false"/>
                <w:caps w:val="false"/>
                <w:color w:val="7A848C"/>
                <w:sz w:val="13"/>
                <w:szCs w:val="13"/>
              </w:rPr>
              <w:t xml:space="preserve">README</w:t>
            </w:r>
          </w:p>
        </w:tc>
      </w:tr>
      <w:tr>
        <w:tc>
          <w:tcPr>
            <w:tcW w:type="dxa" w:w="2419"/>
            <w:tcBorders>
              <w:top w:val="none"/>
              <w:left w:val="none"/>
              <w:bottom w:val="none"/>
              <w:right w:val="none"/>
            </w:tcBorders>
            <w:tcMar>
              <w:top w:type="dxa" w:w="55"/>
              <w:left w:type="dxa" w:w="130"/>
              <w:bottom w:type="dxa" w:w="55"/>
              <w:right w:type="dxa" w:w="130"/>
            </w:tcMar>
            <w:vAlign w:val="top"/>
          </w:tcPr>
          <w:p>
            <w:pPr>
              <w:spacing w:after="60" w:before="0" w:line="256"/>
              <w:jc w:val="left"/>
            </w:pPr>
            <w:r>
              <w:rPr>
                <w:rFonts w:ascii="Times New Roman" w:cs="Times New Roman" w:eastAsia="Times New Roman" w:hAnsi="Times New Roman"/>
                <w:b/>
                <w:bCs/>
                <w:i w:val="false"/>
                <w:iCs w:val="false"/>
                <w:caps w:val="false"/>
                <w:color w:val="0F6E77"/>
                <w:sz w:val="14"/>
                <w:szCs w:val="14"/>
              </w:rPr>
              <w:t xml:space="preserve">Repository DOI</w:t>
            </w:r>
          </w:p>
        </w:tc>
        <w:tc>
          <w:tcPr>
            <w:tcW w:type="dxa" w:w="4636"/>
            <w:tcBorders>
              <w:top w:val="none"/>
              <w:left w:val="none"/>
              <w:bottom w:val="none"/>
              <w:right w:val="none"/>
            </w:tcBorders>
            <w:tcMar>
              <w:top w:type="dxa" w:w="55"/>
              <w:left w:type="dxa" w:w="130"/>
              <w:bottom w:type="dxa" w:w="55"/>
              <w:right w:type="dxa" w:w="130"/>
            </w:tcMar>
            <w:vAlign w:val="top"/>
          </w:tcPr>
          <w:p>
            <w:pPr>
              <w:spacing w:after="60" w:before="0" w:line="220"/>
              <w:jc w:val="left"/>
            </w:pPr>
            <w:r>
              <w:rPr>
                <w:rFonts w:ascii="Times New Roman" w:cs="Times New Roman" w:eastAsia="Times New Roman" w:hAnsi="Times New Roman"/>
                <w:b w:val="false"/>
                <w:bCs w:val="false"/>
                <w:i w:val="false"/>
                <w:iCs w:val="false"/>
                <w:caps w:val="false"/>
                <w:color w:val="3C454C"/>
                <w:sz w:val="14"/>
                <w:szCs w:val="14"/>
              </w:rPr>
              <w:t xml:space="preserve">The published dataset (Zenodo, ArrayExpress, PRIDE …) and the code DOI.</w:t>
            </w:r>
          </w:p>
        </w:tc>
        <w:tc>
          <w:tcPr>
            <w:tcW w:type="dxa" w:w="3024"/>
            <w:tcBorders>
              <w:top w:val="none"/>
              <w:left w:val="none"/>
              <w:bottom w:val="none"/>
              <w:right w:val="none"/>
            </w:tcBorders>
            <w:tcMar>
              <w:top w:type="dxa" w:w="55"/>
              <w:left w:type="dxa" w:w="130"/>
              <w:bottom w:type="dxa" w:w="55"/>
              <w:right w:type="dxa" w:w="130"/>
            </w:tcMar>
            <w:vAlign w:val="top"/>
          </w:tcPr>
          <w:p>
            <w:pPr>
              <w:spacing w:after="60" w:before="0" w:line="216"/>
              <w:jc w:val="left"/>
            </w:pPr>
            <w:r>
              <w:rPr>
                <w:rFonts w:ascii="Times New Roman" w:cs="Times New Roman" w:eastAsia="Times New Roman" w:hAnsi="Times New Roman"/>
                <w:b w:val="false"/>
                <w:bCs w:val="false"/>
                <w:i w:val="false"/>
                <w:iCs w:val="false"/>
                <w:caps w:val="false"/>
                <w:color w:val="7A848C"/>
                <w:sz w:val="13"/>
                <w:szCs w:val="13"/>
              </w:rPr>
              <w:t xml:space="preserve">README · DMP</w:t>
            </w:r>
          </w:p>
        </w:tc>
      </w:tr>
      <w:tr>
        <w:tc>
          <w:tcPr>
            <w:tcW w:type="dxa" w:w="2419"/>
            <w:tcBorders>
              <w:top w:val="none"/>
              <w:left w:val="none"/>
              <w:bottom w:val="none"/>
              <w:right w:val="none"/>
            </w:tcBorders>
            <w:tcMar>
              <w:top w:type="dxa" w:w="55"/>
              <w:left w:type="dxa" w:w="130"/>
              <w:bottom w:type="dxa" w:w="55"/>
              <w:right w:type="dxa" w:w="130"/>
            </w:tcMar>
            <w:vAlign w:val="top"/>
          </w:tcPr>
          <w:p>
            <w:pPr>
              <w:spacing w:after="60" w:before="0" w:line="256"/>
              <w:jc w:val="left"/>
            </w:pPr>
            <w:r>
              <w:rPr>
                <w:rFonts w:ascii="Times New Roman" w:cs="Times New Roman" w:eastAsia="Times New Roman" w:hAnsi="Times New Roman"/>
                <w:b/>
                <w:bCs/>
                <w:i w:val="false"/>
                <w:iCs w:val="false"/>
                <w:caps w:val="false"/>
                <w:color w:val="0F6E77"/>
                <w:sz w:val="14"/>
                <w:szCs w:val="14"/>
              </w:rPr>
              <w:t xml:space="preserve">Publication</w:t>
            </w:r>
          </w:p>
        </w:tc>
        <w:tc>
          <w:tcPr>
            <w:tcW w:type="dxa" w:w="4636"/>
            <w:tcBorders>
              <w:top w:val="none"/>
              <w:left w:val="none"/>
              <w:bottom w:val="none"/>
              <w:right w:val="none"/>
            </w:tcBorders>
            <w:tcMar>
              <w:top w:type="dxa" w:w="55"/>
              <w:left w:type="dxa" w:w="130"/>
              <w:bottom w:type="dxa" w:w="55"/>
              <w:right w:type="dxa" w:w="130"/>
            </w:tcMar>
            <w:vAlign w:val="top"/>
          </w:tcPr>
          <w:p>
            <w:pPr>
              <w:spacing w:after="60" w:before="0" w:line="220"/>
              <w:jc w:val="left"/>
            </w:pPr>
            <w:r>
              <w:rPr>
                <w:rFonts w:ascii="Times New Roman" w:cs="Times New Roman" w:eastAsia="Times New Roman" w:hAnsi="Times New Roman"/>
                <w:b w:val="false"/>
                <w:bCs w:val="false"/>
                <w:i w:val="false"/>
                <w:iCs w:val="false"/>
                <w:caps w:val="false"/>
                <w:color w:val="3C454C"/>
                <w:sz w:val="14"/>
                <w:szCs w:val="14"/>
              </w:rPr>
              <w:t xml:space="preserve">The paper the data supports, once it exists.</w:t>
            </w:r>
          </w:p>
        </w:tc>
        <w:tc>
          <w:tcPr>
            <w:tcW w:type="dxa" w:w="3024"/>
            <w:tcBorders>
              <w:top w:val="none"/>
              <w:left w:val="none"/>
              <w:bottom w:val="none"/>
              <w:right w:val="none"/>
            </w:tcBorders>
            <w:tcMar>
              <w:top w:type="dxa" w:w="55"/>
              <w:left w:type="dxa" w:w="130"/>
              <w:bottom w:type="dxa" w:w="55"/>
              <w:right w:type="dxa" w:w="130"/>
            </w:tcMar>
            <w:vAlign w:val="top"/>
          </w:tcPr>
          <w:p>
            <w:pPr>
              <w:spacing w:after="60" w:before="0" w:line="216"/>
              <w:jc w:val="left"/>
            </w:pPr>
            <w:r>
              <w:rPr>
                <w:rFonts w:ascii="Times New Roman" w:cs="Times New Roman" w:eastAsia="Times New Roman" w:hAnsi="Times New Roman"/>
                <w:b w:val="false"/>
                <w:bCs w:val="false"/>
                <w:i w:val="false"/>
                <w:iCs w:val="false"/>
                <w:caps w:val="false"/>
                <w:color w:val="7A848C"/>
                <w:sz w:val="13"/>
                <w:szCs w:val="13"/>
              </w:rPr>
              <w:t xml:space="preserve">README · DMP</w:t>
            </w:r>
          </w:p>
        </w:tc>
      </w:tr>
    </w:tbl>
    <w:p>
      <w:pPr>
        <w:pBdr>
          <w:bottom w:val="single" w:color="D8DCDF" w:sz="6" w:space="6"/>
        </w:pBdr>
        <w:spacing w:after="55" w:before="170" w:line="256"/>
        <w:jc w:val="left"/>
      </w:pPr>
      <w:r>
        <w:rPr>
          <w:rFonts w:ascii="Times New Roman" w:cs="Times New Roman" w:eastAsia="Times New Roman" w:hAnsi="Times New Roman"/>
          <w:b/>
          <w:bCs/>
          <w:i w:val="false"/>
          <w:iCs w:val="false"/>
          <w:caps w:val="false"/>
          <w:color w:val="0F6E77"/>
          <w:sz w:val="20"/>
          <w:szCs w:val="20"/>
        </w:rPr>
        <w:t xml:space="preserve">7   </w:t>
      </w:r>
      <w:r>
        <w:rPr>
          <w:rFonts w:ascii="Times New Roman" w:cs="Times New Roman" w:eastAsia="Times New Roman" w:hAnsi="Times New Roman"/>
          <w:b/>
          <w:bCs/>
          <w:i w:val="false"/>
          <w:iCs w:val="false"/>
          <w:caps w:val="false"/>
          <w:color w:val="20262B"/>
          <w:sz w:val="20"/>
          <w:szCs w:val="20"/>
        </w:rPr>
        <w:t xml:space="preserve">Keep it machine-readable</w:t>
      </w:r>
    </w:p>
    <w:p>
      <w:pPr>
        <w:spacing w:after="80" w:before="0" w:line="256"/>
        <w:jc w:val="left"/>
      </w:pPr>
      <w:r>
        <w:rPr>
          <w:rFonts w:ascii="Times New Roman" w:cs="Times New Roman" w:eastAsia="Times New Roman" w:hAnsi="Times New Roman"/>
          <w:b w:val="false"/>
          <w:bCs w:val="false"/>
          <w:i/>
          <w:iCs/>
          <w:caps w:val="false"/>
          <w:color w:val="7A848C"/>
          <w:sz w:val="16"/>
          <w:szCs w:val="16"/>
        </w:rPr>
        <w:t xml:space="preserve">Data a machine cannot read is data a future colleague cannot reuse. Prefer open, structured, parseable formats — and export the ELN so its content survives outside the ELN.</w:t>
      </w:r>
    </w:p>
    <w:tbl>
      <w:tblPr>
        <w:tblW w:type="dxa" w:w="10080"/>
        <w:tblBorders>
          <w:top w:val="single" w:color="D8DCDF" w:sz="4"/>
          <w:left w:val="none"/>
          <w:bottom w:val="single" w:color="D8DCDF" w:sz="4"/>
          <w:right w:val="none"/>
          <w:insideH w:val="single" w:color="D8DCDF" w:sz="4"/>
          <w:insideV w:val="none"/>
        </w:tblBorders>
      </w:tblPr>
      <w:tblGrid>
        <w:gridCol w:w="3024"/>
        <w:gridCol w:w="7056"/>
      </w:tblGrid>
      <w:tr>
        <w:tc>
          <w:tcPr>
            <w:tcW w:type="dxa" w:w="3024"/>
            <w:tcBorders>
              <w:top w:val="none"/>
              <w:left w:val="none"/>
              <w:bottom w:val="none"/>
              <w:right w:val="none"/>
            </w:tcBorders>
            <w:tcMar>
              <w:top w:type="dxa" w:w="60"/>
              <w:left w:type="dxa" w:w="130"/>
              <w:bottom w:type="dxa" w:w="60"/>
              <w:right w:type="dxa" w:w="130"/>
            </w:tcMar>
            <w:vAlign w:val="top"/>
          </w:tcPr>
          <w:p>
            <w:pPr>
              <w:spacing w:after="60" w:before="0" w:line="256"/>
              <w:jc w:val="left"/>
            </w:pPr>
            <w:r>
              <w:rPr>
                <w:rFonts w:ascii="Times New Roman" w:cs="Times New Roman" w:eastAsia="Times New Roman" w:hAnsi="Times New Roman"/>
                <w:b/>
                <w:bCs/>
                <w:i w:val="false"/>
                <w:iCs w:val="false"/>
                <w:caps w:val="false"/>
                <w:color w:val="0F6E77"/>
                <w:sz w:val="14"/>
                <w:szCs w:val="14"/>
              </w:rPr>
              <w:t xml:space="preserve">Prefer</w:t>
            </w:r>
          </w:p>
        </w:tc>
        <w:tc>
          <w:tcPr>
            <w:tcW w:type="dxa" w:w="7056"/>
            <w:tcBorders>
              <w:top w:val="none"/>
              <w:left w:val="none"/>
              <w:bottom w:val="none"/>
              <w:right w:val="none"/>
            </w:tcBorders>
            <w:tcMar>
              <w:top w:type="dxa" w:w="60"/>
              <w:left w:type="dxa" w:w="130"/>
              <w:bottom w:type="dxa" w:w="60"/>
              <w:right w:type="dxa" w:w="130"/>
            </w:tcMar>
            <w:vAlign w:val="top"/>
          </w:tcPr>
          <w:p>
            <w:pPr>
              <w:spacing w:after="60" w:before="0" w:line="220"/>
              <w:jc w:val="left"/>
            </w:pPr>
            <w:r>
              <w:rPr>
                <w:rFonts w:ascii="Times New Roman" w:cs="Times New Roman" w:eastAsia="Times New Roman" w:hAnsi="Times New Roman"/>
                <w:b w:val="false"/>
                <w:bCs w:val="false"/>
                <w:i w:val="false"/>
                <w:iCs w:val="false"/>
                <w:caps w:val="false"/>
                <w:color w:val="3C454C"/>
                <w:sz w:val="14"/>
                <w:szCs w:val="14"/>
              </w:rPr>
              <w:t xml:space="preserve">CSV / TSV, JSON, plain text or Markdown, and other open structured formats. One column = one piece of information.</w:t>
            </w:r>
          </w:p>
        </w:tc>
      </w:tr>
      <w:tr>
        <w:tc>
          <w:tcPr>
            <w:tcW w:type="dxa" w:w="3024"/>
            <w:tcBorders>
              <w:top w:val="none"/>
              <w:left w:val="none"/>
              <w:bottom w:val="none"/>
              <w:right w:val="none"/>
            </w:tcBorders>
            <w:tcMar>
              <w:top w:type="dxa" w:w="60"/>
              <w:left w:type="dxa" w:w="130"/>
              <w:bottom w:type="dxa" w:w="60"/>
              <w:right w:type="dxa" w:w="130"/>
            </w:tcMar>
            <w:vAlign w:val="top"/>
          </w:tcPr>
          <w:p>
            <w:pPr>
              <w:spacing w:after="60" w:before="0" w:line="256"/>
              <w:jc w:val="left"/>
            </w:pPr>
            <w:r>
              <w:rPr>
                <w:rFonts w:ascii="Times New Roman" w:cs="Times New Roman" w:eastAsia="Times New Roman" w:hAnsi="Times New Roman"/>
                <w:b/>
                <w:bCs/>
                <w:i w:val="false"/>
                <w:iCs w:val="false"/>
                <w:caps w:val="false"/>
                <w:color w:val="0F6E77"/>
                <w:sz w:val="14"/>
                <w:szCs w:val="14"/>
              </w:rPr>
              <w:t xml:space="preserve">Avoid for data</w:t>
            </w:r>
          </w:p>
        </w:tc>
        <w:tc>
          <w:tcPr>
            <w:tcW w:type="dxa" w:w="7056"/>
            <w:tcBorders>
              <w:top w:val="none"/>
              <w:left w:val="none"/>
              <w:bottom w:val="none"/>
              <w:right w:val="none"/>
            </w:tcBorders>
            <w:tcMar>
              <w:top w:type="dxa" w:w="60"/>
              <w:left w:type="dxa" w:w="130"/>
              <w:bottom w:type="dxa" w:w="60"/>
              <w:right w:type="dxa" w:w="130"/>
            </w:tcMar>
            <w:vAlign w:val="top"/>
          </w:tcPr>
          <w:p>
            <w:pPr>
              <w:spacing w:after="60" w:before="0" w:line="220"/>
              <w:jc w:val="left"/>
            </w:pPr>
            <w:r>
              <w:rPr>
                <w:rFonts w:ascii="Times New Roman" w:cs="Times New Roman" w:eastAsia="Times New Roman" w:hAnsi="Times New Roman"/>
                <w:b w:val="false"/>
                <w:bCs w:val="false"/>
                <w:i w:val="false"/>
                <w:iCs w:val="false"/>
                <w:caps w:val="false"/>
                <w:color w:val="3C454C"/>
                <w:sz w:val="14"/>
                <w:szCs w:val="14"/>
              </w:rPr>
              <w:t xml:space="preserve">PDF and other layout formats. Tables and figures inside a PDF are very hard to parse — fine for a final report, bad as a data carrier. (If a PDF must be used, keep it text-only.)</w:t>
            </w:r>
          </w:p>
        </w:tc>
      </w:tr>
      <w:tr>
        <w:tc>
          <w:tcPr>
            <w:tcW w:type="dxa" w:w="3024"/>
            <w:tcBorders>
              <w:top w:val="none"/>
              <w:left w:val="none"/>
              <w:bottom w:val="none"/>
              <w:right w:val="none"/>
            </w:tcBorders>
            <w:tcMar>
              <w:top w:type="dxa" w:w="60"/>
              <w:left w:type="dxa" w:w="130"/>
              <w:bottom w:type="dxa" w:w="60"/>
              <w:right w:type="dxa" w:w="130"/>
            </w:tcMar>
            <w:vAlign w:val="top"/>
          </w:tcPr>
          <w:p>
            <w:pPr>
              <w:spacing w:after="60" w:before="0" w:line="256"/>
              <w:jc w:val="left"/>
            </w:pPr>
            <w:r>
              <w:rPr>
                <w:rFonts w:ascii="Times New Roman" w:cs="Times New Roman" w:eastAsia="Times New Roman" w:hAnsi="Times New Roman"/>
                <w:b/>
                <w:bCs/>
                <w:i w:val="false"/>
                <w:iCs w:val="false"/>
                <w:caps w:val="false"/>
                <w:color w:val="0F6E77"/>
                <w:sz w:val="14"/>
                <w:szCs w:val="14"/>
              </w:rPr>
              <w:t xml:space="preserve">README &amp; folder-content</w:t>
            </w:r>
          </w:p>
        </w:tc>
        <w:tc>
          <w:tcPr>
            <w:tcW w:type="dxa" w:w="7056"/>
            <w:tcBorders>
              <w:top w:val="none"/>
              <w:left w:val="none"/>
              <w:bottom w:val="none"/>
              <w:right w:val="none"/>
            </w:tcBorders>
            <w:tcMar>
              <w:top w:type="dxa" w:w="60"/>
              <w:left w:type="dxa" w:w="130"/>
              <w:bottom w:type="dxa" w:w="60"/>
              <w:right w:type="dxa" w:w="130"/>
            </w:tcMar>
            <w:vAlign w:val="top"/>
          </w:tcPr>
          <w:p>
            <w:pPr>
              <w:spacing w:after="60" w:before="0" w:line="220"/>
              <w:jc w:val="left"/>
            </w:pPr>
            <w:r>
              <w:rPr>
                <w:rFonts w:ascii="Times New Roman" w:cs="Times New Roman" w:eastAsia="Times New Roman" w:hAnsi="Times New Roman"/>
                <w:b w:val="false"/>
                <w:bCs w:val="false"/>
                <w:i w:val="false"/>
                <w:iCs w:val="false"/>
                <w:caps w:val="false"/>
                <w:color w:val="3C454C"/>
                <w:sz w:val="14"/>
                <w:szCs w:val="14"/>
              </w:rPr>
              <w:t xml:space="preserve">Plain text / Markdown, at the project root, first thing anyone reads — both human- and machine-readable. [PLACEHOLDER: adopt the “UKF” README/folder-content format Thomas suggested — confirm the exact template with Thomas and insert here.]</w:t>
            </w:r>
          </w:p>
        </w:tc>
      </w:tr>
      <w:tr>
        <w:tc>
          <w:tcPr>
            <w:tcW w:type="dxa" w:w="3024"/>
            <w:tcBorders>
              <w:top w:val="none"/>
              <w:left w:val="none"/>
              <w:bottom w:val="none"/>
              <w:right w:val="none"/>
            </w:tcBorders>
            <w:tcMar>
              <w:top w:type="dxa" w:w="60"/>
              <w:left w:type="dxa" w:w="130"/>
              <w:bottom w:type="dxa" w:w="60"/>
              <w:right w:type="dxa" w:w="130"/>
            </w:tcMar>
            <w:vAlign w:val="top"/>
          </w:tcPr>
          <w:p>
            <w:pPr>
              <w:spacing w:after="60" w:before="0" w:line="256"/>
              <w:jc w:val="left"/>
            </w:pPr>
            <w:r>
              <w:rPr>
                <w:rFonts w:ascii="Times New Roman" w:cs="Times New Roman" w:eastAsia="Times New Roman" w:hAnsi="Times New Roman"/>
                <w:b/>
                <w:bCs/>
                <w:i w:val="false"/>
                <w:iCs w:val="false"/>
                <w:caps w:val="false"/>
                <w:color w:val="0F6E77"/>
                <w:sz w:val="14"/>
                <w:szCs w:val="14"/>
              </w:rPr>
              <w:t xml:space="preserve">ELN (eLabFTW)</w:t>
            </w:r>
          </w:p>
        </w:tc>
        <w:tc>
          <w:tcPr>
            <w:tcW w:type="dxa" w:w="7056"/>
            <w:tcBorders>
              <w:top w:val="none"/>
              <w:left w:val="none"/>
              <w:bottom w:val="none"/>
              <w:right w:val="none"/>
            </w:tcBorders>
            <w:tcMar>
              <w:top w:type="dxa" w:w="60"/>
              <w:left w:type="dxa" w:w="130"/>
              <w:bottom w:type="dxa" w:w="60"/>
              <w:right w:type="dxa" w:w="130"/>
            </w:tcMar>
            <w:vAlign w:val="top"/>
          </w:tcPr>
          <w:p>
            <w:pPr>
              <w:spacing w:after="60" w:before="0" w:line="220"/>
              <w:jc w:val="left"/>
            </w:pPr>
            <w:r>
              <w:rPr>
                <w:rFonts w:ascii="Times New Roman" w:cs="Times New Roman" w:eastAsia="Times New Roman" w:hAnsi="Times New Roman"/>
                <w:b w:val="false"/>
                <w:bCs w:val="false"/>
                <w:i w:val="false"/>
                <w:iCs w:val="false"/>
                <w:caps w:val="false"/>
                <w:color w:val="3C454C"/>
                <w:sz w:val="14"/>
                <w:szCs w:val="14"/>
              </w:rPr>
              <w:t xml:space="preserve">eLabFTW is well machine-readable IF you export it properly. It offers JSON, CSV and the cross-ELN .eln (JSON-LD) export, plus a public API for automation. Do not treat a PDF print-out as the record — export JSON or .eln so the metadata is reusable, and use the same sample IDs in the ELN as in the folder.</w:t>
            </w:r>
          </w:p>
        </w:tc>
      </w:tr>
    </w:tbl>
    <w:p>
      <w:pPr>
        <w:pBdr>
          <w:left w:val="single" w:color="9A5B2C" w:sz="18" w:space="10"/>
        </w:pBdr>
        <w:shd w:fill="EEF1F2" w:val="clear"/>
        <w:spacing w:after="60" w:before="80" w:line="228"/>
        <w:jc w:val="left"/>
      </w:pPr>
      <w:r>
        <w:rPr>
          <w:rFonts w:ascii="Times New Roman" w:cs="Times New Roman" w:eastAsia="Times New Roman" w:hAnsi="Times New Roman"/>
          <w:b/>
          <w:bCs/>
          <w:i w:val="false"/>
          <w:iCs w:val="false"/>
          <w:caps w:val="false"/>
          <w:color w:val="9A5B2C"/>
          <w:sz w:val="14"/>
          <w:szCs w:val="14"/>
        </w:rPr>
        <w:t xml:space="preserve">Open for discussion.  </w:t>
      </w:r>
      <w:r>
        <w:rPr>
          <w:rFonts w:ascii="Times New Roman" w:cs="Times New Roman" w:eastAsia="Times New Roman" w:hAnsi="Times New Roman"/>
          <w:b w:val="false"/>
          <w:bCs w:val="false"/>
          <w:i/>
          <w:iCs/>
          <w:caps w:val="false"/>
          <w:color w:val="3C454C"/>
          <w:sz w:val="14"/>
          <w:szCs w:val="14"/>
        </w:rPr>
        <w:t xml:space="preserve">A starting suggestion, not a final rule set. Please add or amend with Word comments; where existing lab regulations differ, they take precedence. Everything folds into one agreed handout.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2026-09-07T14:50:53.205Z</dcterms:created>
  <dcterms:modified xsi:type="dcterms:W3CDTF">2026-09-07T14:50:53.220Z</dcterms:modified>
</cp:coreProperties>
</file>

<file path=docProps/custom.xml><?xml version="1.0" encoding="utf-8"?>
<Properties xmlns="http://schemas.openxmlformats.org/officeDocument/2006/custom-properties" xmlns:vt="http://schemas.openxmlformats.org/officeDocument/2006/docPropsVTypes"/>
</file>