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Rotationen.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Umrechnen von (affinen) Koordinatensystemen.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Homogene Koordinaten.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Zentralprojektion.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Definition eines einfachen, planaren Polygons, Orientierung.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Definition eines Netze.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Algorithmus zur Feststellung der Orientierbarkeit eines Netzes.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Bezierkurven.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Algorithmus von De Casteljau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Computergrafik-Pipeline.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Opengl-Funktionsweise. Clippingcoordinaten, Rastern, Z-Buffer.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GLSL Shaderlanguage. Typen, Variablen, Funktionsweise, Syntax.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Lokale Beleuchtungsmodelle. Lambert, Phong, Phong und Gouraud Shading.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Standard-Algorithmen. Clipping, Culling, Mittelung der Normalen, Shadowmap, Bumpmapping, Displacementmapping.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Rendergleichung. Herleitung. Reflectance-Gleichung, BRDF, Strahldichte.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Prinzipielles vorgehen beim Raytracing.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754</TotalTime>
  <Application>LibreOffice/4.2.5.2$MacOSX_X86_64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2017-12-17T11:13:48Z</dcterms:created>
  <dc:language>de-DE</dc:language>
  <dcterms:modified xsi:type="dcterms:W3CDTF">2017-12-17T11:28:15Z</dcterms:modified>
  <cp:revision>14</cp:revision>
</cp:coreProperties>
</file>