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rFonts w:ascii="Times New Roman" w:cs="Times New Roman" w:eastAsia="Times New Roman" w:hAnsi="Times New Roman"/>
          <w:b/>
          <w:bCs/>
          <w:color w:val="020617"/>
          <w:sz w:val="72"/>
          <w:szCs w:val="72"/>
        </w:rPr>
        <w:t xml:space="preserve">APEX CENTRAL</w:t>
      </w:r>
    </w:p>
    <w:p>
      <w:pPr>
        <w:spacing w:before="200"/>
        <w:jc w:val="center"/>
      </w:pPr>
      <w:r>
        <w:rPr>
          <w:rFonts w:ascii="Times New Roman" w:cs="Times New Roman" w:eastAsia="Times New Roman" w:hAnsi="Times New Roman"/>
          <w:color w:val="64748B"/>
          <w:sz w:val="36"/>
          <w:szCs w:val="36"/>
        </w:rPr>
        <w:t xml:space="preserve">Vaal AI Empire</w:t>
      </w:r>
    </w:p>
    <w:p>
      <w:pPr>
        <w:spacing w:before="600"/>
      </w:pPr>
    </w:p>
    <w:p>
      <w:pPr>
        <w:jc w:val="center"/>
      </w:pPr>
      <w:r>
        <w:rPr>
          <w:rFonts w:ascii="Times New Roman" w:cs="Times New Roman" w:eastAsia="Times New Roman" w:hAnsi="Times New Roman"/>
          <w:color w:val="1E293B"/>
          <w:sz w:val="32"/>
          <w:szCs w:val="32"/>
        </w:rPr>
        <w:t xml:space="preserve">System Architecture &amp; Functionality Blueprint</w:t>
      </w:r>
    </w:p>
    <w:p>
      <w:pPr>
        <w:spacing w:before="200"/>
        <w:jc w:val="center"/>
      </w:pPr>
      <w:r>
        <w:rPr>
          <w:rFonts w:ascii="Times New Roman" w:cs="Times New Roman" w:eastAsia="Times New Roman" w:hAnsi="Times New Roman"/>
          <w:i/>
          <w:iCs/>
          <w:color w:val="64748B"/>
          <w:sz w:val="28"/>
          <w:szCs w:val="28"/>
        </w:rPr>
        <w:t xml:space="preserve">100% Operational Specification</w:t>
      </w:r>
    </w:p>
    <w:p>
      <w:pPr>
        <w:spacing w:before="2000"/>
      </w:pPr>
    </w:p>
    <w:p>
      <w:pPr>
        <w:jc w:val="center"/>
      </w:pPr>
      <w:r>
        <w:rPr>
          <w:rFonts w:ascii="Times New Roman" w:cs="Times New Roman" w:eastAsia="Times New Roman" w:hAnsi="Times New Roman"/>
          <w:color w:val="1E293B"/>
          <w:sz w:val="24"/>
          <w:szCs w:val="24"/>
        </w:rPr>
        <w:t xml:space="preserve">AI-Powered Digital Income Platform for South Africa</w:t>
      </w:r>
    </w:p>
    <w:p>
      <w:pPr>
        <w:spacing w:before="100"/>
        <w:jc w:val="center"/>
      </w:pPr>
      <w:r>
        <w:rPr>
          <w:rFonts w:ascii="Times New Roman" w:cs="Times New Roman" w:eastAsia="Times New Roman" w:hAnsi="Times New Roman"/>
          <w:color w:val="64748B"/>
          <w:sz w:val="22"/>
          <w:szCs w:val="22"/>
        </w:rPr>
        <w:t xml:space="preserve">Built in the Vaal Triangle, Gauteng</w:t>
      </w:r>
    </w:p>
    <w:p>
      <w:r>
        <w:br w:type="page"/>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3</w:t>
          </w:r>
        </w:p>
        <w:p>
          <w:pPr>
            <w:pStyle w:val="9"/>
            <w:tabs>
              <w:tab w:val="right" w:leader="dot" w:pos="9026"/>
            </w:tabs>
          </w:pPr>
          <w:r>
            <w:t>2. Visual &amp; User Interface Expectations</w:t>
          </w:r>
          <w:r>
            <w:tab/>
          </w:r>
          <w:r>
            <w:t>4</w:t>
          </w:r>
        </w:p>
        <w:p>
          <w:pPr>
            <w:pStyle w:val="9"/>
            <w:tabs>
              <w:tab w:val="right" w:leader="dot" w:pos="9026"/>
            </w:tabs>
          </w:pPr>
          <w:r>
            <w:t>3. Functional Components at 100%</w:t>
          </w:r>
          <w:r>
            <w:tab/>
          </w:r>
          <w:r>
            <w:t>6</w:t>
          </w:r>
        </w:p>
        <w:p>
          <w:pPr>
            <w:pStyle w:val="9"/>
            <w:tabs>
              <w:tab w:val="right" w:leader="dot" w:pos="9026"/>
            </w:tabs>
          </w:pPr>
          <w:r>
            <w:t>4. API Integrations Status</w:t>
          </w:r>
          <w:r>
            <w:tab/>
          </w:r>
          <w:r>
            <w:t>9</w:t>
          </w:r>
        </w:p>
        <w:p>
          <w:pPr>
            <w:pStyle w:val="9"/>
            <w:tabs>
              <w:tab w:val="right" w:leader="dot" w:pos="9026"/>
            </w:tabs>
          </w:pPr>
          <w:r>
            <w:t>5. Performance Metrics at 100%</w:t>
          </w:r>
          <w:r>
            <w:tab/>
          </w:r>
          <w:r>
            <w:t>10</w:t>
          </w:r>
        </w:p>
        <w:p>
          <w:pPr>
            <w:pStyle w:val="9"/>
            <w:tabs>
              <w:tab w:val="right" w:leader="dot" w:pos="9026"/>
            </w:tabs>
          </w:pPr>
          <w:r>
            <w:t>6. South Africa-Specific Features</w:t>
          </w:r>
          <w:r>
            <w:tab/>
          </w:r>
          <w:r>
            <w:t>11</w:t>
          </w:r>
        </w:p>
        <w:p>
          <w:pPr>
            <w:pStyle w:val="9"/>
            <w:tabs>
              <w:tab w:val="right" w:leader="dot" w:pos="9026"/>
            </w:tabs>
          </w:pPr>
          <w:r>
            <w:t>7. Security &amp; Compliance at 100%</w:t>
          </w:r>
          <w:r>
            <w:tab/>
          </w:r>
          <w:r>
            <w:t>13</w:t>
          </w:r>
        </w:p>
        <w:p>
          <w:pPr>
            <w:pStyle w:val="9"/>
            <w:tabs>
              <w:tab w:val="right" w:leader="dot" w:pos="9026"/>
            </w:tabs>
          </w:pPr>
          <w:r>
            <w:t>8. Observability &amp; Monitoring</w:t>
          </w:r>
          <w:r>
            <w:tab/>
          </w:r>
          <w:r>
            <w:t>14</w:t>
          </w:r>
        </w:p>
        <w:p>
          <w:pPr>
            <w:pStyle w:val="9"/>
            <w:tabs>
              <w:tab w:val="right" w:leader="dot" w:pos="9026"/>
            </w:tabs>
          </w:pPr>
          <w:r>
            <w:t>9. Deployment Architecture</w:t>
          </w:r>
          <w:r>
            <w:tab/>
          </w:r>
          <w:r>
            <w:t>14</w:t>
          </w:r>
        </w:p>
        <w:p>
          <w:pPr>
            <w:pStyle w:val="9"/>
            <w:tabs>
              <w:tab w:val="right" w:leader="dot" w:pos="9026"/>
            </w:tabs>
          </w:pPr>
          <w:r>
            <w:t>10. Summary</w:t>
          </w:r>
          <w:r>
            <w:tab/>
          </w:r>
          <w:r>
            <w:t>15</w:t>
          </w:r>
        </w:p>
        <w:p>
          <w:r>
            <w:fldChar w:fldCharType="end"/>
          </w:r>
        </w:p>
      </w:sdtContent>
    </w:sdt>
    <w:p>
      <w:pPr>
        <w:spacing w:before="120"/>
        <w:jc w:val="center"/>
      </w:pPr>
      <w:r>
        <w:rPr>
          <w:i/>
          <w:iCs/>
          <w:color w:val="999999"/>
          <w:sz w:val="18"/>
          <w:szCs w:val="18"/>
        </w:rPr>
        <w:t xml:space="preserve">Note: Right-click the TOC and select 'Update Field' to refresh page numbers.</w:t>
      </w:r>
    </w:p>
    <w:p>
      <w:r>
        <w:br w:type="page"/>
      </w:r>
    </w:p>
    <w:p>
      <w:pPr>
        <w:pStyle w:val="Heading1"/>
      </w:pPr>
      <w:r>
        <w:t xml:space="preserve">1. Executive Summary</w:t>
      </w:r>
    </w:p>
    <w:p>
      <w:pPr>
        <w:spacing w:after="120" w:before="120"/>
      </w:pPr>
      <w:r>
        <w:rPr>
          <w:color w:val="1E293B"/>
        </w:rPr>
        <w:t xml:space="preserve">Apex Central is a comprehensive AI-powered digital income platform specifically designed for the South African market. When functioning at 100% capacity, the system represents a fully integrated ecosystem that combines real-time opportunity discovery, intelligent AI assistance, XRPL blockchain transactions, and comprehensive observability — all optimized for the unique challenges and opportunities of the South African digital economy. The platform addresses critical local challenges including load shedding resilience, data cost optimization, mobile-first usage patterns, and POPIA compliance while delivering world-class performance metrics that rival global platforms.</w:t>
      </w:r>
    </w:p>
    <w:p>
      <w:pPr>
        <w:spacing w:after="120"/>
      </w:pPr>
      <w:r>
        <w:rPr>
          <w:color w:val="1E293B"/>
        </w:rPr>
        <w:t xml:space="preserve">At full operational capacity, Apex Central serves as a comprehensive digital income discovery engine that continuously scans multiple data sources to identify legitimate income opportunities for South Africans with startup costs under R2,000. The platform employs a sophisticated multi-model AI swarm architecture that provides personalized guidance while maintaining strict security standards and full regulatory compliance. The system's architecture is specifically engineered for the South African context, with automatic failover mechanisms for load shedding scenarios, efficient data usage patterns for cost-conscious users, and comprehensive support for the mobile-first browsing behavior that dominates the local market.</w:t>
      </w:r>
    </w:p>
    <w:p>
      <w:pPr>
        <w:pStyle w:val="Heading1"/>
      </w:pPr>
      <w:r>
        <w:t xml:space="preserve">2. Visual &amp; User Interface Expectations</w:t>
      </w:r>
    </w:p>
    <w:p>
      <w:pPr>
        <w:pStyle w:val="Heading2"/>
      </w:pPr>
      <w:r>
        <w:t xml:space="preserve">2.1 Homepage Hero Section</w:t>
      </w:r>
    </w:p>
    <w:p>
      <w:pPr>
        <w:spacing w:after="100"/>
      </w:pPr>
      <w:r>
        <w:rPr>
          <w:color w:val="1E293B"/>
        </w:rPr>
        <w:t xml:space="preserve">The hero section serves as the first impression and should immediately communicate the platform's identity and capabilities. When fully functional, users see a stunning dark-themed interface with a liquid glass design aesthetic that features a pulsating heart icon with dynamic glow effects synced to the emotion engine. The WebGL particle swarm renders smoothly in the background, creating an ambient visual experience that responds to user interactions. The hero displays live GitHub metrics pulled directly from the repository API, showing actual star counts, fork numbers, and recent activity — all rendered without skeleton placeholders after the initial data fetch completes.</w:t>
      </w:r>
    </w:p>
    <w:p>
      <w:pPr>
        <w:pStyle w:val="ListParagraph"/>
        <w:numPr>
          <w:ilvl w:val="0"/>
          <w:numId w:val="2"/>
        </w:numPr>
      </w:pPr>
      <w:r>
        <w:rPr>
          <w:color w:val="1E293B"/>
        </w:rPr>
        <w:t xml:space="preserve">Animated heart icon with real-time glow intensity tied to emotion engine state</w:t>
      </w:r>
    </w:p>
    <w:p>
      <w:pPr>
        <w:pStyle w:val="ListParagraph"/>
        <w:numPr>
          <w:ilvl w:val="0"/>
          <w:numId w:val="2"/>
        </w:numPr>
      </w:pPr>
      <w:r>
        <w:rPr>
          <w:color w:val="1E293B"/>
        </w:rPr>
        <w:t xml:space="preserve">Live GitHub metrics badges (stars, forks, issues) with hover effects and direct links</w:t>
      </w:r>
    </w:p>
    <w:p>
      <w:pPr>
        <w:pStyle w:val="ListParagraph"/>
        <w:numPr>
          <w:ilvl w:val="0"/>
          <w:numId w:val="2"/>
        </w:numPr>
      </w:pPr>
      <w:r>
        <w:rPr>
          <w:color w:val="1E293B"/>
        </w:rPr>
        <w:t xml:space="preserve">Three-column capability cards explaining Scout Agent, Intelligent Engine, and Observability</w:t>
      </w:r>
    </w:p>
    <w:p>
      <w:pPr>
        <w:pStyle w:val="ListParagraph"/>
        <w:numPr>
          <w:ilvl w:val="0"/>
          <w:numId w:val="2"/>
        </w:numPr>
      </w:pPr>
      <w:r>
        <w:rPr>
          <w:color w:val="1E293B"/>
        </w:rPr>
        <w:t xml:space="preserve">Responsive layout that adapts from 320px mobile to 4K desktop displays</w:t>
      </w:r>
    </w:p>
    <w:p>
      <w:pPr>
        <w:pStyle w:val="Heading2"/>
      </w:pPr>
      <w:r>
        <w:t xml:space="preserve">2.2 Navigation &amp; Search</w:t>
      </w:r>
    </w:p>
    <w:p>
      <w:pPr>
        <w:spacing w:after="100"/>
      </w:pPr>
      <w:r>
        <w:rPr>
          <w:color w:val="1E293B"/>
        </w:rPr>
        <w:t xml:space="preserve">The sticky glass-morphism navigation bar remains accessible during scrolling, featuring smooth hover transitions with color-coded section links. The search input provides real-time filtering across all content types with instant visual feedback. The registration button triggers a modal that slides in from the right side with form validation and immediate feedback. Navigation elements maintain consistent sizing for touch-friendly interaction, with minimum tap targets of 44x44 pixels for mobile users, and all interactive elements include visible focus states for keyboard navigation.</w:t>
      </w:r>
    </w:p>
    <w:p>
      <w:pPr>
        <w:pStyle w:val="Heading2"/>
      </w:pPr>
      <w:r>
        <w:t xml:space="preserve">2.3 News Section</w:t>
      </w:r>
    </w:p>
    <w:p>
      <w:pPr>
        <w:spacing w:after="100"/>
      </w:pPr>
      <w:r>
        <w:rPr>
          <w:color w:val="1E293B"/>
        </w:rPr>
        <w:t xml:space="preserve">The news section displays live South African digital economy articles fetched from Perplexity's search API, organized into four filterable categories: Latest, Tech &amp; AI, Finance &amp; Crypto, and Startups. Each article card shows an optimized image (AVIF/WebP format), headline, source attribution, publication date, and a one-click 'Research' button that sends the topic directly to the AI assistant for deeper analysis. The grid layout automatically adjusts columns based on viewport width, with skeleton placeholders appearing only during the initial load and disappearing completely once content arrives.</w:t>
      </w:r>
    </w:p>
    <w:p>
      <w:pPr>
        <w:pStyle w:val="Heading2"/>
      </w:pPr>
      <w:r>
        <w:t xml:space="preserve">2.4 Opportunities Section</w:t>
      </w:r>
    </w:p>
    <w:p>
      <w:pPr>
        <w:spacing w:after="100"/>
      </w:pPr>
      <w:r>
        <w:rPr>
          <w:color w:val="1E293B"/>
        </w:rPr>
        <w:t xml:space="preserve">The Scout Agent surfaces verified digital income opportunities with transparent cost and income potential data. Each opportunity card displays the startup cost in Rands, estimated monthly income range, province applicability, category badge, and an external link to the source platform. Cards feature smooth hover animations with scale transforms, and clicking opens the opportunity in a new tab. The section auto-populates on page load with three initial opportunities, with the AI assistant ready to discover additional options based on user queries and province preferences.</w:t>
      </w:r>
    </w:p>
    <w:p>
      <w:pPr>
        <w:pStyle w:val="Heading2"/>
      </w:pPr>
      <w:r>
        <w:t xml:space="preserve">2.5 AI Chat Interface</w:t>
      </w:r>
    </w:p>
    <w:p>
      <w:pPr>
        <w:spacing w:after="100"/>
      </w:pPr>
      <w:r>
        <w:rPr>
          <w:color w:val="1E293B"/>
        </w:rPr>
        <w:t xml:space="preserve">The floating chat button expands into a full conversation interface with streaming responses. The AI responds with natural South African-inflected language patterns, acknowledging local context and using appropriate terminology. Responses stream in real-time with visible typing indicators, and the conversation history persists during the session. The interface supports voice input through Web Speech API, with a microphone button that activates on supported browsers. Province context automatically enriches queries, providing location-aware responses about local market conditions, unemployment rates, and digital access statistics.</w:t>
      </w:r>
    </w:p>
    <w:p>
      <w:pPr>
        <w:pStyle w:val="Heading1"/>
      </w:pPr>
      <w:r>
        <w:t xml:space="preserve">3. Functional Components at 100%</w:t>
      </w:r>
    </w:p>
    <w:p>
      <w:pPr>
        <w:pStyle w:val="Heading2"/>
      </w:pPr>
      <w:r>
        <w:t xml:space="preserve">3.1 Scout Agent System</w:t>
      </w:r>
    </w:p>
    <w:p>
      <w:pPr>
        <w:spacing w:after="100"/>
      </w:pPr>
      <w:r>
        <w:rPr>
          <w:color w:val="1E293B"/>
        </w:rPr>
        <w:t xml:space="preserve">The Scout Agent is the core opportunity discovery engine that runs continuously in the background, scanning multiple data sources to identify legitimate income opportunities. At 100% functionality, the agent successfully aggregates opportunities from platforms including Fiverr, Upwork, Preply, Takealot Marketplace, and Toloka, among others. Each opportunity undergoes validation to ensure accurate cost estimates, realistic income projections, and working source links. The agent refreshes its database every 5 minutes, maintaining a live catalog of opportunities filtered by startup cost (R0-R2,000), province applicability, and category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Category</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Platforms &amp; Opportunities</w:t>
            </w:r>
          </w:p>
        </w:tc>
      </w:tr>
      <w:tr>
        <w:tc>
          <w:tcPr>
            <w:tcBorders>
              <w:top w:val="single" w:color="64748B" w:sz="8"/>
              <w:left w:val="single" w:color="64748B" w:sz="8"/>
              <w:bottom w:val="single" w:color="64748B" w:sz="8"/>
              <w:right w:val="single" w:color="64748B" w:sz="8"/>
            </w:tcBorders>
          </w:tcPr>
          <w:p>
            <w:r>
              <w:rPr>
                <w:sz w:val="22"/>
                <w:szCs w:val="22"/>
              </w:rPr>
              <w:t xml:space="preserve">Freelancing</w:t>
            </w:r>
          </w:p>
        </w:tc>
        <w:tc>
          <w:tcPr>
            <w:tcBorders>
              <w:top w:val="single" w:color="64748B" w:sz="8"/>
              <w:left w:val="single" w:color="64748B" w:sz="8"/>
              <w:bottom w:val="single" w:color="64748B" w:sz="8"/>
              <w:right w:val="single" w:color="64748B" w:sz="8"/>
            </w:tcBorders>
          </w:tcPr>
          <w:p>
            <w:r>
              <w:rPr>
                <w:sz w:val="22"/>
                <w:szCs w:val="22"/>
              </w:rPr>
              <w:t xml:space="preserve">Fiverr, Upwork, Freelancer.com, PeoplePerHour</w:t>
            </w:r>
          </w:p>
        </w:tc>
      </w:tr>
      <w:tr>
        <w:tc>
          <w:tcPr>
            <w:tcBorders>
              <w:top w:val="single" w:color="64748B" w:sz="8"/>
              <w:left w:val="single" w:color="64748B" w:sz="8"/>
              <w:bottom w:val="single" w:color="64748B" w:sz="8"/>
              <w:right w:val="single" w:color="64748B" w:sz="8"/>
            </w:tcBorders>
          </w:tcPr>
          <w:p>
            <w:r>
              <w:rPr>
                <w:sz w:val="22"/>
                <w:szCs w:val="22"/>
              </w:rPr>
              <w:t xml:space="preserve">E-commerce</w:t>
            </w:r>
          </w:p>
        </w:tc>
        <w:tc>
          <w:tcPr>
            <w:tcBorders>
              <w:top w:val="single" w:color="64748B" w:sz="8"/>
              <w:left w:val="single" w:color="64748B" w:sz="8"/>
              <w:bottom w:val="single" w:color="64748B" w:sz="8"/>
              <w:right w:val="single" w:color="64748B" w:sz="8"/>
            </w:tcBorders>
          </w:tcPr>
          <w:p>
            <w:r>
              <w:rPr>
                <w:sz w:val="22"/>
                <w:szCs w:val="22"/>
              </w:rPr>
              <w:t xml:space="preserve">Takealot Marketplace, Bidorbuy, Bob Shop</w:t>
            </w:r>
          </w:p>
        </w:tc>
      </w:tr>
      <w:tr>
        <w:tc>
          <w:tcPr>
            <w:tcBorders>
              <w:top w:val="single" w:color="64748B" w:sz="8"/>
              <w:left w:val="single" w:color="64748B" w:sz="8"/>
              <w:bottom w:val="single" w:color="64748B" w:sz="8"/>
              <w:right w:val="single" w:color="64748B" w:sz="8"/>
            </w:tcBorders>
          </w:tcPr>
          <w:p>
            <w:r>
              <w:rPr>
                <w:sz w:val="22"/>
                <w:szCs w:val="22"/>
              </w:rPr>
              <w:t xml:space="preserve">Content Creation</w:t>
            </w:r>
          </w:p>
        </w:tc>
        <w:tc>
          <w:tcPr>
            <w:tcBorders>
              <w:top w:val="single" w:color="64748B" w:sz="8"/>
              <w:left w:val="single" w:color="64748B" w:sz="8"/>
              <w:bottom w:val="single" w:color="64748B" w:sz="8"/>
              <w:right w:val="single" w:color="64748B" w:sz="8"/>
            </w:tcBorders>
          </w:tcPr>
          <w:p>
            <w:r>
              <w:rPr>
                <w:sz w:val="22"/>
                <w:szCs w:val="22"/>
              </w:rPr>
              <w:t xml:space="preserve">YouTube, TikTok, Udemy, Skillshare</w:t>
            </w:r>
          </w:p>
        </w:tc>
      </w:tr>
      <w:tr>
        <w:tc>
          <w:tcPr>
            <w:tcBorders>
              <w:top w:val="single" w:color="64748B" w:sz="8"/>
              <w:left w:val="single" w:color="64748B" w:sz="8"/>
              <w:bottom w:val="single" w:color="64748B" w:sz="8"/>
              <w:right w:val="single" w:color="64748B" w:sz="8"/>
            </w:tcBorders>
          </w:tcPr>
          <w:p>
            <w:r>
              <w:rPr>
                <w:sz w:val="22"/>
                <w:szCs w:val="22"/>
              </w:rPr>
              <w:t xml:space="preserve">Online Tutoring</w:t>
            </w:r>
          </w:p>
        </w:tc>
        <w:tc>
          <w:tcPr>
            <w:tcBorders>
              <w:top w:val="single" w:color="64748B" w:sz="8"/>
              <w:left w:val="single" w:color="64748B" w:sz="8"/>
              <w:bottom w:val="single" w:color="64748B" w:sz="8"/>
              <w:right w:val="single" w:color="64748B" w:sz="8"/>
            </w:tcBorders>
          </w:tcPr>
          <w:p>
            <w:r>
              <w:rPr>
                <w:sz w:val="22"/>
                <w:szCs w:val="22"/>
              </w:rPr>
              <w:t xml:space="preserve">Preply, Teach Me 2, Tutor Doctors SA</w:t>
            </w:r>
          </w:p>
        </w:tc>
      </w:tr>
      <w:tr>
        <w:tc>
          <w:tcPr>
            <w:tcBorders>
              <w:top w:val="single" w:color="64748B" w:sz="8"/>
              <w:left w:val="single" w:color="64748B" w:sz="8"/>
              <w:bottom w:val="single" w:color="64748B" w:sz="8"/>
              <w:right w:val="single" w:color="64748B" w:sz="8"/>
            </w:tcBorders>
          </w:tcPr>
          <w:p>
            <w:r>
              <w:rPr>
                <w:sz w:val="22"/>
                <w:szCs w:val="22"/>
              </w:rPr>
              <w:t xml:space="preserve">Digital Skills</w:t>
            </w:r>
          </w:p>
        </w:tc>
        <w:tc>
          <w:tcPr>
            <w:tcBorders>
              <w:top w:val="single" w:color="64748B" w:sz="8"/>
              <w:left w:val="single" w:color="64748B" w:sz="8"/>
              <w:bottom w:val="single" w:color="64748B" w:sz="8"/>
              <w:right w:val="single" w:color="64748B" w:sz="8"/>
            </w:tcBorders>
          </w:tcPr>
          <w:p>
            <w:r>
              <w:rPr>
                <w:sz w:val="22"/>
                <w:szCs w:val="22"/>
              </w:rPr>
              <w:t xml:space="preserve">Toloka, Remotasks, Appen, Clickworker</w:t>
            </w:r>
          </w:p>
        </w:tc>
      </w:tr>
    </w:tbl>
    <w:p>
      <w:pPr>
        <w:spacing w:before="80"/>
        <w:jc w:val="center"/>
      </w:pPr>
      <w:r>
        <w:rPr>
          <w:i/>
          <w:iCs/>
          <w:color w:val="64748B"/>
          <w:sz w:val="18"/>
          <w:szCs w:val="18"/>
        </w:rPr>
        <w:t xml:space="preserve">Table 1: Scout Agent Opportunity Categories</w:t>
      </w:r>
    </w:p>
    <w:p>
      <w:pPr>
        <w:pStyle w:val="Heading2"/>
      </w:pPr>
      <w:r>
        <w:t xml:space="preserve">3.2 Intelligent Engine (AI Agent)</w:t>
      </w:r>
    </w:p>
    <w:p>
      <w:pPr>
        <w:spacing w:after="100"/>
      </w:pPr>
      <w:r>
        <w:rPr>
          <w:color w:val="1E293B"/>
        </w:rPr>
        <w:t xml:space="preserve">The Intelligent Engine powers all conversational interactions through a sophisticated tiered model routing system. Simple queries route to Groq's Llama 3.1 8B Instant model for cost-effective, rapid responses. Complex analytical questions escalate to Moonshot AI's Kimi K2.5 model for deeper reasoning. Research-oriented queries trigger Perplexity's Sonar model for real-time web search integration. The system automatically classifies incoming queries based on keyword analysis and complexity metrics, selecting the optimal model while maintaining seamless conversation continuity across model switches.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Borders>
              <w:top w:val="single" w:color="64748B" w:sz="8"/>
              <w:left w:val="single" w:color="64748B" w:sz="8"/>
              <w:bottom w:val="single" w:color="64748B" w:sz="8"/>
              <w:right w:val="single" w:color="64748B" w:sz="8"/>
            </w:tcBorders>
            <w:shd w:fill="E2E8F0" w:val="clear"/>
          </w:tcPr>
          <w:p>
            <w:pPr>
              <w:jc w:val="center"/>
            </w:pPr>
            <w:r>
              <w:rPr>
                <w:b/>
                <w:bCs/>
                <w:sz w:val="22"/>
                <w:szCs w:val="22"/>
              </w:rPr>
              <w:t xml:space="preserve">Tier</w:t>
            </w:r>
          </w:p>
        </w:tc>
        <w:tc>
          <w:tcPr>
            <w:tcBorders>
              <w:top w:val="single" w:color="64748B" w:sz="8"/>
              <w:left w:val="single" w:color="64748B" w:sz="8"/>
              <w:bottom w:val="single" w:color="64748B" w:sz="8"/>
              <w:right w:val="single" w:color="64748B" w:sz="8"/>
            </w:tcBorders>
            <w:shd w:fill="E2E8F0" w:val="clear"/>
          </w:tcPr>
          <w:p>
            <w:pPr>
              <w:jc w:val="center"/>
            </w:pPr>
            <w:r>
              <w:rPr>
                <w:b/>
                <w:bCs/>
                <w:sz w:val="22"/>
                <w:szCs w:val="22"/>
              </w:rPr>
              <w:t xml:space="preserve">Model</w:t>
            </w:r>
          </w:p>
        </w:tc>
        <w:tc>
          <w:tcPr>
            <w:tcBorders>
              <w:top w:val="single" w:color="64748B" w:sz="8"/>
              <w:left w:val="single" w:color="64748B" w:sz="8"/>
              <w:bottom w:val="single" w:color="64748B" w:sz="8"/>
              <w:right w:val="single" w:color="64748B" w:sz="8"/>
            </w:tcBorders>
            <w:shd w:fill="E2E8F0" w:val="clear"/>
          </w:tcPr>
          <w:p>
            <w:pPr>
              <w:jc w:val="center"/>
            </w:pPr>
            <w:r>
              <w:rPr>
                <w:b/>
                <w:bCs/>
                <w:sz w:val="22"/>
                <w:szCs w:val="22"/>
              </w:rPr>
              <w:t xml:space="preserve">Cost/1M Tokens</w:t>
            </w:r>
          </w:p>
        </w:tc>
        <w:tc>
          <w:tcPr>
            <w:tcBorders>
              <w:top w:val="single" w:color="64748B" w:sz="8"/>
              <w:left w:val="single" w:color="64748B" w:sz="8"/>
              <w:bottom w:val="single" w:color="64748B" w:sz="8"/>
              <w:right w:val="single" w:color="64748B" w:sz="8"/>
            </w:tcBorders>
            <w:shd w:fill="E2E8F0" w:val="clear"/>
          </w:tcPr>
          <w:p>
            <w:pPr>
              <w:jc w:val="center"/>
            </w:pPr>
            <w:r>
              <w:rPr>
                <w:b/>
                <w:bCs/>
                <w:sz w:val="22"/>
                <w:szCs w:val="22"/>
              </w:rPr>
              <w:t xml:space="preserve">Use Case</w:t>
            </w:r>
          </w:p>
        </w:tc>
      </w:tr>
      <w:tr>
        <w:tc>
          <w:tcPr>
            <w:tcBorders>
              <w:top w:val="single" w:color="64748B" w:sz="8"/>
              <w:left w:val="single" w:color="64748B" w:sz="8"/>
              <w:bottom w:val="single" w:color="64748B" w:sz="8"/>
              <w:right w:val="single" w:color="64748B" w:sz="8"/>
            </w:tcBorders>
          </w:tcPr>
          <w:p>
            <w:pPr>
              <w:jc w:val="center"/>
            </w:pPr>
            <w:r>
              <w:rPr>
                <w:sz w:val="22"/>
                <w:szCs w:val="22"/>
              </w:rPr>
              <w:t xml:space="preserve">Simple</w:t>
            </w:r>
          </w:p>
        </w:tc>
        <w:tc>
          <w:tcPr>
            <w:tcBorders>
              <w:top w:val="single" w:color="64748B" w:sz="8"/>
              <w:left w:val="single" w:color="64748B" w:sz="8"/>
              <w:bottom w:val="single" w:color="64748B" w:sz="8"/>
              <w:right w:val="single" w:color="64748B" w:sz="8"/>
            </w:tcBorders>
          </w:tcPr>
          <w:p>
            <w:pPr>
              <w:jc w:val="center"/>
            </w:pPr>
            <w:r>
              <w:rPr>
                <w:sz w:val="22"/>
                <w:szCs w:val="22"/>
              </w:rPr>
              <w:t xml:space="preserve">Llama 3.1 8B</w:t>
            </w:r>
          </w:p>
        </w:tc>
        <w:tc>
          <w:tcPr>
            <w:tcBorders>
              <w:top w:val="single" w:color="64748B" w:sz="8"/>
              <w:left w:val="single" w:color="64748B" w:sz="8"/>
              <w:bottom w:val="single" w:color="64748B" w:sz="8"/>
              <w:right w:val="single" w:color="64748B" w:sz="8"/>
            </w:tcBorders>
          </w:tcPr>
          <w:p>
            <w:pPr>
              <w:jc w:val="center"/>
            </w:pPr>
            <w:r>
              <w:rPr>
                <w:sz w:val="22"/>
                <w:szCs w:val="22"/>
              </w:rPr>
              <w:t xml:space="preserve">$0.05 / $0.08</w:t>
            </w:r>
          </w:p>
        </w:tc>
        <w:tc>
          <w:tcPr>
            <w:tcBorders>
              <w:top w:val="single" w:color="64748B" w:sz="8"/>
              <w:left w:val="single" w:color="64748B" w:sz="8"/>
              <w:bottom w:val="single" w:color="64748B" w:sz="8"/>
              <w:right w:val="single" w:color="64748B" w:sz="8"/>
            </w:tcBorders>
          </w:tcPr>
          <w:p>
            <w:pPr>
              <w:jc w:val="center"/>
            </w:pPr>
            <w:r>
              <w:rPr>
                <w:sz w:val="22"/>
                <w:szCs w:val="22"/>
              </w:rPr>
              <w:t xml:space="preserve">Quick answers</w:t>
            </w:r>
          </w:p>
        </w:tc>
      </w:tr>
      <w:tr>
        <w:tc>
          <w:tcPr>
            <w:tcBorders>
              <w:top w:val="single" w:color="64748B" w:sz="8"/>
              <w:left w:val="single" w:color="64748B" w:sz="8"/>
              <w:bottom w:val="single" w:color="64748B" w:sz="8"/>
              <w:right w:val="single" w:color="64748B" w:sz="8"/>
            </w:tcBorders>
          </w:tcPr>
          <w:p>
            <w:pPr>
              <w:jc w:val="center"/>
            </w:pPr>
            <w:r>
              <w:rPr>
                <w:sz w:val="22"/>
                <w:szCs w:val="22"/>
              </w:rPr>
              <w:t xml:space="preserve">Complex</w:t>
            </w:r>
          </w:p>
        </w:tc>
        <w:tc>
          <w:tcPr>
            <w:tcBorders>
              <w:top w:val="single" w:color="64748B" w:sz="8"/>
              <w:left w:val="single" w:color="64748B" w:sz="8"/>
              <w:bottom w:val="single" w:color="64748B" w:sz="8"/>
              <w:right w:val="single" w:color="64748B" w:sz="8"/>
            </w:tcBorders>
          </w:tcPr>
          <w:p>
            <w:pPr>
              <w:jc w:val="center"/>
            </w:pPr>
            <w:r>
              <w:rPr>
                <w:sz w:val="22"/>
                <w:szCs w:val="22"/>
              </w:rPr>
              <w:t xml:space="preserve">Kimi K2.5</w:t>
            </w:r>
          </w:p>
        </w:tc>
        <w:tc>
          <w:tcPr>
            <w:tcBorders>
              <w:top w:val="single" w:color="64748B" w:sz="8"/>
              <w:left w:val="single" w:color="64748B" w:sz="8"/>
              <w:bottom w:val="single" w:color="64748B" w:sz="8"/>
              <w:right w:val="single" w:color="64748B" w:sz="8"/>
            </w:tcBorders>
          </w:tcPr>
          <w:p>
            <w:pPr>
              <w:jc w:val="center"/>
            </w:pPr>
            <w:r>
              <w:rPr>
                <w:sz w:val="22"/>
                <w:szCs w:val="22"/>
              </w:rPr>
              <w:t xml:space="preserve">$0.15 / $0.60</w:t>
            </w:r>
          </w:p>
        </w:tc>
        <w:tc>
          <w:tcPr>
            <w:tcBorders>
              <w:top w:val="single" w:color="64748B" w:sz="8"/>
              <w:left w:val="single" w:color="64748B" w:sz="8"/>
              <w:bottom w:val="single" w:color="64748B" w:sz="8"/>
              <w:right w:val="single" w:color="64748B" w:sz="8"/>
            </w:tcBorders>
          </w:tcPr>
          <w:p>
            <w:pPr>
              <w:jc w:val="center"/>
            </w:pPr>
            <w:r>
              <w:rPr>
                <w:sz w:val="22"/>
                <w:szCs w:val="22"/>
              </w:rPr>
              <w:t xml:space="preserve">Deep analysis</w:t>
            </w:r>
          </w:p>
        </w:tc>
      </w:tr>
      <w:tr>
        <w:tc>
          <w:tcPr>
            <w:tcBorders>
              <w:top w:val="single" w:color="64748B" w:sz="8"/>
              <w:left w:val="single" w:color="64748B" w:sz="8"/>
              <w:bottom w:val="single" w:color="64748B" w:sz="8"/>
              <w:right w:val="single" w:color="64748B" w:sz="8"/>
            </w:tcBorders>
          </w:tcPr>
          <w:p>
            <w:pPr>
              <w:jc w:val="center"/>
            </w:pPr>
            <w:r>
              <w:rPr>
                <w:sz w:val="22"/>
                <w:szCs w:val="22"/>
              </w:rPr>
              <w:t xml:space="preserve">Research</w:t>
            </w:r>
          </w:p>
        </w:tc>
        <w:tc>
          <w:tcPr>
            <w:tcBorders>
              <w:top w:val="single" w:color="64748B" w:sz="8"/>
              <w:left w:val="single" w:color="64748B" w:sz="8"/>
              <w:bottom w:val="single" w:color="64748B" w:sz="8"/>
              <w:right w:val="single" w:color="64748B" w:sz="8"/>
            </w:tcBorders>
          </w:tcPr>
          <w:p>
            <w:pPr>
              <w:jc w:val="center"/>
            </w:pPr>
            <w:r>
              <w:rPr>
                <w:sz w:val="22"/>
                <w:szCs w:val="22"/>
              </w:rPr>
              <w:t xml:space="preserve">Sonar</w:t>
            </w:r>
          </w:p>
        </w:tc>
        <w:tc>
          <w:tcPr>
            <w:tcBorders>
              <w:top w:val="single" w:color="64748B" w:sz="8"/>
              <w:left w:val="single" w:color="64748B" w:sz="8"/>
              <w:bottom w:val="single" w:color="64748B" w:sz="8"/>
              <w:right w:val="single" w:color="64748B" w:sz="8"/>
            </w:tcBorders>
          </w:tcPr>
          <w:p>
            <w:pPr>
              <w:jc w:val="center"/>
            </w:pPr>
            <w:r>
              <w:rPr>
                <w:sz w:val="22"/>
                <w:szCs w:val="22"/>
              </w:rPr>
              <w:t xml:space="preserve">$1.00 / $1.00</w:t>
            </w:r>
          </w:p>
        </w:tc>
        <w:tc>
          <w:tcPr>
            <w:tcBorders>
              <w:top w:val="single" w:color="64748B" w:sz="8"/>
              <w:left w:val="single" w:color="64748B" w:sz="8"/>
              <w:bottom w:val="single" w:color="64748B" w:sz="8"/>
              <w:right w:val="single" w:color="64748B" w:sz="8"/>
            </w:tcBorders>
          </w:tcPr>
          <w:p>
            <w:pPr>
              <w:jc w:val="center"/>
            </w:pPr>
            <w:r>
              <w:rPr>
                <w:sz w:val="22"/>
                <w:szCs w:val="22"/>
              </w:rPr>
              <w:t xml:space="preserve">Live web data</w:t>
            </w:r>
          </w:p>
        </w:tc>
      </w:tr>
    </w:tbl>
    <w:p>
      <w:pPr>
        <w:spacing w:before="80"/>
        <w:jc w:val="center"/>
      </w:pPr>
      <w:r>
        <w:rPr>
          <w:i/>
          <w:iCs/>
          <w:color w:val="64748B"/>
          <w:sz w:val="18"/>
          <w:szCs w:val="18"/>
        </w:rPr>
        <w:t xml:space="preserve">Table 2: AI Model Tier Routing</w:t>
      </w:r>
    </w:p>
    <w:p>
      <w:pPr>
        <w:pStyle w:val="Heading1"/>
      </w:pPr>
      <w:r>
        <w:t xml:space="preserve">4. API Integrations Status</w:t>
      </w:r>
    </w:p>
    <w:p>
      <w:pPr>
        <w:spacing w:after="100"/>
      </w:pPr>
      <w:r>
        <w:rPr>
          <w:color w:val="1E293B"/>
        </w:rPr>
        <w:t xml:space="preserve">At 100% functionality, all API integrations are properly configured with valid credentials stored in Vercel environment variables. Each integration includes comprehensive error handling, automatic retry logic with exponential backoff, and graceful degradation when services are temporarily unavailable. The system maintains detailed request logging with correlation IDs for debugging while ensuring sensitive credentials never appear in client-side code or logs.</w:t>
      </w:r>
    </w:p>
    <w:p>
      <w:pPr>
        <w:pStyle w:val="ListParagraph"/>
        <w:numPr>
          <w:ilvl w:val="0"/>
          <w:numId w:val="3"/>
        </w:numPr>
      </w:pPr>
      <w:r>
        <w:rPr>
          <w:color w:val="1E293B"/>
        </w:rPr>
        <w:t xml:space="preserve">Groq API (GROQ_API_KEY): Powers simple and complex AI chat completions with sub-second latency</w:t>
      </w:r>
    </w:p>
    <w:p>
      <w:pPr>
        <w:pStyle w:val="ListParagraph"/>
        <w:numPr>
          <w:ilvl w:val="0"/>
          <w:numId w:val="3"/>
        </w:numPr>
      </w:pPr>
      <w:r>
        <w:rPr>
          <w:color w:val="1E293B"/>
        </w:rPr>
        <w:t xml:space="preserve">Perplexity API (PERPLEXITY_API_KEY): Enables research-tier queries and live news aggregation</w:t>
      </w:r>
    </w:p>
    <w:p>
      <w:pPr>
        <w:pStyle w:val="ListParagraph"/>
        <w:numPr>
          <w:ilvl w:val="0"/>
          <w:numId w:val="3"/>
        </w:numPr>
      </w:pPr>
      <w:r>
        <w:rPr>
          <w:color w:val="1E293B"/>
        </w:rPr>
        <w:t xml:space="preserve">Moonshot/Kimi API (MPC_APEX): Provides deep analytical capabilities for complex queries</w:t>
      </w:r>
    </w:p>
    <w:p>
      <w:pPr>
        <w:pStyle w:val="ListParagraph"/>
        <w:numPr>
          <w:ilvl w:val="0"/>
          <w:numId w:val="3"/>
        </w:numPr>
      </w:pPr>
      <w:r>
        <w:rPr>
          <w:color w:val="1E293B"/>
        </w:rPr>
        <w:t xml:space="preserve">GitHub API (GITHUB_TOKEN): Fetches live repository metrics with 5,000 req/hr authenticated limit</w:t>
      </w:r>
    </w:p>
    <w:p>
      <w:pPr>
        <w:pStyle w:val="ListParagraph"/>
        <w:numPr>
          <w:ilvl w:val="0"/>
          <w:numId w:val="3"/>
        </w:numPr>
      </w:pPr>
      <w:r>
        <w:rPr>
          <w:color w:val="1E293B"/>
        </w:rPr>
        <w:t xml:space="preserve">Grafana Cloud (OTEL_EXPORTER_OTLP_HEADERS): Receives OpenTelemetry metrics for observability</w:t>
      </w:r>
    </w:p>
    <w:p>
      <w:pPr>
        <w:pStyle w:val="Heading1"/>
      </w:pPr>
      <w:r>
        <w:t xml:space="preserve">5. Performance Metrics at 100%</w:t>
      </w:r>
    </w:p>
    <w:p>
      <w:pPr>
        <w:spacing w:after="100"/>
      </w:pPr>
      <w:r>
        <w:rPr>
          <w:color w:val="1E293B"/>
        </w:rPr>
        <w:t xml:space="preserve">When fully operational, Apex Central achieves performance metrics that place it in the top tier of web applications globally. The platform is specifically optimized for South African network conditions, with automatic adaptation for varying connection speeds and automatic service worker caching for offline resilience during load shedding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2340"/>
        <w:gridCol w:w="3900"/>
      </w:tblGrid>
      <w:tr>
        <w:trPr>
          <w:tblHeader/>
        </w:trPr>
        <w:tc>
          <w:tcPr>
            <w:tcBorders>
              <w:top w:val="single" w:color="64748B" w:sz="8"/>
              <w:left w:val="single" w:color="64748B" w:sz="8"/>
              <w:bottom w:val="single" w:color="64748B" w:sz="8"/>
              <w:right w:val="single" w:color="64748B" w:sz="8"/>
            </w:tcBorders>
            <w:shd w:fill="E2E8F0" w:val="clear"/>
          </w:tcPr>
          <w:p>
            <w:pPr>
              <w:jc w:val="center"/>
            </w:pPr>
            <w:r>
              <w:rPr>
                <w:b/>
                <w:bCs/>
                <w:sz w:val="22"/>
                <w:szCs w:val="22"/>
              </w:rPr>
              <w:t xml:space="preserve">Metric</w:t>
            </w:r>
          </w:p>
        </w:tc>
        <w:tc>
          <w:tcPr>
            <w:tcBorders>
              <w:top w:val="single" w:color="64748B" w:sz="8"/>
              <w:left w:val="single" w:color="64748B" w:sz="8"/>
              <w:bottom w:val="single" w:color="64748B" w:sz="8"/>
              <w:right w:val="single" w:color="64748B" w:sz="8"/>
            </w:tcBorders>
            <w:shd w:fill="E2E8F0" w:val="clear"/>
          </w:tcPr>
          <w:p>
            <w:pPr>
              <w:jc w:val="center"/>
            </w:pPr>
            <w:r>
              <w:rPr>
                <w:b/>
                <w:bCs/>
                <w:sz w:val="22"/>
                <w:szCs w:val="22"/>
              </w:rPr>
              <w:t xml:space="preserve">Target</w:t>
            </w:r>
          </w:p>
        </w:tc>
        <w:tc>
          <w:tcPr>
            <w:tcBorders>
              <w:top w:val="single" w:color="64748B" w:sz="8"/>
              <w:left w:val="single" w:color="64748B" w:sz="8"/>
              <w:bottom w:val="single" w:color="64748B" w:sz="8"/>
              <w:right w:val="single" w:color="64748B" w:sz="8"/>
            </w:tcBorders>
            <w:shd w:fill="E2E8F0" w:val="clear"/>
          </w:tcPr>
          <w:p>
            <w:pPr>
              <w:jc w:val="center"/>
            </w:pPr>
            <w:r>
              <w:rPr>
                <w:b/>
                <w:bCs/>
                <w:sz w:val="22"/>
                <w:szCs w:val="22"/>
              </w:rPr>
              <w:t xml:space="preserve">Implementation</w:t>
            </w:r>
          </w:p>
        </w:tc>
      </w:tr>
      <w:tr>
        <w:tc>
          <w:tcPr>
            <w:tcBorders>
              <w:top w:val="single" w:color="64748B" w:sz="8"/>
              <w:left w:val="single" w:color="64748B" w:sz="8"/>
              <w:bottom w:val="single" w:color="64748B" w:sz="8"/>
              <w:right w:val="single" w:color="64748B" w:sz="8"/>
            </w:tcBorders>
          </w:tcPr>
          <w:p>
            <w:r>
              <w:rPr>
                <w:sz w:val="22"/>
                <w:szCs w:val="22"/>
              </w:rPr>
              <w:t xml:space="preserve">First Contentful Paint</w:t>
            </w:r>
          </w:p>
        </w:tc>
        <w:tc>
          <w:tcPr>
            <w:tcBorders>
              <w:top w:val="single" w:color="64748B" w:sz="8"/>
              <w:left w:val="single" w:color="64748B" w:sz="8"/>
              <w:bottom w:val="single" w:color="64748B" w:sz="8"/>
              <w:right w:val="single" w:color="64748B" w:sz="8"/>
            </w:tcBorders>
          </w:tcPr>
          <w:p>
            <w:pPr>
              <w:jc w:val="center"/>
            </w:pPr>
            <w:r>
              <w:rPr>
                <w:sz w:val="22"/>
                <w:szCs w:val="22"/>
              </w:rPr>
              <w:t xml:space="preserve">&lt; 1.8s</w:t>
            </w:r>
          </w:p>
        </w:tc>
        <w:tc>
          <w:tcPr>
            <w:tcBorders>
              <w:top w:val="single" w:color="64748B" w:sz="8"/>
              <w:left w:val="single" w:color="64748B" w:sz="8"/>
              <w:bottom w:val="single" w:color="64748B" w:sz="8"/>
              <w:right w:val="single" w:color="64748B" w:sz="8"/>
            </w:tcBorders>
          </w:tcPr>
          <w:p>
            <w:r>
              <w:rPr>
                <w:sz w:val="22"/>
                <w:szCs w:val="22"/>
              </w:rPr>
              <w:t xml:space="preserve">Static gradient background, deferred WebGL</w:t>
            </w:r>
          </w:p>
        </w:tc>
      </w:tr>
      <w:tr>
        <w:tc>
          <w:tcPr>
            <w:tcBorders>
              <w:top w:val="single" w:color="64748B" w:sz="8"/>
              <w:left w:val="single" w:color="64748B" w:sz="8"/>
              <w:bottom w:val="single" w:color="64748B" w:sz="8"/>
              <w:right w:val="single" w:color="64748B" w:sz="8"/>
            </w:tcBorders>
          </w:tcPr>
          <w:p>
            <w:r>
              <w:rPr>
                <w:sz w:val="22"/>
                <w:szCs w:val="22"/>
              </w:rPr>
              <w:t xml:space="preserve">Largest Contentful Paint</w:t>
            </w:r>
          </w:p>
        </w:tc>
        <w:tc>
          <w:tcPr>
            <w:tcBorders>
              <w:top w:val="single" w:color="64748B" w:sz="8"/>
              <w:left w:val="single" w:color="64748B" w:sz="8"/>
              <w:bottom w:val="single" w:color="64748B" w:sz="8"/>
              <w:right w:val="single" w:color="64748B" w:sz="8"/>
            </w:tcBorders>
          </w:tcPr>
          <w:p>
            <w:pPr>
              <w:jc w:val="center"/>
            </w:pPr>
            <w:r>
              <w:rPr>
                <w:sz w:val="22"/>
                <w:szCs w:val="22"/>
              </w:rPr>
              <w:t xml:space="preserve">&lt; 2.5s</w:t>
            </w:r>
          </w:p>
        </w:tc>
        <w:tc>
          <w:tcPr>
            <w:tcBorders>
              <w:top w:val="single" w:color="64748B" w:sz="8"/>
              <w:left w:val="single" w:color="64748B" w:sz="8"/>
              <w:bottom w:val="single" w:color="64748B" w:sz="8"/>
              <w:right w:val="single" w:color="64748B" w:sz="8"/>
            </w:tcBorders>
          </w:tcPr>
          <w:p>
            <w:r>
              <w:rPr>
                <w:sz w:val="22"/>
                <w:szCs w:val="22"/>
              </w:rPr>
              <w:t xml:space="preserve">AVIF/WebP images, edge caching via Vercel CPT1</w:t>
            </w:r>
          </w:p>
        </w:tc>
      </w:tr>
      <w:tr>
        <w:tc>
          <w:tcPr>
            <w:tcBorders>
              <w:top w:val="single" w:color="64748B" w:sz="8"/>
              <w:left w:val="single" w:color="64748B" w:sz="8"/>
              <w:bottom w:val="single" w:color="64748B" w:sz="8"/>
              <w:right w:val="single" w:color="64748B" w:sz="8"/>
            </w:tcBorders>
          </w:tcPr>
          <w:p>
            <w:r>
              <w:rPr>
                <w:sz w:val="22"/>
                <w:szCs w:val="22"/>
              </w:rPr>
              <w:t xml:space="preserve">Time to Interactive</w:t>
            </w:r>
          </w:p>
        </w:tc>
        <w:tc>
          <w:tcPr>
            <w:tcBorders>
              <w:top w:val="single" w:color="64748B" w:sz="8"/>
              <w:left w:val="single" w:color="64748B" w:sz="8"/>
              <w:bottom w:val="single" w:color="64748B" w:sz="8"/>
              <w:right w:val="single" w:color="64748B" w:sz="8"/>
            </w:tcBorders>
          </w:tcPr>
          <w:p>
            <w:pPr>
              <w:jc w:val="center"/>
            </w:pPr>
            <w:r>
              <w:rPr>
                <w:sz w:val="22"/>
                <w:szCs w:val="22"/>
              </w:rPr>
              <w:t xml:space="preserve">&lt; 3.8s</w:t>
            </w:r>
          </w:p>
        </w:tc>
        <w:tc>
          <w:tcPr>
            <w:tcBorders>
              <w:top w:val="single" w:color="64748B" w:sz="8"/>
              <w:left w:val="single" w:color="64748B" w:sz="8"/>
              <w:bottom w:val="single" w:color="64748B" w:sz="8"/>
              <w:right w:val="single" w:color="64748B" w:sz="8"/>
            </w:tcBorders>
          </w:tcPr>
          <w:p>
            <w:r>
              <w:rPr>
                <w:sz w:val="22"/>
                <w:szCs w:val="22"/>
              </w:rPr>
              <w:t xml:space="preserve">Code splitting, dynamic imports for Three.js</w:t>
            </w:r>
          </w:p>
        </w:tc>
      </w:tr>
      <w:tr>
        <w:tc>
          <w:tcPr>
            <w:tcBorders>
              <w:top w:val="single" w:color="64748B" w:sz="8"/>
              <w:left w:val="single" w:color="64748B" w:sz="8"/>
              <w:bottom w:val="single" w:color="64748B" w:sz="8"/>
              <w:right w:val="single" w:color="64748B" w:sz="8"/>
            </w:tcBorders>
          </w:tcPr>
          <w:p>
            <w:r>
              <w:rPr>
                <w:sz w:val="22"/>
                <w:szCs w:val="22"/>
              </w:rPr>
              <w:t xml:space="preserve">Cumulative Layout Shift</w:t>
            </w:r>
          </w:p>
        </w:tc>
        <w:tc>
          <w:tcPr>
            <w:tcBorders>
              <w:top w:val="single" w:color="64748B" w:sz="8"/>
              <w:left w:val="single" w:color="64748B" w:sz="8"/>
              <w:bottom w:val="single" w:color="64748B" w:sz="8"/>
              <w:right w:val="single" w:color="64748B" w:sz="8"/>
            </w:tcBorders>
          </w:tcPr>
          <w:p>
            <w:pPr>
              <w:jc w:val="center"/>
            </w:pPr>
            <w:r>
              <w:rPr>
                <w:sz w:val="22"/>
                <w:szCs w:val="22"/>
              </w:rPr>
              <w:t xml:space="preserve">&lt; 0.1</w:t>
            </w:r>
          </w:p>
        </w:tc>
        <w:tc>
          <w:tcPr>
            <w:tcBorders>
              <w:top w:val="single" w:color="64748B" w:sz="8"/>
              <w:left w:val="single" w:color="64748B" w:sz="8"/>
              <w:bottom w:val="single" w:color="64748B" w:sz="8"/>
              <w:right w:val="single" w:color="64748B" w:sz="8"/>
            </w:tcBorders>
          </w:tcPr>
          <w:p>
            <w:r>
              <w:rPr>
                <w:sz w:val="22"/>
                <w:szCs w:val="22"/>
              </w:rPr>
              <w:t xml:space="preserve">Fixed containers, reserved canvas space</w:t>
            </w:r>
          </w:p>
        </w:tc>
      </w:tr>
      <w:tr>
        <w:tc>
          <w:tcPr>
            <w:tcBorders>
              <w:top w:val="single" w:color="64748B" w:sz="8"/>
              <w:left w:val="single" w:color="64748B" w:sz="8"/>
              <w:bottom w:val="single" w:color="64748B" w:sz="8"/>
              <w:right w:val="single" w:color="64748B" w:sz="8"/>
            </w:tcBorders>
          </w:tcPr>
          <w:p>
            <w:r>
              <w:rPr>
                <w:sz w:val="22"/>
                <w:szCs w:val="22"/>
              </w:rPr>
              <w:t xml:space="preserve">Interaction to Next Paint</w:t>
            </w:r>
          </w:p>
        </w:tc>
        <w:tc>
          <w:tcPr>
            <w:tcBorders>
              <w:top w:val="single" w:color="64748B" w:sz="8"/>
              <w:left w:val="single" w:color="64748B" w:sz="8"/>
              <w:bottom w:val="single" w:color="64748B" w:sz="8"/>
              <w:right w:val="single" w:color="64748B" w:sz="8"/>
            </w:tcBorders>
          </w:tcPr>
          <w:p>
            <w:pPr>
              <w:jc w:val="center"/>
            </w:pPr>
            <w:r>
              <w:rPr>
                <w:sz w:val="22"/>
                <w:szCs w:val="22"/>
              </w:rPr>
              <w:t xml:space="preserve">&lt; 200ms</w:t>
            </w:r>
          </w:p>
        </w:tc>
        <w:tc>
          <w:tcPr>
            <w:tcBorders>
              <w:top w:val="single" w:color="64748B" w:sz="8"/>
              <w:left w:val="single" w:color="64748B" w:sz="8"/>
              <w:bottom w:val="single" w:color="64748B" w:sz="8"/>
              <w:right w:val="single" w:color="64748B" w:sz="8"/>
            </w:tcBorders>
          </w:tcPr>
          <w:p>
            <w:r>
              <w:rPr>
                <w:sz w:val="22"/>
                <w:szCs w:val="22"/>
              </w:rPr>
              <w:t xml:space="preserve">React 18 transitions, yield to main thread</w:t>
            </w:r>
          </w:p>
        </w:tc>
      </w:tr>
      <w:tr>
        <w:tc>
          <w:tcPr>
            <w:tcBorders>
              <w:top w:val="single" w:color="64748B" w:sz="8"/>
              <w:left w:val="single" w:color="64748B" w:sz="8"/>
              <w:bottom w:val="single" w:color="64748B" w:sz="8"/>
              <w:right w:val="single" w:color="64748B" w:sz="8"/>
            </w:tcBorders>
          </w:tcPr>
          <w:p>
            <w:r>
              <w:rPr>
                <w:sz w:val="22"/>
                <w:szCs w:val="22"/>
              </w:rPr>
              <w:t xml:space="preserve">Lighthouse Score</w:t>
            </w:r>
          </w:p>
        </w:tc>
        <w:tc>
          <w:tcPr>
            <w:tcBorders>
              <w:top w:val="single" w:color="64748B" w:sz="8"/>
              <w:left w:val="single" w:color="64748B" w:sz="8"/>
              <w:bottom w:val="single" w:color="64748B" w:sz="8"/>
              <w:right w:val="single" w:color="64748B" w:sz="8"/>
            </w:tcBorders>
          </w:tcPr>
          <w:p>
            <w:pPr>
              <w:jc w:val="center"/>
            </w:pPr>
            <w:r>
              <w:rPr>
                <w:sz w:val="22"/>
                <w:szCs w:val="22"/>
              </w:rPr>
              <w:t xml:space="preserve">&gt; 90</w:t>
            </w:r>
          </w:p>
        </w:tc>
        <w:tc>
          <w:tcPr>
            <w:tcBorders>
              <w:top w:val="single" w:color="64748B" w:sz="8"/>
              <w:left w:val="single" w:color="64748B" w:sz="8"/>
              <w:bottom w:val="single" w:color="64748B" w:sz="8"/>
              <w:right w:val="single" w:color="64748B" w:sz="8"/>
            </w:tcBorders>
          </w:tcPr>
          <w:p>
            <w:r>
              <w:rPr>
                <w:sz w:val="22"/>
                <w:szCs w:val="22"/>
              </w:rPr>
              <w:t xml:space="preserve">All Core Web Vitals in green zone</w:t>
            </w:r>
          </w:p>
        </w:tc>
      </w:tr>
    </w:tbl>
    <w:p>
      <w:pPr>
        <w:spacing w:before="80"/>
        <w:jc w:val="center"/>
      </w:pPr>
      <w:r>
        <w:rPr>
          <w:i/>
          <w:iCs/>
          <w:color w:val="64748B"/>
          <w:sz w:val="18"/>
          <w:szCs w:val="18"/>
        </w:rPr>
        <w:t xml:space="preserve">Table 3: Core Web Vitals Performance Targets</w:t>
      </w:r>
    </w:p>
    <w:p>
      <w:pPr>
        <w:pStyle w:val="Heading1"/>
      </w:pPr>
      <w:r>
        <w:t xml:space="preserve">6. South Africa-Specific Features</w:t>
      </w:r>
    </w:p>
    <w:p>
      <w:pPr>
        <w:pStyle w:val="Heading2"/>
      </w:pPr>
      <w:r>
        <w:t xml:space="preserve">6.1 Load Shedding Resilience</w:t>
      </w:r>
    </w:p>
    <w:p>
      <w:pPr>
        <w:spacing w:after="100"/>
      </w:pPr>
      <w:r>
        <w:rPr>
          <w:color w:val="1E293B"/>
        </w:rPr>
        <w:t xml:space="preserve">The platform implements comprehensive load shedding resilience through multiple strategies. Service workers cache critical assets and API responses, enabling basic functionality during power outages. The static gradient background ensures visual continuity even when WebGL fails to load. API responses include stale-while-revalidate headers that allow cached content to be served during network disruptions. Users can continue browsing cached opportunities and reading previously loaded news articles during load shedding events.</w:t>
      </w:r>
    </w:p>
    <w:p>
      <w:pPr>
        <w:pStyle w:val="Heading2"/>
      </w:pPr>
      <w:r>
        <w:t xml:space="preserve">6.2 Data Cost Optimization</w:t>
      </w:r>
    </w:p>
    <w:p>
      <w:pPr>
        <w:spacing w:after="100"/>
      </w:pPr>
      <w:r>
        <w:rPr>
          <w:color w:val="1E293B"/>
        </w:rPr>
        <w:t xml:space="preserve">Every aspect of the platform is optimized for data-efficient operation, acknowledging that South African users pay premium rates for mobile data. Images are served in AVIF format with WebP fallback, achieving 40-50% size reduction over traditional JPEG. The Three.js bundle is completely deferred until after initial interaction, preventing unnecessary downloads on low-bandwidth connections. The Network Information API detects 2G connections and automatically serves static content instead of WebGL animations. API responses are compressed with Brotli encoding, and polling intervals are extended on metered connections.</w:t>
      </w:r>
    </w:p>
    <w:p>
      <w:pPr>
        <w:pStyle w:val="Heading2"/>
      </w:pPr>
      <w:r>
        <w:t xml:space="preserve">6.3 Mobile-First Design</w:t>
      </w:r>
    </w:p>
    <w:p>
      <w:pPr>
        <w:spacing w:after="100"/>
      </w:pPr>
      <w:r>
        <w:rPr>
          <w:color w:val="1E293B"/>
        </w:rPr>
        <w:t xml:space="preserve">With over 79% of South African internet access occurring on mobile devices, the entire platform is built mobile-first. Touch targets maintain minimum 44px dimensions for reliable tapping on small screens. The responsive grid adapts from single-column layouts on 320px viewports to multi-column layouts on larger screens. Navigation collapses into a hamburger menu on mobile, with all functionality accessible through touch gestures. The chat interface slides up as a full-screen modal on mobile for easier typing and reading.</w:t>
      </w:r>
    </w:p>
    <w:p>
      <w:pPr>
        <w:pStyle w:val="Heading2"/>
      </w:pPr>
      <w:r>
        <w:t xml:space="preserve">6.4 Province Context Awareness</w:t>
      </w:r>
    </w:p>
    <w:p>
      <w:pPr>
        <w:spacing w:after="100"/>
      </w:pPr>
      <w:r>
        <w:rPr>
          <w:color w:val="1E293B"/>
        </w:rPr>
        <w:t xml:space="preserve">The platform integrates detailed province-specific data for all nine South African provinces, including unemployment rates, digital access percentages, and economic indicators. When a user selects their province or mentions a location in chat, the AI assistant automatically incorporates relevant local context into its responses. This enables location-aware opportunity recommendations that consider local market conditions, infrastructure availability, and regional economic factors.</w:t>
      </w:r>
    </w:p>
    <w:p>
      <w:pPr>
        <w:pStyle w:val="Heading1"/>
      </w:pPr>
      <w:r>
        <w:t xml:space="preserve">7. Security &amp; Compliance at 100%</w:t>
      </w:r>
    </w:p>
    <w:p>
      <w:pPr>
        <w:pStyle w:val="Heading2"/>
      </w:pPr>
      <w:r>
        <w:t xml:space="preserve">7.1 Authentication System</w:t>
      </w:r>
    </w:p>
    <w:p>
      <w:pPr>
        <w:spacing w:after="100"/>
      </w:pPr>
      <w:r>
        <w:rPr>
          <w:color w:val="1E293B"/>
        </w:rPr>
        <w:t xml:space="preserve">The fully operational authentication system uses bcrypt password hashing with 12 salt rounds for secure credential storage. JWT sessions are signed with HS256 algorithm using a 64-character secret stored in environment variables. Session tokens are stored in HttpOnly, Secure, SameSite=Lax cookies that are invisible to JavaScript and protected against XSS attacks. Rate limiting prevents brute force attacks with progressive delays after failed attempts. The system maintains timing-safe comparison operations to prevent timing attacks during credential validation.</w:t>
      </w:r>
    </w:p>
    <w:p>
      <w:pPr>
        <w:pStyle w:val="Heading2"/>
      </w:pPr>
      <w:r>
        <w:t xml:space="preserve">7.2 POPIA Compliance</w:t>
      </w:r>
    </w:p>
    <w:p>
      <w:pPr>
        <w:spacing w:after="100"/>
      </w:pPr>
      <w:r>
        <w:rPr>
          <w:color w:val="1E293B"/>
        </w:rPr>
        <w:t xml:space="preserve">The platform is designed for full POPIA (Protection of Personal Information Act) compliance with explicit consent mechanisms, clear privacy policies in plain language, and user data portability options. Personal information is processed only for stated purposes, with clear retention policies and secure deletion procedures. The system logs all data access for audit trails and implements the principle of minimal data collection — only gathering information strictly necessary for platform functionality.</w:t>
      </w:r>
    </w:p>
    <w:p>
      <w:pPr>
        <w:pStyle w:val="ListParagraph"/>
        <w:numPr>
          <w:ilvl w:val="0"/>
          <w:numId w:val="4"/>
        </w:numPr>
      </w:pPr>
      <w:r>
        <w:rPr>
          <w:color w:val="1E293B"/>
        </w:rPr>
        <w:t xml:space="preserve">Content Security Policy with strict default-src and explicit allowed origins</w:t>
      </w:r>
    </w:p>
    <w:p>
      <w:pPr>
        <w:pStyle w:val="ListParagraph"/>
        <w:numPr>
          <w:ilvl w:val="0"/>
          <w:numId w:val="4"/>
        </w:numPr>
      </w:pPr>
      <w:r>
        <w:rPr>
          <w:color w:val="1E293B"/>
        </w:rPr>
        <w:t xml:space="preserve">X-Frame-Options: DENY prevents clickjacking attacks</w:t>
      </w:r>
    </w:p>
    <w:p>
      <w:pPr>
        <w:pStyle w:val="ListParagraph"/>
        <w:numPr>
          <w:ilvl w:val="0"/>
          <w:numId w:val="4"/>
        </w:numPr>
      </w:pPr>
      <w:r>
        <w:rPr>
          <w:color w:val="1E293B"/>
        </w:rPr>
        <w:t xml:space="preserve">Strict-Transport-Security with one-year max-age and subdomain inclusion</w:t>
      </w:r>
    </w:p>
    <w:p>
      <w:pPr>
        <w:pStyle w:val="ListParagraph"/>
        <w:numPr>
          <w:ilvl w:val="0"/>
          <w:numId w:val="4"/>
        </w:numPr>
      </w:pPr>
      <w:r>
        <w:rPr>
          <w:color w:val="1E293B"/>
        </w:rPr>
        <w:t xml:space="preserve">X-Content-Type-Options: nosniff prevents MIME sniffing</w:t>
      </w:r>
    </w:p>
    <w:p>
      <w:pPr>
        <w:pStyle w:val="ListParagraph"/>
        <w:numPr>
          <w:ilvl w:val="0"/>
          <w:numId w:val="4"/>
        </w:numPr>
      </w:pPr>
      <w:r>
        <w:rPr>
          <w:color w:val="1E293B"/>
        </w:rPr>
        <w:t xml:space="preserve">Referrer-Policy: strict-origin-when-cross-origin limits referrer leakage</w:t>
      </w:r>
    </w:p>
    <w:p>
      <w:pPr>
        <w:pStyle w:val="Heading1"/>
      </w:pPr>
      <w:r>
        <w:t xml:space="preserve">8. Observability &amp; Monitoring</w:t>
      </w:r>
    </w:p>
    <w:p>
      <w:pPr>
        <w:spacing w:after="100"/>
      </w:pPr>
      <w:r>
        <w:rPr>
          <w:color w:val="1E293B"/>
        </w:rPr>
        <w:t xml:space="preserve">At full capacity, the platform maintains comprehensive observability through OpenTelemetry integration with Grafana Cloud. All API routes emit structured metrics including request counts, latency histograms, error rates, and cost accumulations for AI model usage. The Speed Insights integration provides real user monitoring (RUM) data including Core Web Vitals measured across actual user sessions. Dashboard visualizations track query volume by tier, model selection distribution, average response times, and cumulative API costs — all queryable through Grafana's interface.</w:t>
      </w:r>
    </w:p>
    <w:p>
      <w:pPr>
        <w:pStyle w:val="Heading1"/>
      </w:pPr>
      <w:r>
        <w:t xml:space="preserve">9. Deployment Architecture</w:t>
      </w:r>
    </w:p>
    <w:p>
      <w:pPr>
        <w:spacing w:after="100"/>
      </w:pPr>
      <w:r>
        <w:rPr>
          <w:color w:val="1E293B"/>
        </w:rPr>
        <w:t xml:space="preserve">The production deployment runs on Vercel's edge network with servers located in Cape Town (cpt1 region) for optimal South African latency. All static assets are served through Vercel's global CDN with automatic cache invalidation on deployments. API routes run as serverless functions with configurable maxDuration settings optimized for each endpoint's typical response time. The deployment includes automatic preview environments for pull requests, enabling testing of changes before production deployment.</w:t>
      </w:r>
    </w:p>
    <w:p>
      <w:pPr>
        <w:pStyle w:val="Heading1"/>
      </w:pPr>
      <w:r>
        <w:t xml:space="preserve">10. Summary</w:t>
      </w:r>
    </w:p>
    <w:p>
      <w:pPr>
        <w:spacing w:after="100"/>
      </w:pPr>
      <w:r>
        <w:rPr>
          <w:color w:val="1E293B"/>
        </w:rPr>
        <w:t xml:space="preserve">When functioning at 100%, Apex Central represents a world-class digital platform that successfully addresses the unique challenges of the South African market while maintaining global standards for performance, security, and user experience. The combination of intelligent AI assistance, real-time opportunity discovery, and comprehensive observability creates a platform that genuinely helps South Africans build sustainable digital income streams. The architecture is designed for scalability, with clear paths for future enhancements including payment gateway integration, WhatsApp Business API connectivity, and multi-language support for all 11 official South African languages.</w:t>
      </w:r>
    </w:p>
    <w:p>
      <w:pPr>
        <w:spacing w:after="100"/>
      </w:pPr>
      <w:r>
        <w:rPr>
          <w:color w:val="1E293B"/>
        </w:rPr>
        <w:t xml:space="preserve">The platform's success is measured not just by technical metrics but by its real-world impact: South Africans discovering legitimate income opportunities, receiving personalized guidance in their local context, and building sustainable digital livelihoods. This is the vision of Apex Central at 100% — a platform that truly serves its community.</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Apex Central — System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2026-03-12T00:57:35.787Z</dcterms:created>
  <dcterms:modified xsi:type="dcterms:W3CDTF">2026-03-12T00:57:35.787Z</dcterms:modified>
</cp:coreProperties>
</file>

<file path=docProps/custom.xml><?xml version="1.0" encoding="utf-8"?>
<Properties xmlns="http://schemas.openxmlformats.org/officeDocument/2006/custom-properties" xmlns:vt="http://schemas.openxmlformats.org/officeDocument/2006/docPropsVTypes"/>
</file>