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ind w:left="0" w:firstLine="0"/>
        <w:jc w:val="left"/>
      </w:pPr>
      <w:r>
        <w:rPr>
          <w:rFonts w:ascii="Arial" w:hAnsi="Arial" w:eastAsia="Arial" w:cs="Arial"/>
          <w:b/>
          <w:i w:val="0"/>
          <w:color w:val="2F5597"/>
          <w:sz w:val="17"/>
        </w:rPr>
        <w:t>GOVERNANÇA DOCUMENTAL</w:t>
      </w:r>
    </w:p>
    <w:p>
      <w:pPr>
        <w:spacing w:before="0" w:after="80" w:line="240" w:lineRule="auto"/>
        <w:ind w:left="0" w:firstLine="0"/>
        <w:jc w:val="left"/>
        <w:pBdr>
          <w:bottom w:val="single" w:sz="8" w:space="4" w:color="2F5597"/>
        </w:pBdr>
      </w:pPr>
      <w:r>
        <w:rPr>
          <w:rFonts w:ascii="Calibri" w:hAnsi="Calibri" w:eastAsia="Calibri" w:cs="Calibri"/>
          <w:b/>
          <w:i w:val="0"/>
          <w:color w:val="17365D"/>
          <w:sz w:val="48"/>
        </w:rPr>
        <w:t>Diretriz de Padronização Documental Institucional</w:t>
      </w:r>
    </w:p>
    <w:p>
      <w:pPr>
        <w:spacing w:before="0" w:after="360" w:line="240" w:lineRule="auto"/>
        <w:ind w:left="0" w:firstLine="0"/>
        <w:jc w:val="left"/>
      </w:pPr>
      <w:r>
        <w:rPr>
          <w:rFonts w:ascii="Calibri" w:hAnsi="Calibri" w:eastAsia="Calibri" w:cs="Calibri"/>
          <w:b w:val="0"/>
          <w:i w:val="0"/>
          <w:color w:val="4A4A4A"/>
          <w:sz w:val="22"/>
        </w:rPr>
        <w:t>Padrão institucional para materialização, apresentação e governança formal de documentos</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4816"/>
        <w:gridCol w:w="4816"/>
      </w:tblGrid>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Finalidade</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Estabelecer regras institucionais transversais para materialização, apresentação, identificação, versionamento e validação formal de documentos, preservando consistência visual, rastreabilidade e governança do artefato.</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Escopo</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Documentos institucionais em formato DOCX produzidos ou revisados no âmbito da organização, independentemente da área, do executor ou da forma de operacionalização, respeitados templates e fontes específicas aplicáveis.</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Versão</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3.4 - Integridade estrutural OOXML e navegação por títulos</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Data de referência</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23 de outubro de 2026</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Situação</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Diretriz institucional vigente de Governança Documental; substitui a versão 3.3 a partir de 26 de outubro de 2026.</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Responsável pelo documento</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Johann Munzlinger</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Autoria</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Johann Munzlinger</w:t>
            </w:r>
          </w:p>
        </w:tc>
      </w:tr>
      <w:tr>
        <w:trPr>
          <w:cantSplit w:val="1"/>
        </w:trPr>
        <w:tc>
          <w:tcPr>
            <w:tcW w:type="dxa" w:w="4819"/>
            <w:tcMar>
              <w:top w:w="80" w:type="dxa"/>
              <w:start w:w="80" w:type="dxa"/>
              <w:bottom w:w="80" w:type="dxa"/>
              <w:end w:w="80" w:type="dxa"/>
            </w:tcMar>
            <w:vAlign w:val="center"/>
            <w:shd w:fill="D9EAF7"/>
          </w:tcPr>
          <w:p>
            <w:pPr>
              <w:spacing w:before="0" w:after="0" w:line="240" w:lineRule="auto"/>
              <w:ind w:left="0" w:firstLine="0"/>
            </w:pPr>
            <w:r>
              <w:rPr>
                <w:rFonts w:ascii="Arial" w:hAnsi="Arial" w:eastAsia="Arial" w:cs="Arial"/>
                <w:b/>
                <w:i w:val="0"/>
                <w:color w:val="17365D"/>
                <w:sz w:val="18"/>
              </w:rPr>
              <w:t>Auxílio de IA generativa</w:t>
            </w:r>
          </w:p>
        </w:tc>
        <w:tc>
          <w:tcPr>
            <w:tcW w:type="dxa" w:w="4819"/>
            <w:tcMar>
              <w:top w:w="80" w:type="dxa"/>
              <w:start w:w="80" w:type="dxa"/>
              <w:bottom w:w="80" w:type="dxa"/>
              <w:end w:w="80" w:type="dxa"/>
            </w:tcMar>
            <w:vAlign w:val="center"/>
            <w:shd w:fill="FFFFFF"/>
          </w:tcPr>
          <w:p>
            <w:pPr>
              <w:spacing w:before="0" w:after="0" w:line="240" w:lineRule="auto"/>
              <w:ind w:left="0" w:firstLine="0"/>
            </w:pPr>
            <w:r>
              <w:rPr>
                <w:rFonts w:ascii="Arial" w:hAnsi="Arial" w:eastAsia="Arial" w:cs="Arial"/>
                <w:b w:val="0"/>
                <w:i w:val="0"/>
                <w:color w:val="202020"/>
                <w:sz w:val="17"/>
              </w:rPr>
              <w:t>Documento estruturado e revisado com auxílio de IA generativa. A validação da aplicabilidade, da aderência institucional e da versão final permanece sob responsabilidade humana.</w:t>
            </w:r>
          </w:p>
        </w:tc>
      </w:tr>
    </w:tbl>
    <w:p>
      <w:pPr>
        <w:spacing w:after="0" w:before="0" w:line="240" w:lineRule="exact"/>
      </w:pPr>
      <w:r>
        <w:rPr>
          <w:sz w:val="24"/>
        </w:rPr>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632"/>
      </w:tblGrid>
      <w:tr>
        <w:trPr>
          <w:cantSplit w:val="1"/>
        </w:trPr>
        <w:tc>
          <w:tcPr>
            <w:tcW w:type="dxa" w:w="9632"/>
            <w:shd w:fill="F2F2F2"/>
            <w:tcMar>
              <w:top w:w="80" w:type="dxa"/>
              <w:start w:w="80" w:type="dxa"/>
              <w:bottom w:w="80" w:type="dxa"/>
              <w:end w:w="80" w:type="dxa"/>
            </w:tcMar>
            <w:vAlign w:val="center"/>
          </w:tcPr>
          <w:p>
            <w:pPr>
              <w:spacing w:before="0" w:after="0" w:line="276" w:lineRule="auto"/>
              <w:ind w:left="0" w:firstLine="0"/>
            </w:pPr>
            <w:r>
              <w:rPr>
                <w:rFonts w:ascii="Arial" w:hAnsi="Arial" w:eastAsia="Arial" w:cs="Arial"/>
                <w:b/>
                <w:i w:val="0"/>
                <w:color w:val="17365D"/>
                <w:sz w:val="18"/>
              </w:rPr>
              <w:t>Natureza do material</w:t>
            </w:r>
          </w:p>
          <w:p>
            <w:pPr>
              <w:spacing w:before="40" w:after="0" w:line="276" w:lineRule="auto"/>
              <w:ind w:left="0" w:firstLine="0"/>
            </w:pPr>
            <w:r>
              <w:rPr>
                <w:rFonts w:ascii="Arial" w:hAnsi="Arial" w:eastAsia="Arial" w:cs="Arial"/>
                <w:b w:val="0"/>
                <w:i w:val="0"/>
                <w:color w:val="202020"/>
                <w:sz w:val="17"/>
              </w:rPr>
              <w:t>Diretriz interna e transversal de padronização documental. Governa a materialização, a apresentação e os controles formais do artefato institucional. A qualidade e a construção do conteúdo são regidas pela Diretriz de Qualidade e Construção de Conteúdo Documental Institucional vigente. O formato institucional editável padrão permanece DOCX. A aplicação desta diretriz independe da ferramenta, da arquitetura de IA ou do mecanismo utilizado para produzir ou revisar o documento.</w:t>
            </w:r>
          </w:p>
        </w:tc>
      </w:tr>
    </w:tbl>
    <w:p>
      <w:pPr>
        <w:spacing w:after="0" w:before="0" w:line="240" w:lineRule="exact"/>
      </w:pPr>
      <w:r>
        <w:rPr>
          <w:sz w:val="24"/>
        </w:rPr>
      </w:r>
    </w:p>
    <w:p>
      <w:pPr>
        <w:spacing w:before="0" w:after="0" w:line="240" w:lineRule="auto"/>
        <w:ind w:left="0" w:firstLine="0"/>
        <w:jc w:val="left"/>
      </w:pPr>
      <w:r>
        <w:rPr>
          <w:rFonts w:ascii="Arial" w:hAnsi="Arial" w:eastAsia="Arial" w:cs="Arial"/>
          <w:b w:val="0"/>
          <w:i w:val="0"/>
          <w:color w:val="666666"/>
          <w:sz w:val="16"/>
        </w:rPr>
        <w:t>Gestão de Desenvolvimento • Padronização documental • Diretriz interna</w:t>
      </w:r>
    </w:p>
    <w:p>
      <w:pPr>
        <w:sectPr>
          <w:headerReference w:type="default" r:id="rId9"/>
          <w:footerReference w:type="default" r:id="rId10"/>
          <w:pgSz w:w="12240" w:h="15840"/>
          <w:pgMar w:top="1247" w:right="1247" w:bottom="1134" w:left="1361" w:header="510" w:footer="510" w:gutter="0"/>
          <w:cols w:space="720"/>
          <w:docGrid w:linePitch="360"/>
        </w:sectPr>
      </w:pPr>
    </w:p>
    <w:p>
      <w:pPr>
        <w:spacing w:before="0" w:after="240" w:line="240" w:lineRule="auto"/>
        <w:ind w:left="0" w:firstLine="0"/>
        <w:jc w:val="left"/>
      </w:pPr>
      <w:r>
        <w:rPr>
          <w:rFonts w:ascii="Calibri" w:hAnsi="Calibri" w:eastAsia="Calibri" w:cs="Calibri"/>
          <w:b/>
          <w:i w:val="0"/>
          <w:color w:val="17365D"/>
          <w:sz w:val="31"/>
        </w:rPr>
        <w:t>Sumário</w:t>
      </w:r>
    </w:p>
    <w:p>
      <w:pPr>
        <w:tabs>
          <w:tab w:pos="9354" w:val="right" w:leader="dot"/>
        </w:tabs>
        <w:spacing w:before="0" w:after="30" w:line="240" w:lineRule="auto"/>
        <w:ind w:left="0" w:firstLine="0"/>
        <w:jc w:val="left"/>
      </w:pPr>
      <w:r>
        <w:rPr>
          <w:rFonts w:ascii="Arial" w:hAnsi="Arial" w:eastAsia="Arial" w:cs="Arial"/>
          <w:b/>
          <w:color w:val="202020"/>
          <w:sz w:val="19"/>
        </w:rPr>
        <w:t>1 Finalidade, escopo e separação de responsabilidades</w:t>
        <w:tab/>
        <w:t>3</w:t>
      </w:r>
    </w:p>
    <w:p>
      <w:pPr>
        <w:tabs>
          <w:tab w:pos="9354" w:val="right" w:leader="dot"/>
        </w:tabs>
        <w:spacing w:before="0" w:after="30" w:line="240" w:lineRule="auto"/>
        <w:ind w:left="340" w:firstLine="0"/>
        <w:jc w:val="left"/>
      </w:pPr>
      <w:r>
        <w:rPr>
          <w:rFonts w:ascii="Arial" w:hAnsi="Arial" w:eastAsia="Arial" w:cs="Arial"/>
          <w:b w:val="0"/>
          <w:color w:val="202020"/>
          <w:sz w:val="19"/>
        </w:rPr>
        <w:t>1.1 Papel transversal e agnóstico de operacionalização</w:t>
        <w:tab/>
        <w:t>3</w:t>
      </w:r>
    </w:p>
    <w:p>
      <w:pPr>
        <w:tabs>
          <w:tab w:pos="9354" w:val="right" w:leader="dot"/>
        </w:tabs>
        <w:spacing w:before="0" w:after="30" w:line="240" w:lineRule="auto"/>
        <w:ind w:left="340" w:firstLine="0"/>
        <w:jc w:val="left"/>
      </w:pPr>
      <w:r>
        <w:rPr>
          <w:rFonts w:ascii="Arial" w:hAnsi="Arial" w:eastAsia="Arial" w:cs="Arial"/>
          <w:b w:val="0"/>
          <w:color w:val="202020"/>
          <w:sz w:val="19"/>
        </w:rPr>
        <w:t>1.2 Relação com a qualidade do conteúdo</w:t>
        <w:tab/>
        <w:t>3</w:t>
      </w:r>
    </w:p>
    <w:p>
      <w:pPr>
        <w:tabs>
          <w:tab w:pos="9354" w:val="right" w:leader="dot"/>
        </w:tabs>
        <w:spacing w:before="0" w:after="30" w:line="240" w:lineRule="auto"/>
        <w:ind w:left="0" w:firstLine="0"/>
        <w:jc w:val="left"/>
      </w:pPr>
      <w:r>
        <w:rPr>
          <w:rFonts w:ascii="Arial" w:hAnsi="Arial" w:eastAsia="Arial" w:cs="Arial"/>
          <w:b/>
          <w:color w:val="202020"/>
          <w:sz w:val="19"/>
        </w:rPr>
        <w:t>2 Aplicação, precedência e tratamento de conflitos</w:t>
        <w:tab/>
        <w:t>3</w:t>
      </w:r>
    </w:p>
    <w:p>
      <w:pPr>
        <w:tabs>
          <w:tab w:pos="9354" w:val="right" w:leader="dot"/>
        </w:tabs>
        <w:spacing w:before="0" w:after="30" w:line="240" w:lineRule="auto"/>
        <w:ind w:left="0" w:firstLine="0"/>
        <w:jc w:val="left"/>
      </w:pPr>
      <w:r>
        <w:rPr>
          <w:rFonts w:ascii="Arial" w:hAnsi="Arial" w:eastAsia="Arial" w:cs="Arial"/>
          <w:b/>
          <w:color w:val="202020"/>
          <w:sz w:val="19"/>
        </w:rPr>
        <w:t>3 Base normativa e compatibilidade institucional</w:t>
        <w:tab/>
        <w:t>4</w:t>
      </w:r>
    </w:p>
    <w:p>
      <w:pPr>
        <w:tabs>
          <w:tab w:pos="9354" w:val="right" w:leader="dot"/>
        </w:tabs>
        <w:spacing w:before="0" w:after="30" w:line="240" w:lineRule="auto"/>
        <w:ind w:left="0" w:firstLine="0"/>
        <w:jc w:val="left"/>
      </w:pPr>
      <w:r>
        <w:rPr>
          <w:rFonts w:ascii="Arial" w:hAnsi="Arial" w:eastAsia="Arial" w:cs="Arial"/>
          <w:b/>
          <w:color w:val="202020"/>
          <w:sz w:val="19"/>
        </w:rPr>
        <w:t>4 Templates e fontes visuais institucionais</w:t>
        <w:tab/>
        <w:t>4</w:t>
      </w:r>
    </w:p>
    <w:p>
      <w:pPr>
        <w:tabs>
          <w:tab w:pos="9354" w:val="right" w:leader="dot"/>
        </w:tabs>
        <w:spacing w:before="0" w:after="30" w:line="240" w:lineRule="auto"/>
        <w:ind w:left="0" w:firstLine="0"/>
        <w:jc w:val="left"/>
      </w:pPr>
      <w:r>
        <w:rPr>
          <w:rFonts w:ascii="Arial" w:hAnsi="Arial" w:eastAsia="Arial" w:cs="Arial"/>
          <w:b/>
          <w:color w:val="202020"/>
          <w:sz w:val="19"/>
        </w:rPr>
        <w:t>5 Configuração de página, paleta e elementos fixos</w:t>
        <w:tab/>
        <w:t>5</w:t>
      </w:r>
    </w:p>
    <w:p>
      <w:pPr>
        <w:tabs>
          <w:tab w:pos="9354" w:val="right" w:leader="dot"/>
        </w:tabs>
        <w:spacing w:before="0" w:after="30" w:line="240" w:lineRule="auto"/>
        <w:ind w:left="340" w:firstLine="0"/>
        <w:jc w:val="left"/>
      </w:pPr>
      <w:r>
        <w:rPr>
          <w:rFonts w:ascii="Arial" w:hAnsi="Arial" w:eastAsia="Arial" w:cs="Arial"/>
          <w:b w:val="0"/>
          <w:color w:val="202020"/>
          <w:sz w:val="19"/>
        </w:rPr>
        <w:t>5.1 Cabeçalho</w:t>
        <w:tab/>
        <w:t>5</w:t>
      </w:r>
    </w:p>
    <w:p>
      <w:pPr>
        <w:tabs>
          <w:tab w:pos="9354" w:val="right" w:leader="dot"/>
        </w:tabs>
        <w:spacing w:before="0" w:after="30" w:line="240" w:lineRule="auto"/>
        <w:ind w:left="340" w:firstLine="0"/>
        <w:jc w:val="left"/>
      </w:pPr>
      <w:r>
        <w:rPr>
          <w:rFonts w:ascii="Arial" w:hAnsi="Arial" w:eastAsia="Arial" w:cs="Arial"/>
          <w:b w:val="0"/>
          <w:color w:val="202020"/>
          <w:sz w:val="19"/>
        </w:rPr>
        <w:t>5.2 Rodapé e paginação</w:t>
        <w:tab/>
        <w:t>5</w:t>
      </w:r>
    </w:p>
    <w:p>
      <w:pPr>
        <w:tabs>
          <w:tab w:pos="9354" w:val="right" w:leader="dot"/>
        </w:tabs>
        <w:spacing w:before="0" w:after="30" w:line="240" w:lineRule="auto"/>
        <w:ind w:left="0" w:firstLine="0"/>
        <w:jc w:val="left"/>
      </w:pPr>
      <w:r>
        <w:rPr>
          <w:rFonts w:ascii="Arial" w:hAnsi="Arial" w:eastAsia="Arial" w:cs="Arial"/>
          <w:b/>
          <w:color w:val="202020"/>
          <w:sz w:val="19"/>
        </w:rPr>
        <w:t>6 Capa e identificação documental</w:t>
        <w:tab/>
        <w:t>5</w:t>
      </w:r>
    </w:p>
    <w:p>
      <w:pPr>
        <w:tabs>
          <w:tab w:pos="9354" w:val="right" w:leader="dot"/>
        </w:tabs>
        <w:spacing w:before="0" w:after="30" w:line="240" w:lineRule="auto"/>
        <w:ind w:left="0" w:firstLine="0"/>
        <w:jc w:val="left"/>
      </w:pPr>
      <w:r>
        <w:rPr>
          <w:rFonts w:ascii="Arial" w:hAnsi="Arial" w:eastAsia="Arial" w:cs="Arial"/>
          <w:b/>
          <w:color w:val="202020"/>
          <w:sz w:val="19"/>
        </w:rPr>
        <w:t>7 Tipografia e hierarquia visual</w:t>
        <w:tab/>
        <w:t>6</w:t>
      </w:r>
    </w:p>
    <w:p>
      <w:pPr>
        <w:tabs>
          <w:tab w:pos="9354" w:val="right" w:leader="dot"/>
        </w:tabs>
        <w:spacing w:before="0" w:after="30" w:line="240" w:lineRule="auto"/>
        <w:ind w:left="0" w:firstLine="0"/>
        <w:jc w:val="left"/>
      </w:pPr>
      <w:r>
        <w:rPr>
          <w:rFonts w:ascii="Arial" w:hAnsi="Arial" w:eastAsia="Arial" w:cs="Arial"/>
          <w:b/>
          <w:color w:val="202020"/>
          <w:sz w:val="19"/>
        </w:rPr>
        <w:t>8 Componentes documentais</w:t>
        <w:tab/>
        <w:t>7</w:t>
      </w:r>
    </w:p>
    <w:p>
      <w:pPr>
        <w:tabs>
          <w:tab w:pos="9354" w:val="right" w:leader="dot"/>
        </w:tabs>
        <w:spacing w:before="0" w:after="30" w:line="240" w:lineRule="auto"/>
        <w:ind w:left="340" w:firstLine="0"/>
        <w:jc w:val="left"/>
      </w:pPr>
      <w:r>
        <w:rPr>
          <w:rFonts w:ascii="Arial" w:hAnsi="Arial" w:eastAsia="Arial" w:cs="Arial"/>
          <w:b w:val="0"/>
          <w:color w:val="202020"/>
          <w:sz w:val="19"/>
        </w:rPr>
        <w:t>8.1 Corpo do texto e listas</w:t>
        <w:tab/>
        <w:t>7</w:t>
      </w:r>
    </w:p>
    <w:p>
      <w:pPr>
        <w:tabs>
          <w:tab w:pos="9354" w:val="right" w:leader="dot"/>
        </w:tabs>
        <w:spacing w:before="0" w:after="30" w:line="240" w:lineRule="auto"/>
        <w:ind w:left="340" w:firstLine="0"/>
        <w:jc w:val="left"/>
      </w:pPr>
      <w:r>
        <w:rPr>
          <w:rFonts w:ascii="Arial" w:hAnsi="Arial" w:eastAsia="Arial" w:cs="Arial"/>
          <w:b w:val="0"/>
          <w:color w:val="202020"/>
          <w:sz w:val="19"/>
        </w:rPr>
        <w:t>8.2 Caixas de destaque</w:t>
        <w:tab/>
        <w:t>8</w:t>
      </w:r>
    </w:p>
    <w:p>
      <w:pPr>
        <w:tabs>
          <w:tab w:pos="9354" w:val="right" w:leader="dot"/>
        </w:tabs>
        <w:spacing w:before="0" w:after="30" w:line="240" w:lineRule="auto"/>
        <w:ind w:left="340" w:firstLine="0"/>
        <w:jc w:val="left"/>
      </w:pPr>
      <w:r>
        <w:rPr>
          <w:rFonts w:ascii="Arial" w:hAnsi="Arial" w:eastAsia="Arial" w:cs="Arial"/>
          <w:b w:val="0"/>
          <w:color w:val="202020"/>
          <w:sz w:val="19"/>
        </w:rPr>
        <w:t>8.3 Tabelas e matrizes</w:t>
        <w:tab/>
        <w:t>8</w:t>
      </w:r>
    </w:p>
    <w:p>
      <w:pPr>
        <w:tabs>
          <w:tab w:pos="9354" w:val="right" w:leader="dot"/>
        </w:tabs>
        <w:spacing w:before="0" w:after="30" w:line="240" w:lineRule="auto"/>
        <w:ind w:left="0" w:firstLine="0"/>
        <w:jc w:val="left"/>
      </w:pPr>
      <w:r>
        <w:rPr>
          <w:rFonts w:ascii="Arial" w:hAnsi="Arial" w:eastAsia="Arial" w:cs="Arial"/>
          <w:b/>
          <w:color w:val="202020"/>
          <w:sz w:val="19"/>
        </w:rPr>
        <w:t>9 Sumário, numeração e mecanismos de navegação</w:t>
        <w:tab/>
        <w:t>8</w:t>
      </w:r>
    </w:p>
    <w:p>
      <w:pPr>
        <w:tabs>
          <w:tab w:pos="9354" w:val="right" w:leader="dot"/>
        </w:tabs>
        <w:spacing w:before="0" w:after="30" w:line="240" w:lineRule="auto"/>
        <w:ind w:left="0" w:firstLine="0"/>
        <w:jc w:val="left"/>
      </w:pPr>
      <w:r>
        <w:rPr>
          <w:rFonts w:ascii="Arial" w:hAnsi="Arial" w:eastAsia="Arial" w:cs="Arial"/>
          <w:b/>
          <w:color w:val="202020"/>
          <w:sz w:val="19"/>
        </w:rPr>
        <w:t>10 Referências e elementos finais - apresentação</w:t>
        <w:tab/>
        <w:t>9</w:t>
      </w:r>
    </w:p>
    <w:p>
      <w:pPr>
        <w:tabs>
          <w:tab w:pos="9354" w:val="right" w:leader="dot"/>
        </w:tabs>
        <w:spacing w:before="0" w:after="30" w:line="240" w:lineRule="auto"/>
        <w:ind w:left="0" w:firstLine="0"/>
        <w:jc w:val="left"/>
      </w:pPr>
      <w:r>
        <w:rPr>
          <w:rFonts w:ascii="Arial" w:hAnsi="Arial" w:eastAsia="Arial" w:cs="Arial"/>
          <w:b/>
          <w:color w:val="202020"/>
          <w:sz w:val="19"/>
        </w:rPr>
        <w:t>11 Autoria, contribuição e responsabilidade documental</w:t>
        <w:tab/>
        <w:t>9</w:t>
      </w:r>
    </w:p>
    <w:p>
      <w:pPr>
        <w:tabs>
          <w:tab w:pos="9354" w:val="right" w:leader="dot"/>
        </w:tabs>
        <w:spacing w:before="0" w:after="30" w:line="240" w:lineRule="auto"/>
        <w:ind w:left="340" w:firstLine="0"/>
        <w:jc w:val="left"/>
      </w:pPr>
      <w:r>
        <w:rPr>
          <w:rFonts w:ascii="Arial" w:hAnsi="Arial" w:eastAsia="Arial" w:cs="Arial"/>
          <w:b w:val="0"/>
          <w:color w:val="202020"/>
          <w:sz w:val="19"/>
        </w:rPr>
        <w:t>11.1 Papéis e critérios</w:t>
        <w:tab/>
        <w:t>9</w:t>
      </w:r>
    </w:p>
    <w:p>
      <w:pPr>
        <w:tabs>
          <w:tab w:pos="9354" w:val="right" w:leader="dot"/>
        </w:tabs>
        <w:spacing w:before="0" w:after="30" w:line="240" w:lineRule="auto"/>
        <w:ind w:left="340" w:firstLine="0"/>
        <w:jc w:val="left"/>
      </w:pPr>
      <w:r>
        <w:rPr>
          <w:rFonts w:ascii="Arial" w:hAnsi="Arial" w:eastAsia="Arial" w:cs="Arial"/>
          <w:b w:val="0"/>
          <w:color w:val="202020"/>
          <w:sz w:val="19"/>
        </w:rPr>
        <w:t>11.2 Identificação e registro das contribuições</w:t>
        <w:tab/>
        <w:t>10</w:t>
      </w:r>
    </w:p>
    <w:p>
      <w:pPr>
        <w:tabs>
          <w:tab w:pos="9354" w:val="right" w:leader="dot"/>
        </w:tabs>
        <w:spacing w:before="0" w:after="30" w:line="240" w:lineRule="auto"/>
        <w:ind w:left="340" w:firstLine="0"/>
        <w:jc w:val="left"/>
      </w:pPr>
      <w:r>
        <w:rPr>
          <w:rFonts w:ascii="Arial" w:hAnsi="Arial" w:eastAsia="Arial" w:cs="Arial"/>
          <w:b w:val="0"/>
          <w:color w:val="202020"/>
          <w:sz w:val="19"/>
        </w:rPr>
        <w:t>11.3 Uso de IA generativa</w:t>
        <w:tab/>
        <w:t>10</w:t>
      </w:r>
    </w:p>
    <w:p>
      <w:pPr>
        <w:tabs>
          <w:tab w:pos="9354" w:val="right" w:leader="dot"/>
        </w:tabs>
        <w:spacing w:before="0" w:after="30" w:line="240" w:lineRule="auto"/>
        <w:ind w:left="0" w:firstLine="0"/>
        <w:jc w:val="left"/>
      </w:pPr>
      <w:r>
        <w:rPr>
          <w:rFonts w:ascii="Arial" w:hAnsi="Arial" w:eastAsia="Arial" w:cs="Arial"/>
          <w:b/>
          <w:color w:val="202020"/>
          <w:sz w:val="19"/>
        </w:rPr>
        <w:t>12 Controle de revisão, versionamento e glossário</w:t>
        <w:tab/>
        <w:t>10</w:t>
      </w:r>
    </w:p>
    <w:p>
      <w:pPr>
        <w:tabs>
          <w:tab w:pos="9354" w:val="right" w:leader="dot"/>
        </w:tabs>
        <w:spacing w:before="0" w:after="30" w:line="240" w:lineRule="auto"/>
        <w:ind w:left="0" w:firstLine="0"/>
        <w:jc w:val="left"/>
      </w:pPr>
      <w:r>
        <w:rPr>
          <w:rFonts w:ascii="Arial" w:hAnsi="Arial" w:eastAsia="Arial" w:cs="Arial"/>
          <w:b/>
          <w:color w:val="202020"/>
          <w:sz w:val="19"/>
        </w:rPr>
        <w:t>13 Materialização e validação do artefato</w:t>
        <w:tab/>
        <w:t>10</w:t>
      </w:r>
    </w:p>
    <w:p>
      <w:pPr>
        <w:tabs>
          <w:tab w:pos="9354" w:val="right" w:leader="dot"/>
        </w:tabs>
        <w:spacing w:before="0" w:after="30" w:line="240" w:lineRule="auto"/>
        <w:ind w:left="340" w:firstLine="0"/>
        <w:jc w:val="left"/>
      </w:pPr>
      <w:r>
        <w:rPr>
          <w:rFonts w:ascii="Arial" w:hAnsi="Arial" w:eastAsia="Arial" w:cs="Arial"/>
          <w:b w:val="0"/>
          <w:color w:val="202020"/>
          <w:sz w:val="19"/>
        </w:rPr>
        <w:t>13.1 Gate de qualidade formal</w:t>
        <w:tab/>
        <w:t>11</w:t>
      </w:r>
    </w:p>
    <w:p>
      <w:pPr>
        <w:tabs>
          <w:tab w:pos="9354" w:val="right" w:leader="dot"/>
        </w:tabs>
        <w:spacing w:before="0" w:after="30" w:line="240" w:lineRule="auto"/>
        <w:ind w:left="0" w:firstLine="0"/>
        <w:jc w:val="left"/>
      </w:pPr>
      <w:r>
        <w:rPr>
          <w:rFonts w:ascii="Arial" w:hAnsi="Arial" w:eastAsia="Arial" w:cs="Arial"/>
          <w:b/>
          <w:color w:val="202020"/>
          <w:sz w:val="19"/>
        </w:rPr>
        <w:t>14 Orientação operacional de aplicação</w:t>
        <w:tab/>
        <w:t>11</w:t>
      </w:r>
    </w:p>
    <w:p>
      <w:pPr>
        <w:tabs>
          <w:tab w:pos="9354" w:val="right" w:leader="dot"/>
        </w:tabs>
        <w:spacing w:before="0" w:after="30" w:line="240" w:lineRule="auto"/>
        <w:ind w:left="0" w:firstLine="0"/>
        <w:jc w:val="left"/>
      </w:pPr>
      <w:r>
        <w:rPr>
          <w:rFonts w:ascii="Arial" w:hAnsi="Arial" w:eastAsia="Arial" w:cs="Arial"/>
          <w:b/>
          <w:color w:val="202020"/>
          <w:sz w:val="19"/>
        </w:rPr>
        <w:t>15 Controle de Revisão</w:t>
        <w:tab/>
        <w:t>11</w:t>
      </w:r>
    </w:p>
    <w:p>
      <w:pPr>
        <w:tabs>
          <w:tab w:pos="9354" w:val="right" w:leader="dot"/>
        </w:tabs>
        <w:spacing w:before="0" w:after="30" w:line="240" w:lineRule="auto"/>
        <w:ind w:left="0" w:firstLine="0"/>
        <w:jc w:val="left"/>
      </w:pPr>
      <w:r>
        <w:rPr>
          <w:rFonts w:ascii="Arial" w:hAnsi="Arial" w:eastAsia="Arial" w:cs="Arial"/>
          <w:b/>
          <w:color w:val="202020"/>
          <w:sz w:val="19"/>
        </w:rPr>
        <w:t>Referências</w:t>
        <w:tab/>
        <w:t>14</w:t>
      </w:r>
    </w:p>
    <w:p>
      <w:pPr>
        <w:sectPr>
          <w:headerReference w:type="default" r:id="rId11"/>
          <w:footerReference w:type="default" r:id="rId12"/>
          <w:pgSz w:w="12240" w:h="15840"/>
          <w:pgMar w:top="1247" w:right="1247" w:bottom="1134" w:left="1361" w:header="510" w:footer="510" w:gutter="0"/>
          <w:cols w:space="720"/>
          <w:docGrid w:linePitch="360"/>
        </w:sectPr>
      </w:pPr>
    </w:p>
    <w:p>
      <w:pPr>
        <w:pStyle w:val="Heading1"/>
        <w:keepNext/>
      </w:pPr>
      <w:r>
        <w:t>1 Finalidade, escopo e separação de responsabilidades</w:t>
      </w:r>
    </w:p>
    <w:p>
      <w:pPr>
        <w:spacing w:before="0" w:after="90" w:line="276" w:lineRule="auto"/>
        <w:ind w:left="0" w:firstLine="0"/>
        <w:jc w:val="left"/>
      </w:pPr>
      <w:r>
        <w:rPr>
          <w:rFonts w:ascii="Arial" w:hAnsi="Arial" w:eastAsia="Arial" w:cs="Arial"/>
          <w:b w:val="0"/>
          <w:i w:val="0"/>
          <w:color w:val="202020"/>
          <w:sz w:val="20"/>
        </w:rPr>
        <w:t>Esta diretriz estabelece o padrão institucional transversal de materialização, apresentação e governança formal de documentos. Seu foco é o artefato documental: formato, identidade visual, estrutura de apresentação, elementos fixos, metadados, controles formais, versionamento e validação da integridade visual.</w:t>
      </w:r>
    </w:p>
    <w:p>
      <w:pPr>
        <w:spacing w:before="0" w:after="90" w:line="276" w:lineRule="auto"/>
        <w:ind w:left="0" w:firstLine="0"/>
        <w:jc w:val="left"/>
      </w:pPr>
      <w:r>
        <w:rPr>
          <w:rFonts w:ascii="Arial" w:hAnsi="Arial" w:eastAsia="Arial" w:cs="Arial"/>
          <w:b w:val="0"/>
          <w:i w:val="0"/>
          <w:color w:val="202020"/>
          <w:sz w:val="20"/>
        </w:rPr>
        <w:t>O formato institucional editável padrão é DOCX. Formatos derivados, como PDF, podem ser utilizados para distribuição, publicação ou arquivamento quando necessários, sem substituir o DOCX como fonte editável institucional salvo regra específica em sentido contrário.</w:t>
      </w:r>
    </w:p>
    <w:p>
      <w:pPr>
        <w:pStyle w:val="Heading2"/>
        <w:keepNext/>
      </w:pPr>
      <w:r>
        <w:t>1.1 Papel transversal e agnóstico de operacionalização</w:t>
      </w:r>
    </w:p>
    <w:p>
      <w:pPr>
        <w:spacing w:before="0" w:after="90" w:line="276" w:lineRule="auto"/>
        <w:ind w:left="0" w:firstLine="0"/>
        <w:jc w:val="left"/>
      </w:pPr>
      <w:r>
        <w:rPr>
          <w:rFonts w:ascii="Arial" w:hAnsi="Arial" w:eastAsia="Arial" w:cs="Arial"/>
          <w:b w:val="0"/>
          <w:i w:val="0"/>
          <w:color w:val="202020"/>
          <w:sz w:val="20"/>
        </w:rPr>
        <w:t>As regras desta diretriz independem da forma de execução. Podem ser aplicadas por uma pessoa, por processo automatizado, por sistema assistido por IA ou por combinação desses meios. A norma define resultados, controles e características do artefato; não prescreve projeto, tópico, agente, aplicação, fornecedor ou funcionalidade específica como condição de conformidade.</w:t>
      </w:r>
    </w:p>
    <w:p>
      <w:pPr>
        <w:pStyle w:val="Heading2"/>
        <w:keepNext/>
      </w:pPr>
      <w:r>
        <w:t>1.2 Relação com a qualidade do conteúdo</w:t>
      </w:r>
    </w:p>
    <w:p>
      <w:pPr>
        <w:spacing w:before="0" w:after="90" w:line="276" w:lineRule="auto"/>
        <w:ind w:left="0" w:firstLine="0"/>
        <w:jc w:val="left"/>
      </w:pPr>
      <w:r>
        <w:rPr>
          <w:rFonts w:ascii="Arial" w:hAnsi="Arial" w:eastAsia="Arial" w:cs="Arial"/>
          <w:b w:val="0"/>
          <w:i w:val="0"/>
          <w:color w:val="202020"/>
          <w:sz w:val="20"/>
        </w:rPr>
        <w:t>A qualidade semântica e a construção do conteúdo são regidas pela Diretriz de Qualidade e Construção de Conteúdo Documental Institucional vigente. Esta diretriz não redefine clareza, adequação ao público, proveniência, navegabilidade semântica ou demais critérios de conteúdo; ela estabelece como o conteúdo aprovado deve ser materializado e apresentado.</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632"/>
      </w:tblGrid>
      <w:tr>
        <w:trPr>
          <w:cantSplit w:val="1"/>
        </w:trPr>
        <w:tc>
          <w:tcPr>
            <w:tcW w:type="dxa" w:w="9632"/>
            <w:shd w:fill="F2F2F2"/>
            <w:tcMar>
              <w:top w:w="80" w:type="dxa"/>
              <w:start w:w="80" w:type="dxa"/>
              <w:bottom w:w="80" w:type="dxa"/>
              <w:end w:w="80" w:type="dxa"/>
            </w:tcMar>
            <w:vAlign w:val="center"/>
          </w:tcPr>
          <w:p>
            <w:pPr>
              <w:spacing w:before="0" w:after="0" w:line="276" w:lineRule="auto"/>
              <w:ind w:left="0" w:firstLine="0"/>
            </w:pPr>
            <w:r>
              <w:rPr>
                <w:rFonts w:ascii="Arial" w:hAnsi="Arial" w:eastAsia="Arial" w:cs="Arial"/>
                <w:b/>
                <w:i w:val="0"/>
                <w:color w:val="17365D"/>
                <w:sz w:val="18"/>
              </w:rPr>
              <w:t>Princípio de separação</w:t>
            </w:r>
          </w:p>
          <w:p>
            <w:pPr>
              <w:spacing w:before="40" w:after="0" w:line="276" w:lineRule="auto"/>
              <w:ind w:left="0" w:firstLine="0"/>
            </w:pPr>
            <w:r>
              <w:rPr>
                <w:rFonts w:ascii="Arial" w:hAnsi="Arial" w:eastAsia="Arial" w:cs="Arial"/>
                <w:b w:val="0"/>
                <w:i w:val="0"/>
                <w:color w:val="202020"/>
                <w:sz w:val="17"/>
              </w:rPr>
              <w:t>A diretriz de conteúdo governa o que o conteúdo deve alcançar. Esta diretriz governa como o artefato deve ser materializado, identificado, apresentado e formalmente controlado. Regras específicas permanecem em suas fontes próprias e não integram automaticamente o núcleo transversal.</w:t>
            </w:r>
          </w:p>
        </w:tc>
      </w:tr>
    </w:tbl>
    <w:p>
      <w:pPr>
        <w:pStyle w:val="Heading1"/>
        <w:keepNext/>
      </w:pPr>
      <w:r>
        <w:t>2 Aplicação, precedência e tratamento de conflitos</w:t>
      </w:r>
    </w:p>
    <w:p>
      <w:pPr>
        <w:spacing w:before="0" w:after="90" w:line="276" w:lineRule="auto"/>
        <w:ind w:left="0" w:firstLine="0"/>
        <w:jc w:val="left"/>
      </w:pPr>
      <w:r>
        <w:rPr>
          <w:rFonts w:ascii="Arial" w:hAnsi="Arial" w:eastAsia="Arial" w:cs="Arial"/>
          <w:b w:val="0"/>
          <w:i w:val="0"/>
          <w:color w:val="202020"/>
          <w:sz w:val="20"/>
        </w:rPr>
        <w:t>Antes de materializar ou revisar um documento institucional, identifique as fontes aplicáveis e delimite seu papel. Templates e padrões visuais específicos prevalecem nos aspectos que definirem expressamente; esta diretriz funciona como padrão comum e fallback para aspectos de materialização e governança formal não definidos por fonte mais específica.</w:t>
      </w:r>
    </w:p>
    <w:p>
      <w:pPr>
        <w:spacing w:before="0" w:after="90" w:line="276" w:lineRule="auto"/>
        <w:ind w:left="0" w:firstLine="0"/>
        <w:jc w:val="left"/>
      </w:pPr>
      <w:r>
        <w:rPr>
          <w:rFonts w:ascii="Arial" w:hAnsi="Arial" w:eastAsia="Arial" w:cs="Arial"/>
          <w:b w:val="0"/>
          <w:i w:val="0"/>
          <w:color w:val="202020"/>
          <w:sz w:val="20"/>
        </w:rPr>
        <w:t>Se houver incompatibilidade material entre uma solicitação, esta diretriz, um template ou outra fonte aplicável, não concilie silenciosamente as regras. Explicite as orientações em conflito, o impacto prático e as alternativas viáveis e submeta a decisão ao responsável antes de executar a parte afetada.</w:t>
      </w:r>
    </w:p>
    <w:p>
      <w:pPr>
        <w:spacing w:before="0" w:after="90" w:line="276" w:lineRule="auto"/>
        <w:ind w:left="0" w:firstLine="0"/>
        <w:jc w:val="left"/>
      </w:pPr>
      <w:r>
        <w:rPr>
          <w:rFonts w:ascii="Arial" w:hAnsi="Arial" w:eastAsia="Arial" w:cs="Arial"/>
          <w:b w:val="0"/>
          <w:i w:val="0"/>
          <w:color w:val="202020"/>
          <w:sz w:val="20"/>
        </w:rPr>
        <w:t>Ambiguidades triviais ou seguramente inferíveis podem ser resolvidas pela interpretação mais coerente, sem burocratizar a execução. Quando a premissa puder alterar materialmente o resultado ou a conformidade do artefato, ela deve ser explicitada.</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632"/>
      </w:tblGrid>
      <w:tr>
        <w:trPr>
          <w:cantSplit w:val="1"/>
        </w:trPr>
        <w:tc>
          <w:tcPr>
            <w:tcW w:type="dxa" w:w="9632"/>
            <w:shd w:fill="F2F2F2"/>
            <w:tcMar>
              <w:top w:w="80" w:type="dxa"/>
              <w:start w:w="80" w:type="dxa"/>
              <w:bottom w:w="80" w:type="dxa"/>
              <w:end w:w="80" w:type="dxa"/>
            </w:tcMar>
            <w:vAlign w:val="center"/>
          </w:tcPr>
          <w:p>
            <w:pPr>
              <w:spacing w:before="0" w:after="0" w:line="276" w:lineRule="auto"/>
              <w:ind w:left="0" w:firstLine="0"/>
            </w:pPr>
            <w:r>
              <w:rPr>
                <w:rFonts w:ascii="Arial" w:hAnsi="Arial" w:eastAsia="Arial" w:cs="Arial"/>
                <w:b/>
                <w:i w:val="0"/>
                <w:color w:val="17365D"/>
                <w:sz w:val="18"/>
              </w:rPr>
              <w:t>Regra central</w:t>
            </w:r>
          </w:p>
          <w:p>
            <w:pPr>
              <w:spacing w:before="40" w:after="0" w:line="276" w:lineRule="auto"/>
              <w:ind w:left="0" w:firstLine="0"/>
            </w:pPr>
            <w:r>
              <w:rPr>
                <w:rFonts w:ascii="Arial" w:hAnsi="Arial" w:eastAsia="Arial" w:cs="Arial"/>
                <w:b w:val="0"/>
                <w:i w:val="0"/>
                <w:color w:val="202020"/>
                <w:sz w:val="17"/>
              </w:rPr>
              <w:t>Não invente um novo padrão visual quando existir padrão institucional aplicável. Também não preserve mecanicamente uma regra desta diretriz quando uma fonte específica vigente a substituir de forma intencional. O objetivo é consistência, rastreabilidade e governança, não criatividade gráfica nem obediência cega a duplicações normativas.</w:t>
            </w:r>
          </w:p>
        </w:tc>
      </w:tr>
    </w:tbl>
    <w:p>
      <w:pPr>
        <w:pStyle w:val="Heading1"/>
        <w:keepNext/>
      </w:pPr>
      <w:r>
        <w:t>3 Base normativa e compatibilidade institucional</w:t>
      </w:r>
    </w:p>
    <w:p>
      <w:pPr>
        <w:spacing w:before="0" w:after="90" w:line="276" w:lineRule="auto"/>
        <w:ind w:left="0" w:firstLine="0"/>
        <w:jc w:val="left"/>
      </w:pPr>
      <w:r>
        <w:rPr>
          <w:rFonts w:ascii="Arial" w:hAnsi="Arial" w:eastAsia="Arial" w:cs="Arial"/>
          <w:b w:val="0"/>
          <w:i w:val="0"/>
          <w:color w:val="202020"/>
          <w:sz w:val="20"/>
        </w:rPr>
        <w:t>O padrão documental utiliza normas de informação e documentação de forma complementar à identidade visual institucional. As normas externas orientam os aspectos aderentes ao artefato corporativo, sem converter documentos internos em trabalhos acadêmicos.</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3211"/>
        <w:gridCol w:w="3211"/>
        <w:gridCol w:w="3211"/>
      </w:tblGrid>
      <w:tr>
        <w:trPr>
          <w:tblHeader w:val="true"/>
          <w:cantSplit w:val="1"/>
        </w:trPr>
        <w:tc>
          <w:tcPr>
            <w:tcW w:type="dxa" w:w="2324"/>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Referência</w:t>
            </w:r>
          </w:p>
        </w:tc>
        <w:tc>
          <w:tcPr>
            <w:tcW w:type="dxa" w:w="2268"/>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Papel</w:t>
            </w:r>
          </w:p>
        </w:tc>
        <w:tc>
          <w:tcPr>
            <w:tcW w:type="dxa" w:w="4989"/>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Aplicação institucional</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ABNT NBR ISO 10013:2021</w:t>
            </w:r>
          </w:p>
        </w:tc>
        <w:tc>
          <w:tcPr>
            <w:tcW w:type="dxa" w:w="2268"/>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Informação documentada</w:t>
            </w:r>
          </w:p>
        </w:tc>
        <w:tc>
          <w:tcPr>
            <w:tcW w:type="dxa" w:w="4989"/>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Orienta desenvolvimento, manutenção e controle de informação documentada adequada às necessidades da organização.</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ABNT NBR 6024:2012</w:t>
            </w:r>
          </w:p>
        </w:tc>
        <w:tc>
          <w:tcPr>
            <w:tcW w:type="dxa" w:w="2268"/>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Numeração de seções</w:t>
            </w:r>
          </w:p>
        </w:tc>
        <w:tc>
          <w:tcPr>
            <w:tcW w:type="dxa" w:w="4989"/>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Orienta numeração progressiva e tratamento dos elementos sem indicativo numérico.</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ABNT NBR 6027:2012</w:t>
            </w:r>
          </w:p>
        </w:tc>
        <w:tc>
          <w:tcPr>
            <w:tcW w:type="dxa" w:w="2268"/>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Sumário</w:t>
            </w:r>
          </w:p>
        </w:tc>
        <w:tc>
          <w:tcPr>
            <w:tcW w:type="dxa" w:w="4989"/>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Orienta apresentação do Sumário, hierarquia e correspondência com o corpo documental.</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ABNT NBR 6023:2025</w:t>
            </w:r>
          </w:p>
        </w:tc>
        <w:tc>
          <w:tcPr>
            <w:tcW w:type="dxa" w:w="2268"/>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Referências</w:t>
            </w:r>
          </w:p>
        </w:tc>
        <w:tc>
          <w:tcPr>
            <w:tcW w:type="dxa" w:w="4989"/>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Orienta a apresentação das referências das fontes efetivamente utilizadas.</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ABNT NBR 10520:2023</w:t>
            </w:r>
          </w:p>
        </w:tc>
        <w:tc>
          <w:tcPr>
            <w:tcW w:type="dxa" w:w="2268"/>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Citações</w:t>
            </w:r>
          </w:p>
        </w:tc>
        <w:tc>
          <w:tcPr>
            <w:tcW w:type="dxa" w:w="4989"/>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Orienta a apresentação de citações quando existirem no artefato.</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ABNT NBR 14724:2024 Versão Corrigida:2025</w:t>
            </w:r>
          </w:p>
        </w:tc>
        <w:tc>
          <w:tcPr>
            <w:tcW w:type="dxa" w:w="2268"/>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Referência subsidiária de apresentação</w:t>
            </w:r>
          </w:p>
        </w:tc>
        <w:tc>
          <w:tcPr>
            <w:tcW w:type="dxa" w:w="4989"/>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Fornece princípios compatíveis de apresentação documental, sem adoção automática de requisitos acadêmicos incompatíveis com o padrão corporativo.</w:t>
            </w:r>
          </w:p>
        </w:tc>
      </w:tr>
    </w:tbl>
    <w:p>
      <w:pPr>
        <w:spacing w:before="120" w:after="90" w:line="276" w:lineRule="auto"/>
        <w:ind w:left="0" w:firstLine="0"/>
        <w:jc w:val="left"/>
      </w:pPr>
      <w:r>
        <w:rPr>
          <w:rFonts w:ascii="Arial" w:hAnsi="Arial" w:eastAsia="Arial" w:cs="Arial"/>
          <w:b w:val="0"/>
          <w:i w:val="0"/>
          <w:color w:val="202020"/>
          <w:sz w:val="20"/>
        </w:rPr>
        <w:t>A edição vigente das normas aplicáveis deve ser verificada quando esta diretriz for revisada ou quando houver dúvida material sobre atualização. Requisitos acadêmicos sem benefício institucional não devem ser transplantados por mera analogia.</w:t>
      </w:r>
    </w:p>
    <w:p>
      <w:pPr>
        <w:pStyle w:val="Heading1"/>
        <w:keepNext/>
      </w:pPr>
      <w:r>
        <w:t>4 Templates e fontes visuais institucionais</w:t>
      </w:r>
    </w:p>
    <w:p>
      <w:pPr>
        <w:spacing w:before="0" w:after="90" w:line="276" w:lineRule="auto"/>
        <w:ind w:left="0" w:firstLine="0"/>
        <w:jc w:val="left"/>
      </w:pPr>
      <w:r>
        <w:rPr>
          <w:rFonts w:ascii="Arial" w:hAnsi="Arial" w:eastAsia="Arial" w:cs="Arial"/>
          <w:b w:val="0"/>
          <w:i w:val="0"/>
          <w:color w:val="202020"/>
          <w:sz w:val="20"/>
        </w:rPr>
        <w:t>Quando houver template institucional vigente, utilize-o como referência visual e estrutural primária e, sempre que tecnicamente possível, como arquivo-base físico. Preserve tema, estilos, configuração de página, cabeçalhos, rodapés, componentes e demais elementos intencionais já definidos. Propriedades necessárias para reproduzir ou verificar a conformidade do artefato não podem depender exclusivamente de inferência visual: devem estar representadas por regra textual, propriedade estruturada do template ou estilo, ou especificação associada identificável. Quando a aparência observada divergir de regra explícita aplicável, trate a diferença conforme a seção 2 em vez de criar uma nova regra por inferência.</w:t>
      </w:r>
    </w:p>
    <w:p>
      <w:pPr>
        <w:pStyle w:val="ListBullet"/>
        <w:spacing w:before="0" w:after="90" w:line="276" w:lineRule="auto"/>
        <w:ind w:left="482" w:hanging="227"/>
        <w:jc w:val="left"/>
      </w:pPr>
      <w:r>
        <w:rPr>
          <w:rFonts w:ascii="Arial" w:hAnsi="Arial" w:eastAsia="Arial" w:cs="Arial"/>
          <w:b w:val="0"/>
          <w:i w:val="0"/>
          <w:color w:val="202020"/>
          <w:sz w:val="20"/>
        </w:rPr>
      </w:r>
      <w:r>
        <w:t>Substitua conteúdo variável e elementos explicitamente destinados a preenchimento, sem carregar exemplos ou conteúdo pertencente a outro contexto.</w:t>
      </w:r>
    </w:p>
    <w:p>
      <w:pPr>
        <w:pStyle w:val="ListBullet"/>
        <w:spacing w:before="0" w:after="90" w:line="276" w:lineRule="auto"/>
        <w:ind w:left="482" w:hanging="227"/>
        <w:jc w:val="left"/>
      </w:pPr>
      <w:r>
        <w:rPr>
          <w:rFonts w:ascii="Arial" w:hAnsi="Arial" w:eastAsia="Arial" w:cs="Arial"/>
          <w:b w:val="0"/>
          <w:i w:val="0"/>
          <w:color w:val="202020"/>
          <w:sz w:val="20"/>
        </w:rPr>
      </w:r>
      <w:r>
        <w:t>Não recrie visualmente um template do zero quando for viável reutilizar o arquivo institucional.</w:t>
      </w:r>
    </w:p>
    <w:p>
      <w:pPr>
        <w:pStyle w:val="ListBullet"/>
        <w:spacing w:before="0" w:after="90" w:line="276" w:lineRule="auto"/>
        <w:ind w:left="482" w:hanging="227"/>
        <w:jc w:val="left"/>
      </w:pPr>
      <w:r>
        <w:rPr>
          <w:rFonts w:ascii="Arial" w:hAnsi="Arial" w:eastAsia="Arial" w:cs="Arial"/>
          <w:b w:val="0"/>
          <w:i w:val="0"/>
          <w:color w:val="202020"/>
          <w:sz w:val="20"/>
        </w:rPr>
      </w:r>
      <w:r>
        <w:t>Quando a estrutura semântica aprovada exigir adaptação, preserve a linguagem visual e altere somente o necessário.</w:t>
      </w:r>
    </w:p>
    <w:p>
      <w:pPr>
        <w:pStyle w:val="ListBullet"/>
        <w:spacing w:before="0" w:after="90" w:line="276" w:lineRule="auto"/>
        <w:ind w:left="482" w:hanging="227"/>
        <w:jc w:val="left"/>
      </w:pPr>
      <w:r>
        <w:rPr>
          <w:rFonts w:ascii="Arial" w:hAnsi="Arial" w:eastAsia="Arial" w:cs="Arial"/>
          <w:b w:val="0"/>
          <w:i w:val="0"/>
          <w:color w:val="202020"/>
          <w:sz w:val="20"/>
        </w:rPr>
      </w:r>
      <w:r>
        <w:t>Na ausência de template específico, utilize os parâmetros comuns desta diretriz como padrão de fallback.</w:t>
      </w:r>
    </w:p>
    <w:p>
      <w:pPr>
        <w:pStyle w:val="ListBullet"/>
        <w:spacing w:before="0" w:after="90" w:line="276" w:lineRule="auto"/>
        <w:ind w:left="482" w:hanging="227"/>
        <w:jc w:val="left"/>
      </w:pPr>
      <w:r>
        <w:rPr>
          <w:rFonts w:ascii="Arial" w:hAnsi="Arial" w:eastAsia="Arial" w:cs="Arial"/>
          <w:b w:val="0"/>
          <w:i w:val="0"/>
          <w:color w:val="202020"/>
          <w:sz w:val="20"/>
        </w:rPr>
      </w:r>
      <w:r>
        <w:t>Diferenças intencionais de template prevalecem no papel visual correspondente; incompatibilidades materiais seguem a regra de conflitos da seção 2.</w:t>
      </w:r>
    </w:p>
    <w:p>
      <w:pPr>
        <w:pStyle w:val="Heading1"/>
        <w:keepNext/>
      </w:pPr>
      <w:r>
        <w:t>5 Configuração de página, paleta e elementos fixos</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4816"/>
        <w:gridCol w:w="4816"/>
      </w:tblGrid>
      <w:tr>
        <w:trPr>
          <w:tblHeader w:val="true"/>
          <w:cantSplit w:val="1"/>
        </w:trPr>
        <w:tc>
          <w:tcPr>
            <w:tcW w:type="dxa" w:w="3402"/>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Elemento</w:t>
            </w:r>
          </w:p>
        </w:tc>
        <w:tc>
          <w:tcPr>
            <w:tcW w:type="dxa" w:w="6180"/>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Padrão</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Formato de arquivo editável</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DOCX.</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Formato da página</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Carta / Letter - 21,59 × 27,94 cm, orientação retrato.</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Margem superior</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2,2 cm.</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Margem inferior</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2,0 cm.</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Margem esquerda</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2,4 cm.</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Margem direita</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2,2 cm.</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Distância do cabeçalho</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0,9 cm.</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Distância do rodapé</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0,9 cm.</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Cor principal institucional</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#17365D.</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Cor secundária</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#2F5597.</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Cor de texto</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#202020.</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Cor de subtítulo</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#4A4A4A.</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Cor de texto discreto</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#666666.</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Cor de cabeçalho e rodapé</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#7A7A7A.</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Fundo azul claro de rótulo</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#D9EAF7.</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Filete azul claro</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#D9E2F3.</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Fundo de destaque</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#F2F2F2.</w:t>
            </w:r>
          </w:p>
        </w:tc>
      </w:tr>
      <w:tr>
        <w:trPr>
          <w:cantSplit w:val="1"/>
        </w:trPr>
        <w:tc>
          <w:tcPr>
            <w:tcW w:type="dxa" w:w="340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Fundo alternado de tabela</w:t>
            </w:r>
          </w:p>
        </w:tc>
        <w:tc>
          <w:tcPr>
            <w:tcW w:type="dxa" w:w="6180"/>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#F7F9FB.</w:t>
            </w:r>
          </w:p>
        </w:tc>
      </w:tr>
      <w:tr>
        <w:trPr>
          <w:cantSplit w:val="1"/>
        </w:trPr>
        <w:tc>
          <w:tcPr>
            <w:tcW w:type="dxa" w:w="340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Branco</w:t>
            </w:r>
          </w:p>
        </w:tc>
        <w:tc>
          <w:tcPr>
            <w:tcW w:type="dxa" w:w="6180"/>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#FFFFFF.</w:t>
            </w:r>
          </w:p>
        </w:tc>
      </w:tr>
    </w:tbl>
    <w:p>
      <w:pPr>
        <w:pStyle w:val="Heading2"/>
        <w:keepNext/>
      </w:pPr>
      <w:r>
        <w:t>5.1 Cabeçalho</w:t>
      </w:r>
    </w:p>
    <w:p>
      <w:pPr>
        <w:spacing w:before="0" w:after="90" w:line="276" w:lineRule="auto"/>
        <w:ind w:left="0" w:firstLine="0"/>
        <w:jc w:val="left"/>
      </w:pPr>
      <w:r>
        <w:rPr>
          <w:rFonts w:ascii="Arial" w:hAnsi="Arial" w:eastAsia="Arial" w:cs="Arial"/>
          <w:b w:val="0"/>
          <w:i w:val="0"/>
          <w:color w:val="202020"/>
          <w:sz w:val="20"/>
        </w:rPr>
        <w:t>Use cabeçalho centralizado, discreto e consistente com a natureza do documento. O texto deve identificar de forma concisa a unidade responsável, a família documental e/ou a natureza do material, conforme o template aplicável. Aplique o papel “Cabeçalho de página” da tabela tipográfica da seção 7, com entrelinhamento simples. Abaixo do texto, aplique filete horizontal de 0,5 pt na cor “Filete azul claro” da tabela da seção 5, separado do texto por 3 pt e estendido pela largura útil do cabeçalho. Não exiba cabeçalho na capa nem na página de Sumário.</w:t>
      </w:r>
    </w:p>
    <w:p>
      <w:pPr>
        <w:pStyle w:val="Heading2"/>
        <w:keepNext/>
      </w:pPr>
      <w:r>
        <w:t>5.2 Rodapé e paginação</w:t>
      </w:r>
    </w:p>
    <w:p>
      <w:pPr>
        <w:spacing w:before="0" w:after="90" w:line="276" w:lineRule="auto"/>
        <w:ind w:left="0" w:firstLine="0"/>
        <w:jc w:val="left"/>
      </w:pPr>
      <w:r>
        <w:rPr>
          <w:rFonts w:ascii="Arial" w:hAnsi="Arial" w:eastAsia="Arial" w:cs="Arial"/>
          <w:b w:val="0"/>
          <w:i w:val="0"/>
          <w:color w:val="202020"/>
          <w:sz w:val="20"/>
        </w:rPr>
        <w:t>Use paginação centralizada no formato “Página X de Y” e aplique o papel “Rodapé / paginação” da tabela tipográfica da seção 7, com entrelinhamento simples. A numeração deve utilizar campos automáticos de página e total de páginas; não digite números manualmente. A contagem considera todas as páginas físicas desde a capa, inclusive páginas pré-textuais que não exibem o número. Não reinicie a numeração no corpo. Não exiba rodapé nem paginação na capa ou na página de Sumário.</w:t>
      </w:r>
    </w:p>
    <w:p>
      <w:pPr>
        <w:pStyle w:val="Heading1"/>
        <w:keepNext/>
      </w:pPr>
      <w:r>
        <w:t>6 Capa e identificação documental</w:t>
      </w:r>
    </w:p>
    <w:p>
      <w:pPr>
        <w:spacing w:before="0" w:after="90" w:line="276" w:lineRule="auto"/>
        <w:ind w:left="0" w:firstLine="0"/>
        <w:jc w:val="left"/>
      </w:pPr>
      <w:r>
        <w:rPr>
          <w:rFonts w:ascii="Arial" w:hAnsi="Arial" w:eastAsia="Arial" w:cs="Arial"/>
          <w:b w:val="0"/>
          <w:i w:val="0"/>
          <w:color w:val="202020"/>
          <w:sz w:val="20"/>
        </w:rPr>
        <w:t>A primeira página deve seguir a composição do template vigente. Na ausência de template específico, aplique o padrão abaixo:</w:t>
      </w:r>
    </w:p>
    <w:p>
      <w:pPr>
        <w:pStyle w:val="ListBullet"/>
        <w:spacing w:before="0" w:after="90" w:line="276" w:lineRule="auto"/>
        <w:ind w:left="482" w:hanging="227"/>
        <w:jc w:val="left"/>
      </w:pPr>
      <w:r>
        <w:rPr>
          <w:rFonts w:ascii="Arial" w:hAnsi="Arial" w:eastAsia="Arial" w:cs="Arial"/>
          <w:b w:val="0"/>
          <w:i w:val="0"/>
          <w:color w:val="202020"/>
          <w:sz w:val="20"/>
        </w:rPr>
      </w:r>
      <w:r>
        <w:t>Não exibir cabeçalho, rodapé nem paginação na capa.</w:t>
      </w:r>
    </w:p>
    <w:p>
      <w:pPr>
        <w:pStyle w:val="ListBullet"/>
        <w:spacing w:before="0" w:after="90" w:line="276" w:lineRule="auto"/>
        <w:ind w:left="482" w:hanging="227"/>
        <w:jc w:val="left"/>
      </w:pPr>
      <w:r>
        <w:rPr>
          <w:rFonts w:ascii="Arial" w:hAnsi="Arial" w:eastAsia="Arial" w:cs="Arial"/>
          <w:b w:val="0"/>
          <w:i w:val="0"/>
          <w:color w:val="202020"/>
          <w:sz w:val="20"/>
        </w:rPr>
        <w:t>Rótulo superior em caixa alta, centralizado: Arial 8,5 pt, negrito, na cor secundária definida na seção 5.</w:t>
      </w:r>
    </w:p>
    <w:p>
      <w:pPr>
        <w:pStyle w:val="ListBullet"/>
        <w:spacing w:before="0" w:after="90" w:line="276" w:lineRule="auto"/>
        <w:ind w:left="482" w:hanging="227"/>
        <w:jc w:val="left"/>
      </w:pPr>
      <w:r>
        <w:rPr>
          <w:rFonts w:ascii="Arial" w:hAnsi="Arial" w:eastAsia="Arial" w:cs="Arial"/>
          <w:b w:val="0"/>
          <w:i w:val="0"/>
          <w:color w:val="202020"/>
          <w:sz w:val="20"/>
        </w:rPr>
        <w:t>Título principal centralizado: aplique o papel “Título de capa” da tabela tipográfica da seção 7.</w:t>
      </w:r>
    </w:p>
    <w:p>
      <w:pPr>
        <w:pStyle w:val="ListBullet"/>
        <w:spacing w:before="0" w:after="90" w:line="276" w:lineRule="auto"/>
        <w:ind w:left="482" w:hanging="227"/>
        <w:jc w:val="left"/>
      </w:pPr>
      <w:r>
        <w:rPr>
          <w:rFonts w:ascii="Arial" w:hAnsi="Arial" w:eastAsia="Arial" w:cs="Arial"/>
          <w:b w:val="0"/>
          <w:i w:val="0"/>
          <w:color w:val="202020"/>
          <w:sz w:val="20"/>
        </w:rPr>
        <w:t>Filete horizontal institucional abaixo do título principal: 1 pt, na cor secundária definida na seção 5, afastamento de 4 pt e extensão correspondente à largura útil do conteúdo.</w:t>
      </w:r>
    </w:p>
    <w:p>
      <w:pPr>
        <w:pStyle w:val="ListBullet"/>
        <w:spacing w:before="0" w:after="90" w:line="276" w:lineRule="auto"/>
        <w:ind w:left="482" w:hanging="227"/>
        <w:jc w:val="left"/>
      </w:pPr>
      <w:r>
        <w:rPr>
          <w:rFonts w:ascii="Arial" w:hAnsi="Arial" w:eastAsia="Arial" w:cs="Arial"/>
          <w:b w:val="0"/>
          <w:i w:val="0"/>
          <w:color w:val="202020"/>
          <w:sz w:val="20"/>
        </w:rPr>
        <w:t>Subtítulo centralizado: aplique o papel “Subtítulo de capa” da tabela tipográfica da seção 7.</w:t>
      </w:r>
    </w:p>
    <w:p>
      <w:pPr>
        <w:pStyle w:val="ListBullet"/>
        <w:spacing w:before="0" w:after="90" w:line="276" w:lineRule="auto"/>
        <w:ind w:left="482" w:hanging="227"/>
        <w:jc w:val="left"/>
      </w:pPr>
      <w:r>
        <w:rPr>
          <w:rFonts w:ascii="Arial" w:hAnsi="Arial" w:eastAsia="Arial" w:cs="Arial"/>
          <w:b w:val="0"/>
          <w:i w:val="0"/>
          <w:color w:val="202020"/>
          <w:sz w:val="20"/>
        </w:rPr>
        <w:t>Tabela de metadados sem bordas visíveis, largura útil do conteúdo e duas colunas de mesma largura, com margens internas de 0,14 cm. Use “Fundo azul claro de rótulo” nos rótulos e “Branco” nos valores, conforme a seção 5; aplique os papéis “Rótulo de componente” e “Conteúdo de componente” da tabela tipográfica da seção 7.</w:t>
      </w:r>
    </w:p>
    <w:p>
      <w:pPr>
        <w:pStyle w:val="ListBullet"/>
        <w:spacing w:before="0" w:after="90" w:line="276" w:lineRule="auto"/>
        <w:ind w:left="482" w:hanging="227"/>
        <w:jc w:val="left"/>
      </w:pPr>
      <w:r>
        <w:rPr>
          <w:rFonts w:ascii="Arial" w:hAnsi="Arial" w:eastAsia="Arial" w:cs="Arial"/>
          <w:b w:val="0"/>
          <w:i w:val="0"/>
          <w:color w:val="202020"/>
          <w:sz w:val="20"/>
        </w:rPr>
        <w:t>Bloco “Natureza do material”, quando aplicável, sem bordas, com margens internas de 0,14 cm e fundo “Fundo de destaque” da seção 5; aplique os papéis “Rótulo de componente” e “Conteúdo de componente” da tabela tipográfica da seção 7.</w:t>
      </w:r>
    </w:p>
    <w:p>
      <w:pPr>
        <w:pStyle w:val="ListBullet"/>
        <w:spacing w:before="0" w:after="90" w:line="276" w:lineRule="auto"/>
        <w:ind w:left="482" w:hanging="227"/>
        <w:jc w:val="left"/>
      </w:pPr>
      <w:r>
        <w:rPr>
          <w:rFonts w:ascii="Arial" w:hAnsi="Arial" w:eastAsia="Arial" w:cs="Arial"/>
          <w:b w:val="0"/>
          <w:i w:val="0"/>
          <w:color w:val="202020"/>
          <w:sz w:val="20"/>
        </w:rPr>
        <w:t>Linha institucional inferior centralizada: aplique o papel “Texto pequeno” da tabela tipográfica da seção 7.</w:t>
      </w:r>
    </w:p>
    <w:p>
      <w:pPr>
        <w:spacing w:before="0" w:after="90" w:line="276" w:lineRule="auto"/>
        <w:ind w:left="0" w:firstLine="0"/>
        <w:jc w:val="left"/>
      </w:pPr>
      <w:r>
        <w:rPr>
          <w:rFonts w:ascii="Arial" w:hAnsi="Arial" w:eastAsia="Arial" w:cs="Arial"/>
          <w:b w:val="0"/>
          <w:i w:val="0"/>
          <w:color w:val="202020"/>
          <w:sz w:val="20"/>
        </w:rPr>
        <w:t>Os metadados devem refletir a natureza do artefato. Utilize somente os campos necessários, como Finalidade, Escopo, Versão, Data de referência, Situação, Responsável pelo documento, Autoria, Coautoria quando aplicável e Auxílio de IA generativa. Colaboradores, revisores e aprovadores não devem ser incluídos na capa por padrão; quando sua identificação agregar rastreabilidade, registre-os em seção própria.</w:t>
      </w:r>
    </w:p>
    <w:p>
      <w:pPr>
        <w:spacing w:before="0" w:after="90" w:line="276" w:lineRule="auto"/>
        <w:ind w:left="0" w:firstLine="0"/>
        <w:jc w:val="left"/>
      </w:pPr>
      <w:r>
        <w:rPr>
          <w:rFonts w:ascii="Arial" w:hAnsi="Arial" w:eastAsia="Arial" w:cs="Arial"/>
          <w:b w:val="0"/>
          <w:i w:val="0"/>
          <w:color w:val="202020"/>
          <w:sz w:val="20"/>
        </w:rPr>
        <w:t>Na composição vertical da capa, utilize 4 pt entre rótulo superior e título, 9 pt após o título, 18 pt entre subtítulo e metadados, 12 pt entre metadados e o bloco “Natureza do material” e 12 pt entre esse bloco e a linha institucional inferior. Esses afastamentos devem ser controlados por estilos ou propriedades de layout, não por linhas vazias arbitrárias.</w:t>
      </w:r>
    </w:p>
    <w:p>
      <w:pPr>
        <w:pStyle w:val="Heading1"/>
        <w:keepNext/>
      </w:pPr>
      <w:r>
        <w:t>7 Tipografia e hierarquia visual</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1605"/>
        <w:gridCol w:w="1605"/>
        <w:gridCol w:w="1605"/>
        <w:gridCol w:w="1605"/>
        <w:gridCol w:w="1605"/>
        <w:gridCol w:w="1605"/>
      </w:tblGrid>
      <w:tr>
        <w:trPr>
          <w:tblHeader w:val="true"/>
          <w:cantSplit w:val="1"/>
        </w:trPr>
        <w:tc>
          <w:tcPr>
            <w:tcW w:type="dxa" w:w="2324"/>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Uso</w:t>
            </w:r>
          </w:p>
        </w:tc>
        <w:tc>
          <w:tcPr>
            <w:tcW w:type="dxa" w:w="1417"/>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Fonte</w:t>
            </w:r>
          </w:p>
        </w:tc>
        <w:tc>
          <w:tcPr>
            <w:tcW w:type="dxa" w:w="1134"/>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Tamanho</w:t>
            </w:r>
          </w:p>
        </w:tc>
        <w:tc>
          <w:tcPr>
            <w:tcW w:type="dxa" w:w="1247"/>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Peso</w:t>
            </w:r>
          </w:p>
        </w:tc>
        <w:tc>
          <w:tcPr>
            <w:tcW w:type="dxa" w:w="1701"/>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Cor</w:t>
            </w:r>
          </w:p>
        </w:tc>
        <w:tc>
          <w:tcPr>
            <w:tcW w:type="dxa" w:w="1814"/>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Espaçamento</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Corpo do texto</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10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texto</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4,5 pt após</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Título de capa</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Calibri</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24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principal institucional</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Ver seção 6</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Subtítulo de capa</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Calibri</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11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subtítulo</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Ver seção 6</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Título nível 1</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Calibri</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15,5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principal institucional</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15 pt antes / 6 pt após</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Título nível 2</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Calibri</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12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secundária</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11 pt antes / 4 pt após</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Título nível 3</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Calibri</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10,5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principal institucional</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8 pt antes / 2,5 pt após</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Texto pequeno</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8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texto discreto</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 / 0 pt</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Cabeçalho de tabela</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9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Branco sobre cor principal institucional</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0 / 0 pt</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Corpo de tabela</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8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texto</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 / 0 pt</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Rótulo de componente</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9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principal institucional</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2 pt após</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Conteúdo de componente</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8,5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texto</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 / 0 pt</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Listas</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10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de texto</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4,5 pt após</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Cabeçalho de página</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7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cabeçalho e rodapé</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 / 0 pt</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Rodapé / paginação</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7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de cabeçalho e rodapé</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0 / 0 pt</w:t>
            </w:r>
          </w:p>
        </w:tc>
      </w:tr>
      <w:tr>
        <w:trPr>
          <w:cantSplit w:val="1"/>
        </w:trPr>
        <w:tc>
          <w:tcPr>
            <w:tcW w:type="dxa" w:w="232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Entrada de Sumário - nível 1</w:t>
            </w:r>
          </w:p>
        </w:tc>
        <w:tc>
          <w:tcPr>
            <w:tcW w:type="dxa" w:w="141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9,5 pt</w:t>
            </w:r>
          </w:p>
        </w:tc>
        <w:tc>
          <w:tcPr>
            <w:tcW w:type="dxa" w:w="12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Negrito</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Cor de texto</w:t>
            </w:r>
          </w:p>
        </w:tc>
        <w:tc>
          <w:tcPr>
            <w:tcW w:type="dxa" w:w="181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1,5 pt após</w:t>
            </w:r>
          </w:p>
        </w:tc>
      </w:tr>
      <w:tr>
        <w:trPr>
          <w:cantSplit w:val="1"/>
        </w:trPr>
        <w:tc>
          <w:tcPr>
            <w:tcW w:type="dxa" w:w="232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Referências</w:t>
            </w:r>
          </w:p>
        </w:tc>
        <w:tc>
          <w:tcPr>
            <w:tcW w:type="dxa" w:w="141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Arial</w:t>
            </w:r>
          </w:p>
        </w:tc>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10 pt</w:t>
            </w:r>
          </w:p>
        </w:tc>
        <w:tc>
          <w:tcPr>
            <w:tcW w:type="dxa" w:w="12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Regular</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Cor de texto</w:t>
            </w:r>
          </w:p>
        </w:tc>
        <w:tc>
          <w:tcPr>
            <w:tcW w:type="dxa" w:w="181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7 pt após</w:t>
            </w:r>
          </w:p>
        </w:tc>
      </w:tr>
    </w:tbl>
    <w:p>
      <w:pPr>
        <w:spacing w:before="120" w:after="90" w:line="276" w:lineRule="auto"/>
        <w:ind w:left="0" w:firstLine="0"/>
        <w:jc w:val="left"/>
      </w:pPr>
      <w:r>
        <w:rPr>
          <w:rFonts w:ascii="Arial" w:hAnsi="Arial" w:eastAsia="Arial" w:cs="Arial"/>
          <w:b w:val="0"/>
          <w:i w:val="0"/>
          <w:color w:val="202020"/>
          <w:sz w:val="20"/>
        </w:rPr>
        <w:t>Não use fontes, tamanhos ou cores adicionais por preferência estética. Ênfases no corpo devem ser feitas com negrito de forma pontual. Evite sublinhado, caixa alta excessiva e variações tipográficas decorativas.</w:t>
      </w:r>
    </w:p>
    <w:p>
      <w:pPr>
        <w:spacing w:before="0" w:after="90" w:line="276" w:lineRule="auto"/>
        <w:ind w:left="0" w:firstLine="0"/>
        <w:jc w:val="left"/>
      </w:pPr>
      <w:r>
        <w:rPr>
          <w:rFonts w:ascii="Arial" w:hAnsi="Arial" w:eastAsia="Arial" w:cs="Arial"/>
          <w:b w:val="0"/>
          <w:i w:val="0"/>
          <w:color w:val="202020"/>
          <w:sz w:val="20"/>
        </w:rPr>
        <w:t>Títulos devem permanecer junto ao parágrafo ou componente subsequente. Valores tipográficos, dimensionais, de espaçamento e de recuo são valores únicos de padronização, não faixas de escolha. Cada parâmetro formal deve possuir um ponto canônico nesta diretriz: a tabela da seção 5 é a fonte dos parâmetros de página e da paleta; a tabela desta seção é a fonte dos parâmetros tipográficos nela definidos. As demais seções devem remeter a esses pontos em vez de repetir valores. Elementos de mesmo papel visual devem usar o mesmo padrão em todo o documento.</w:t>
      </w:r>
    </w:p>
    <w:p>
      <w:pPr>
        <w:jc w:val="left"/>
      </w:pPr>
      <w:r>
        <w:t>Elementos que exercem o mesmo papel semântico e hierárquico, especialmente títulos do mesmo nível, devem utilizar o mesmo estilo de parágrafo ou de componente quando esse mecanismo estiver disponível. Não reproduza manualmente propriedades para simular equivalência nem aplique formatação direta que crie variações pontuais de fonte, tamanho, cor, peso, alinhamento, recuo ou espaçamento. Exceções visuais entre elementos equivalentes somente são admitidas quando decorrerem de regra específica identificável ou de template aplicável. Para títulos hierárquicos de seção, a conformidade requer estilo de parágrafo de título efetivamente aplicado, nativo ou institucional, com nível estrutural correspondente. Aparência visual, bookmarks e hyperlinks não substituem essa estrutura.</w:t>
      </w:r>
    </w:p>
    <w:p>
      <w:pPr>
        <w:spacing w:before="0" w:after="90" w:line="276" w:lineRule="auto"/>
        <w:ind w:left="0" w:firstLine="0"/>
        <w:jc w:val="left"/>
      </w:pPr>
      <w:r>
        <w:rPr>
          <w:rFonts w:ascii="Arial" w:hAnsi="Arial" w:eastAsia="Arial" w:cs="Arial"/>
          <w:b w:val="0"/>
          <w:i w:val="0"/>
          <w:color w:val="202020"/>
          <w:sz w:val="20"/>
        </w:rPr>
        <w:t>Em componentes com cabeçalho, rótulo ou título interno associado a conteúdo subordinado, a hierarquia semântica aprovada deve ser refletida visualmente. Quando a diferenciação utilizar tamanho de fonte, o elemento de cabeçalho ou rótulo deve utilizar tamanho superior ao conteúdo correspondente, além do peso previsto para seu papel.</w:t>
      </w:r>
    </w:p>
    <w:p>
      <w:pPr>
        <w:spacing w:before="0" w:after="90" w:line="276" w:lineRule="auto"/>
        <w:ind w:left="0" w:firstLine="0"/>
        <w:jc w:val="left"/>
      </w:pPr>
      <w:r>
        <w:rPr>
          <w:rFonts w:ascii="Arial" w:hAnsi="Arial" w:eastAsia="Arial" w:cs="Arial"/>
          <w:b w:val="0"/>
          <w:i w:val="0"/>
          <w:color w:val="202020"/>
          <w:sz w:val="20"/>
        </w:rPr>
        <w:t>Entrelinhamento padrão: 1,15 para corpo do texto, listas, referências e conteúdo textual de componentes; simples (1,0) para títulos, cabeçalhos, rodapés, entradas do Sumário e conteúdo de tabelas. Não altere o entrelinhamento localmente apenas para ajustar paginação.</w:t>
      </w:r>
    </w:p>
    <w:p>
      <w:pPr>
        <w:pStyle w:val="Heading1"/>
        <w:keepNext/>
      </w:pPr>
      <w:r>
        <w:t>8 Componentes documentais</w:t>
      </w:r>
    </w:p>
    <w:p>
      <w:pPr>
        <w:spacing w:before="0" w:after="90" w:line="276" w:lineRule="auto"/>
        <w:ind w:left="0" w:firstLine="0"/>
        <w:jc w:val="left"/>
      </w:pPr>
      <w:r>
        <w:rPr>
          <w:rFonts w:ascii="Arial" w:hAnsi="Arial" w:eastAsia="Arial" w:cs="Arial"/>
          <w:b w:val="0"/>
          <w:i w:val="0"/>
          <w:color w:val="202020"/>
          <w:sz w:val="20"/>
        </w:rPr>
        <w:t>A escolha semântica entre prosa, lista, tabela, matriz, destaque ou outro componente é regida pela Diretriz de Qualidade e Construção de Conteúdo Documental Institucional vigente. Uma vez definido o componente adequado, aplique as regras visuais desta seção.</w:t>
      </w:r>
    </w:p>
    <w:p>
      <w:pPr>
        <w:pStyle w:val="Heading2"/>
        <w:keepNext/>
      </w:pPr>
      <w:r>
        <w:t>8.1 Corpo do texto e listas</w:t>
      </w:r>
    </w:p>
    <w:p>
      <w:pPr>
        <w:spacing w:before="0" w:after="90" w:line="276" w:lineRule="auto"/>
        <w:ind w:left="0" w:firstLine="0"/>
        <w:jc w:val="left"/>
      </w:pPr>
      <w:r>
        <w:rPr>
          <w:rFonts w:ascii="Arial" w:hAnsi="Arial" w:eastAsia="Arial" w:cs="Arial"/>
          <w:b w:val="0"/>
          <w:i w:val="0"/>
          <w:color w:val="202020"/>
          <w:sz w:val="20"/>
        </w:rPr>
        <w:t>O corpo textual em prosa utiliza o papel “Corpo do texto” da tabela tipográfica da seção 7, com alinhamento justificado, sem recuo de primeira linha e entrelinhamento 1,15. O alinhamento justificado aplica-se à prosa contínua; listas, tabelas, referências, caixas de destaque e demais componentes estruturados seguem o alinhamento definido para seu papel, mantendo alinhamento à esquerda por padrão quando não houver regra específica. O espaçamento deve ser controlado pelo estilo; não use parágrafos vazios para simular afastamento.</w:t>
      </w:r>
    </w:p>
    <w:p>
      <w:pPr>
        <w:spacing w:before="0" w:after="90" w:line="276" w:lineRule="auto"/>
        <w:ind w:left="0" w:firstLine="0"/>
        <w:jc w:val="left"/>
      </w:pPr>
      <w:r>
        <w:rPr>
          <w:rFonts w:ascii="Arial" w:hAnsi="Arial" w:eastAsia="Arial" w:cs="Arial"/>
          <w:b w:val="0"/>
          <w:i w:val="0"/>
          <w:color w:val="202020"/>
          <w:sz w:val="20"/>
        </w:rPr>
        <w:t>Listas utilizam o papel “Listas” da tabela tipográfica da seção 7 e permanecem alinhadas à esquerda. Padronize a distância horizontal entre marcador ou numerador e início do texto em 0,85 cm. Em níveis subsequentes, preserve a mesma distância e altere apenas o recuo do nível hierárquico. Quando houver alíneas formais, utilize letras minúsculas seguidas de parêntese conforme a ABNT NBR 6024.</w:t>
      </w:r>
    </w:p>
    <w:p>
      <w:pPr>
        <w:pStyle w:val="Heading2"/>
        <w:keepNext/>
      </w:pPr>
      <w:r>
        <w:t>8.2 Caixas de destaque</w:t>
      </w:r>
    </w:p>
    <w:p>
      <w:pPr>
        <w:spacing w:before="0" w:after="90" w:line="276" w:lineRule="auto"/>
        <w:ind w:left="0" w:firstLine="0"/>
        <w:jc w:val="left"/>
      </w:pPr>
      <w:r>
        <w:rPr>
          <w:rFonts w:ascii="Arial" w:hAnsi="Arial" w:eastAsia="Arial" w:cs="Arial"/>
          <w:b w:val="0"/>
          <w:i w:val="0"/>
          <w:color w:val="202020"/>
          <w:sz w:val="20"/>
        </w:rPr>
        <w:t>Quando um destaque for semanticamente justificado, o bloco deve ocupar a largura útil do conteúdo, sem bordas, com fundo “Fundo de destaque” da seção 5 e margens internas de 0,14 cm. Aplique os papéis “Rótulo de componente” e “Conteúdo de componente” da tabela tipográfica da seção 7; o conteúdo subordinado utiliza entrelinhamento 1,15.</w:t>
      </w:r>
    </w:p>
    <w:p>
      <w:pPr>
        <w:spacing w:before="0" w:after="90" w:line="276" w:lineRule="auto"/>
        <w:ind w:left="0" w:firstLine="0"/>
        <w:jc w:val="left"/>
      </w:pPr>
      <w:r>
        <w:rPr>
          <w:rFonts w:ascii="Arial" w:hAnsi="Arial" w:eastAsia="Arial" w:cs="Arial"/>
          <w:b w:val="0"/>
          <w:i w:val="0"/>
          <w:color w:val="202020"/>
          <w:sz w:val="20"/>
        </w:rPr>
        <w:t>Entre qualquer bloco visual estruturado e o primeiro parágrafo comum subsequente, aplique 6 pt de afastamento. Se o elemento seguinte for um título, utilize apenas o espaçamento anterior próprio desse título; não some valores.</w:t>
      </w:r>
    </w:p>
    <w:p>
      <w:pPr>
        <w:pStyle w:val="Heading2"/>
        <w:keepNext/>
      </w:pPr>
      <w:r>
        <w:t>8.3 Tabelas e matrizes</w:t>
      </w:r>
    </w:p>
    <w:p>
      <w:pPr>
        <w:spacing w:before="0" w:after="90" w:line="276" w:lineRule="auto"/>
        <w:ind w:left="0" w:firstLine="0"/>
        <w:jc w:val="left"/>
      </w:pPr>
      <w:r>
        <w:rPr>
          <w:rFonts w:ascii="Arial" w:hAnsi="Arial" w:eastAsia="Arial" w:cs="Arial"/>
          <w:b w:val="0"/>
          <w:i w:val="0"/>
          <w:color w:val="202020"/>
          <w:sz w:val="20"/>
        </w:rPr>
        <w:t>Quando uma tabela ou matriz for utilizada, aplique layout fixo e limite sua largura à área útil da página. Não utilize bordas visíveis, salvo quando template específico determinar o contrário.</w:t>
      </w:r>
    </w:p>
    <w:p>
      <w:pPr>
        <w:pStyle w:val="ListBullet"/>
        <w:spacing w:before="0" w:after="90" w:line="276" w:lineRule="auto"/>
        <w:ind w:left="482" w:hanging="227"/>
        <w:jc w:val="left"/>
      </w:pPr>
      <w:r>
        <w:rPr>
          <w:rFonts w:ascii="Arial" w:hAnsi="Arial" w:eastAsia="Arial" w:cs="Arial"/>
          <w:b w:val="0"/>
          <w:i w:val="0"/>
          <w:color w:val="202020"/>
          <w:sz w:val="20"/>
        </w:rPr>
        <w:t>Cabeçalho: aplique o papel “Cabeçalho de tabela” da tabela tipográfica da seção 7.</w:t>
      </w:r>
    </w:p>
    <w:p>
      <w:pPr>
        <w:pStyle w:val="ListBullet"/>
        <w:spacing w:before="0" w:after="90" w:line="276" w:lineRule="auto"/>
        <w:ind w:left="482" w:hanging="227"/>
        <w:jc w:val="left"/>
      </w:pPr>
      <w:r>
        <w:rPr>
          <w:rFonts w:ascii="Arial" w:hAnsi="Arial" w:eastAsia="Arial" w:cs="Arial"/>
          <w:b w:val="0"/>
          <w:i w:val="0"/>
          <w:color w:val="202020"/>
          <w:sz w:val="20"/>
        </w:rPr>
        <w:t>Corpo: aplique o papel “Corpo de tabela” da tabela tipográfica da seção 7, com entrelinhamento simples.</w:t>
      </w:r>
    </w:p>
    <w:p>
      <w:pPr>
        <w:pStyle w:val="ListBullet"/>
        <w:spacing w:before="0" w:after="90" w:line="276" w:lineRule="auto"/>
        <w:ind w:left="482" w:hanging="227"/>
        <w:jc w:val="left"/>
      </w:pPr>
      <w:r>
        <w:rPr>
          <w:rFonts w:ascii="Arial" w:hAnsi="Arial" w:eastAsia="Arial" w:cs="Arial"/>
          <w:b w:val="0"/>
          <w:i w:val="0"/>
          <w:color w:val="202020"/>
          <w:sz w:val="20"/>
        </w:rPr>
        <w:t>Células de rótulo em tabelas de identificação: use o “Fundo azul claro de rótulo” da seção 5 e aplique o papel “Rótulo de componente” da tabela tipográfica da seção 7.</w:t>
      </w:r>
    </w:p>
    <w:p>
      <w:pPr>
        <w:pStyle w:val="ListBullet"/>
        <w:spacing w:before="0" w:after="90" w:line="276" w:lineRule="auto"/>
        <w:ind w:left="482" w:hanging="227"/>
        <w:jc w:val="left"/>
      </w:pPr>
      <w:r>
        <w:rPr>
          <w:rFonts w:ascii="Arial" w:hAnsi="Arial" w:eastAsia="Arial" w:cs="Arial"/>
          <w:b w:val="0"/>
          <w:i w:val="0"/>
          <w:color w:val="202020"/>
          <w:sz w:val="20"/>
        </w:rPr>
      </w:r>
      <w:r>
        <w:t>Alinhamento vertical central e margens internas de 0,14 cm em todas as células, salvo substituição explícita por template específico.</w:t>
      </w:r>
    </w:p>
    <w:p>
      <w:pPr>
        <w:pStyle w:val="ListBullet"/>
        <w:spacing w:before="0" w:after="90" w:line="276" w:lineRule="auto"/>
        <w:ind w:left="482" w:hanging="227"/>
        <w:jc w:val="left"/>
      </w:pPr>
      <w:r>
        <w:rPr>
          <w:rFonts w:ascii="Arial" w:hAnsi="Arial" w:eastAsia="Arial" w:cs="Arial"/>
          <w:b w:val="0"/>
          <w:i w:val="0"/>
          <w:color w:val="202020"/>
          <w:sz w:val="20"/>
        </w:rPr>
      </w:r>
      <w:r>
        <w:t>Repetir a linha de cabeçalho quando a tabela ocupar mais de uma página e evitar quebra de uma mesma linha entre páginas quando isso prejudicar a leitura.</w:t>
      </w:r>
    </w:p>
    <w:p>
      <w:pPr>
        <w:pStyle w:val="ListBullet"/>
        <w:spacing w:before="0" w:after="90" w:line="276" w:lineRule="auto"/>
        <w:ind w:left="482" w:hanging="227"/>
        <w:jc w:val="left"/>
      </w:pPr>
      <w:r>
        <w:rPr>
          <w:rFonts w:ascii="Arial" w:hAnsi="Arial" w:eastAsia="Arial" w:cs="Arial"/>
          <w:b w:val="0"/>
          <w:i w:val="0"/>
          <w:color w:val="202020"/>
          <w:sz w:val="20"/>
        </w:rPr>
        <w:t>Em tabelas estruturadas com cabeçalho, alterne as linhas de corpo entre “Branco” e “Fundo alternado de tabela”, conforme a seção 5, iniciando a primeira linha em branco.</w:t>
      </w:r>
    </w:p>
    <w:p>
      <w:pPr>
        <w:pStyle w:val="ListBullet"/>
        <w:spacing w:before="0" w:after="90" w:line="276" w:lineRule="auto"/>
        <w:ind w:left="482" w:hanging="227"/>
        <w:jc w:val="left"/>
      </w:pPr>
      <w:r>
        <w:rPr>
          <w:rFonts w:ascii="Arial" w:hAnsi="Arial" w:eastAsia="Arial" w:cs="Arial"/>
          <w:b w:val="0"/>
          <w:i w:val="0"/>
          <w:color w:val="202020"/>
          <w:sz w:val="20"/>
        </w:rPr>
      </w:r>
      <w:r>
        <w:t>Usar negrito na primeira coluna apenas quando ela exercer função de chave ou rótulo da linha; caso contrário, mantê-la regular.</w:t>
      </w:r>
    </w:p>
    <w:p>
      <w:pPr>
        <w:pStyle w:val="Heading1"/>
        <w:keepNext/>
      </w:pPr>
      <w:r>
        <w:t>9 Sumário, numeração e mecanismos de navegação</w:t>
      </w:r>
    </w:p>
    <w:p>
      <w:pPr>
        <w:spacing w:before="0" w:after="90" w:line="276" w:lineRule="auto"/>
        <w:ind w:left="0" w:firstLine="0"/>
        <w:jc w:val="left"/>
      </w:pPr>
      <w:r>
        <w:rPr>
          <w:rFonts w:ascii="Arial" w:hAnsi="Arial" w:eastAsia="Arial" w:cs="Arial"/>
          <w:b w:val="0"/>
          <w:i w:val="0"/>
          <w:color w:val="202020"/>
          <w:sz w:val="20"/>
        </w:rPr>
        <w:t>Quando a estrutura de conteúdo aprovada exigir Sumário, apresente-o após a capa, em página própria, sem cabeçalho, rodapé ou paginação visível. A página integra a contagem física do documento.</w:t>
      </w:r>
    </w:p>
    <w:p>
      <w:pPr>
        <w:pStyle w:val="ListBullet"/>
        <w:spacing w:before="0" w:after="90" w:line="276" w:lineRule="auto"/>
        <w:ind w:left="482" w:hanging="227"/>
        <w:jc w:val="left"/>
      </w:pPr>
      <w:r>
        <w:rPr>
          <w:rFonts w:ascii="Arial" w:hAnsi="Arial" w:eastAsia="Arial" w:cs="Arial"/>
          <w:b w:val="0"/>
          <w:i w:val="0"/>
          <w:color w:val="202020"/>
          <w:sz w:val="20"/>
        </w:rPr>
        <w:t>Título “Sumário”: utilize a tipografia de “Título nível 1” da seção 7, centralizada, com entrelinhamento simples e 12 pt após.</w:t>
      </w:r>
    </w:p>
    <w:p>
      <w:pPr>
        <w:pStyle w:val="ListBullet"/>
        <w:spacing w:before="0" w:after="90" w:line="276" w:lineRule="auto"/>
        <w:ind w:left="482" w:hanging="227"/>
        <w:jc w:val="left"/>
      </w:pPr>
      <w:r>
        <w:rPr>
          <w:rFonts w:ascii="Arial" w:hAnsi="Arial" w:eastAsia="Arial" w:cs="Arial"/>
          <w:b w:val="0"/>
          <w:i w:val="0"/>
          <w:color w:val="202020"/>
          <w:sz w:val="20"/>
        </w:rPr>
        <w:t>Entradas de primeiro nível: aplique o papel “Entrada de Sumário - nível 1” da tabela tipográfica da seção 7, com entrelinhamento simples e paginação alinhada à direita por tabulação pontilhada.</w:t>
      </w:r>
    </w:p>
    <w:p>
      <w:pPr>
        <w:pStyle w:val="ListBullet"/>
        <w:spacing w:before="0" w:after="90" w:line="276" w:lineRule="auto"/>
        <w:ind w:left="482" w:hanging="227"/>
        <w:jc w:val="left"/>
      </w:pPr>
      <w:r>
        <w:rPr>
          <w:rFonts w:ascii="Arial" w:hAnsi="Arial" w:eastAsia="Arial" w:cs="Arial"/>
          <w:b w:val="0"/>
          <w:i w:val="0"/>
          <w:color w:val="202020"/>
          <w:sz w:val="20"/>
        </w:rPr>
      </w:r>
      <w:r>
        <w:t>Níveis subordinados preservam a base tipográfica e acrescentam 0,6 cm de recuo esquerdo por nível.</w:t>
      </w:r>
    </w:p>
    <w:p>
      <w:pPr>
        <w:pStyle w:val="ListBullet"/>
        <w:spacing w:before="0" w:after="90" w:line="276" w:lineRule="auto"/>
        <w:ind w:left="482" w:hanging="227"/>
        <w:jc w:val="left"/>
      </w:pPr>
      <w:r>
        <w:rPr>
          <w:rFonts w:ascii="Arial" w:hAnsi="Arial" w:eastAsia="Arial" w:cs="Arial"/>
          <w:b w:val="0"/>
          <w:i w:val="0"/>
          <w:color w:val="202020"/>
          <w:sz w:val="20"/>
        </w:rPr>
      </w:r>
      <w:r>
        <w:t>Representar no Sumário a mesma hierarquia do corpo documental e não incluir elementos pré-textuais.</w:t>
      </w:r>
    </w:p>
    <w:p>
      <w:pPr>
        <w:pStyle w:val="ListBullet"/>
        <w:spacing w:before="0" w:after="90" w:line="276" w:lineRule="auto"/>
        <w:ind w:left="482" w:hanging="227"/>
        <w:jc w:val="left"/>
      </w:pPr>
      <w:r>
        <w:rPr>
          <w:rFonts w:ascii="Arial" w:hAnsi="Arial" w:eastAsia="Arial" w:cs="Arial"/>
          <w:b w:val="0"/>
          <w:i w:val="0"/>
          <w:color w:val="202020"/>
          <w:sz w:val="20"/>
        </w:rPr>
        <w:t>Quando tecnicamente viável e compatível com o ambiente de consumo, utilizar hyperlinks internos sem introduzir navegação que prejudique o uso do documento. Em DOCX destinado ao Word, priorizar Sumário atualizável derivado dos estilos hierárquicos de título. Evitar bookmarks manuais de seção quando a navegação por títulos atender à finalidade; bookmarks necessários permanecem permitidos, mas não substituem a estrutura dos títulos. Alternativas ao Sumário automático devem manter entradas e paginação atualizáveis e verificadas, sem expor identificadores técnicos ao leitor ou simular atualização por números estáticos.</w:t>
      </w:r>
    </w:p>
    <w:p>
      <w:pPr>
        <w:pStyle w:val="ListBullet"/>
        <w:spacing w:before="0" w:after="90" w:line="276" w:lineRule="auto"/>
        <w:ind w:left="482" w:hanging="227"/>
        <w:jc w:val="left"/>
      </w:pPr>
      <w:r>
        <w:rPr>
          <w:rFonts w:ascii="Arial" w:hAnsi="Arial" w:eastAsia="Arial" w:cs="Arial"/>
          <w:b w:val="0"/>
          <w:i w:val="0"/>
          <w:color w:val="202020"/>
          <w:sz w:val="20"/>
        </w:rPr>
      </w:r>
      <w:r>
        <w:t>Nas seções numeradas, utilizar algarismos arábicos e separar o indicativo do título por espaço, sem pontuação intermediária.</w:t>
      </w:r>
    </w:p>
    <w:p>
      <w:pPr>
        <w:pStyle w:val="ListBullet"/>
        <w:spacing w:before="0" w:after="90" w:line="276" w:lineRule="auto"/>
        <w:ind w:left="482" w:hanging="227"/>
        <w:jc w:val="left"/>
      </w:pPr>
      <w:r>
        <w:rPr>
          <w:rFonts w:ascii="Arial" w:hAnsi="Arial" w:eastAsia="Arial" w:cs="Arial"/>
          <w:b w:val="0"/>
          <w:i w:val="0"/>
          <w:color w:val="202020"/>
          <w:sz w:val="20"/>
        </w:rPr>
      </w:r>
      <w:r>
        <w:t>Limitar a numeração progressiva ao nível necessário, no máximo até a seção quinária.</w:t>
      </w:r>
    </w:p>
    <w:p>
      <w:pPr>
        <w:pStyle w:val="ListBullet"/>
        <w:spacing w:before="0" w:after="90" w:line="276" w:lineRule="auto"/>
        <w:ind w:left="482" w:hanging="227"/>
        <w:jc w:val="left"/>
      </w:pPr>
      <w:r>
        <w:rPr>
          <w:rFonts w:ascii="Arial" w:hAnsi="Arial" w:eastAsia="Arial" w:cs="Arial"/>
          <w:b w:val="0"/>
          <w:i w:val="0"/>
          <w:color w:val="202020"/>
          <w:sz w:val="20"/>
        </w:rPr>
      </w:r>
      <w:r>
        <w:t>Atualizar a paginação do Sumário sempre que alterações modificarem o fluxo do documento.</w:t>
      </w:r>
    </w:p>
    <w:p>
      <w:pPr>
        <w:pStyle w:val="ListBullet"/>
        <w:spacing w:before="0" w:after="90" w:line="276" w:lineRule="auto"/>
        <w:ind w:left="482" w:hanging="227"/>
        <w:jc w:val="left"/>
      </w:pPr>
      <w:r>
        <w:rPr>
          <w:rFonts w:ascii="Arial" w:hAnsi="Arial" w:eastAsia="Arial" w:cs="Arial"/>
          <w:b w:val="0"/>
          <w:i w:val="0"/>
          <w:color w:val="202020"/>
          <w:sz w:val="20"/>
        </w:rPr>
      </w:r>
      <w:r>
        <w:t>Não inserir quebra de página antes de seções primárias ou Referências apenas por convenção; mover o bloco somente quando necessário para evitar título órfão, composição inadequada ou cumprir fonte aplicável.</w:t>
      </w:r>
    </w:p>
    <w:p>
      <w:pPr>
        <w:pStyle w:val="Heading1"/>
        <w:keepNext/>
      </w:pPr>
      <w:r>
        <w:t>10 Referências e elementos finais - apresentação</w:t>
      </w:r>
    </w:p>
    <w:p>
      <w:pPr>
        <w:spacing w:before="0" w:after="90" w:line="276" w:lineRule="auto"/>
        <w:ind w:left="0" w:firstLine="0"/>
        <w:jc w:val="left"/>
      </w:pPr>
      <w:r>
        <w:rPr>
          <w:rFonts w:ascii="Arial" w:hAnsi="Arial" w:eastAsia="Arial" w:cs="Arial"/>
          <w:b w:val="0"/>
          <w:i w:val="0"/>
          <w:color w:val="202020"/>
          <w:sz w:val="20"/>
        </w:rPr>
        <w:t>A seleção, a proveniência e a adequação das fontes pertencem à Diretriz de Qualidade e Construção de Conteúdo Documental Institucional vigente. Esta seção governa a apresentação e a rastreabilidade formal das Referências no artefato.</w:t>
      </w:r>
    </w:p>
    <w:p>
      <w:pPr>
        <w:spacing w:before="0" w:after="90" w:line="276" w:lineRule="auto"/>
        <w:ind w:left="0" w:firstLine="0"/>
        <w:jc w:val="left"/>
      </w:pPr>
      <w:r>
        <w:rPr>
          <w:rFonts w:ascii="Arial" w:hAnsi="Arial" w:eastAsia="Arial" w:cs="Arial"/>
          <w:b w:val="0"/>
          <w:i w:val="0"/>
          <w:color w:val="202020"/>
          <w:sz w:val="20"/>
        </w:rPr>
        <w:t>Quando houver Referências, posicione-as como último elemento do documento, após o Controle de Revisão. O título “Referências” não recebe indicativo numérico e utiliza a tipografia de “Título nível 1” da seção 7, centralizada. Nas entradas, aplique o papel “Referências” da tabela tipográfica da seção 7, com alinhamento à esquerda, sem recuo de primeira linha, entrelinhamento 1,15 e sem linhas em branco adicionais.</w:t>
      </w:r>
    </w:p>
    <w:p>
      <w:pPr>
        <w:spacing w:before="0" w:after="90" w:line="276" w:lineRule="auto"/>
        <w:ind w:left="0" w:firstLine="0"/>
        <w:jc w:val="left"/>
      </w:pPr>
      <w:r>
        <w:rPr>
          <w:rFonts w:ascii="Arial" w:hAnsi="Arial" w:eastAsia="Arial" w:cs="Arial"/>
          <w:b w:val="0"/>
          <w:i w:val="0"/>
          <w:color w:val="202020"/>
          <w:sz w:val="20"/>
        </w:rPr>
        <w:t>Referências internas devem distinguir finalidade normativa de rastreabilidade da construção:</w:t>
      </w:r>
    </w:p>
    <w:p>
      <w:pPr>
        <w:pStyle w:val="ListBullet"/>
        <w:spacing w:before="0" w:after="90" w:line="276" w:lineRule="auto"/>
        <w:ind w:left="482" w:hanging="227"/>
        <w:jc w:val="left"/>
      </w:pPr>
      <w:r>
        <w:rPr>
          <w:rFonts w:ascii="Arial" w:hAnsi="Arial" w:eastAsia="Arial" w:cs="Arial"/>
          <w:b w:val="0"/>
          <w:i w:val="0"/>
          <w:color w:val="202020"/>
          <w:sz w:val="20"/>
        </w:rPr>
      </w:r>
      <w:r>
        <w:t>Quando a menção apenas indicar que uma fonte vigente deve ser observada, aplicada ou consultada, use referência agnóstica de versão no corpo do documento.</w:t>
      </w:r>
    </w:p>
    <w:p>
      <w:pPr>
        <w:pStyle w:val="ListBullet"/>
        <w:spacing w:before="0" w:after="90" w:line="276" w:lineRule="auto"/>
        <w:ind w:left="482" w:hanging="227"/>
        <w:jc w:val="left"/>
      </w:pPr>
      <w:r>
        <w:rPr>
          <w:rFonts w:ascii="Arial" w:hAnsi="Arial" w:eastAsia="Arial" w:cs="Arial"/>
          <w:b w:val="0"/>
          <w:i w:val="0"/>
          <w:color w:val="202020"/>
          <w:sz w:val="20"/>
        </w:rPr>
      </w:r>
      <w:r>
        <w:t>Quando uma fonte interna tiver influenciado diretamente a construção, revisão ou fundamentação do documento, registre nas Referências a versão exata efetivamente utilizada.</w:t>
      </w:r>
    </w:p>
    <w:p>
      <w:pPr>
        <w:pStyle w:val="ListBullet"/>
        <w:spacing w:before="0" w:after="90" w:line="276" w:lineRule="auto"/>
        <w:ind w:left="482" w:hanging="227"/>
        <w:jc w:val="left"/>
      </w:pPr>
      <w:r>
        <w:rPr>
          <w:rFonts w:ascii="Arial" w:hAnsi="Arial" w:eastAsia="Arial" w:cs="Arial"/>
          <w:b w:val="0"/>
          <w:i w:val="0"/>
          <w:color w:val="202020"/>
          <w:sz w:val="20"/>
        </w:rPr>
      </w:r>
      <w:r>
        <w:t>Menções históricas, comparações entre revisões e registros de decisão devem identificar explicitamente a versão pertinente.</w:t>
      </w:r>
    </w:p>
    <w:p>
      <w:pPr>
        <w:pStyle w:val="ListBullet"/>
        <w:spacing w:before="0" w:after="90" w:line="276" w:lineRule="auto"/>
        <w:ind w:left="482" w:hanging="227"/>
        <w:jc w:val="left"/>
      </w:pPr>
      <w:r>
        <w:rPr>
          <w:rFonts w:ascii="Arial" w:hAnsi="Arial" w:eastAsia="Arial" w:cs="Arial"/>
          <w:b w:val="0"/>
          <w:i w:val="0"/>
          <w:color w:val="202020"/>
          <w:sz w:val="20"/>
        </w:rPr>
      </w:r>
      <w:r>
        <w:t>Não utilize uma referência bibliográfica agnóstica para substituir a rastreabilidade da versão que efetivamente fundamentou a construção do artefato.</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632"/>
      </w:tblGrid>
      <w:tr>
        <w:trPr>
          <w:cantSplit w:val="1"/>
        </w:trPr>
        <w:tc>
          <w:tcPr>
            <w:tcW w:type="dxa" w:w="9632"/>
            <w:shd w:fill="F2F2F2"/>
            <w:tcMar>
              <w:top w:w="80" w:type="dxa"/>
              <w:start w:w="80" w:type="dxa"/>
              <w:bottom w:w="80" w:type="dxa"/>
              <w:end w:w="80" w:type="dxa"/>
            </w:tcMar>
            <w:vAlign w:val="center"/>
          </w:tcPr>
          <w:p>
            <w:pPr>
              <w:spacing w:before="0" w:after="0" w:line="276" w:lineRule="auto"/>
              <w:ind w:left="0" w:firstLine="0"/>
            </w:pPr>
            <w:r>
              <w:rPr>
                <w:rFonts w:ascii="Arial" w:hAnsi="Arial" w:eastAsia="Arial" w:cs="Arial"/>
                <w:b/>
                <w:i w:val="0"/>
                <w:color w:val="17365D"/>
                <w:sz w:val="18"/>
              </w:rPr>
              <w:t>Regra de rastreabilidade</w:t>
            </w:r>
          </w:p>
          <w:p>
            <w:pPr>
              <w:spacing w:before="40" w:after="0" w:line="276" w:lineRule="auto"/>
              <w:ind w:left="0" w:firstLine="0"/>
            </w:pPr>
            <w:r>
              <w:rPr>
                <w:rFonts w:ascii="Arial" w:hAnsi="Arial" w:eastAsia="Arial" w:cs="Arial"/>
                <w:b w:val="0"/>
                <w:i w:val="0"/>
                <w:color w:val="202020"/>
                <w:sz w:val="17"/>
              </w:rPr>
              <w:t>A regra vigente deve permanecer desacoplada de uma versão específica; a evidência de construção deve registrar a versão concreta utilizada. Evolução normativa e rastreabilidade histórica são necessidades diferentes e não devem ser confundidas.</w:t>
            </w:r>
          </w:p>
        </w:tc>
      </w:tr>
    </w:tbl>
    <w:p>
      <w:pPr>
        <w:pStyle w:val="Heading1"/>
        <w:keepNext/>
      </w:pPr>
      <w:r>
        <w:t>11 Autoria, contribuição e responsabilidade documental</w:t>
      </w:r>
    </w:p>
    <w:p>
      <w:pPr>
        <w:spacing w:before="0" w:after="90" w:line="276" w:lineRule="auto"/>
        <w:ind w:left="0" w:firstLine="0"/>
        <w:jc w:val="left"/>
      </w:pPr>
      <w:r>
        <w:rPr>
          <w:rFonts w:ascii="Arial" w:hAnsi="Arial" w:eastAsia="Arial" w:cs="Arial"/>
          <w:b w:val="0"/>
          <w:i w:val="0"/>
          <w:color w:val="202020"/>
          <w:sz w:val="20"/>
        </w:rPr>
        <w:t>Documentos institucionais devem distinguir, quando aplicável, autoria intelectual, responsabilidade institucional, colaboração, revisão e aprovação. Esses papéis podem coincidir na mesma pessoa, mas não devem ser tratados como equivalentes apenas por conveniência de identificação.</w:t>
      </w:r>
    </w:p>
    <w:p>
      <w:pPr>
        <w:spacing w:before="0" w:after="90" w:line="276" w:lineRule="auto"/>
        <w:ind w:left="0" w:firstLine="0"/>
        <w:jc w:val="left"/>
      </w:pPr>
      <w:r>
        <w:rPr>
          <w:rFonts w:ascii="Arial" w:hAnsi="Arial" w:eastAsia="Arial" w:cs="Arial"/>
          <w:b w:val="0"/>
          <w:i w:val="0"/>
          <w:color w:val="202020"/>
          <w:sz w:val="20"/>
        </w:rPr>
        <w:t>A classificação adota subsidiariamente princípios de contributorship do CRediT e de autoria responsável do ICMJE, adaptados ao contexto corporativo; não constitui adoção literal de critérios de publicação acadêmica.</w:t>
      </w:r>
    </w:p>
    <w:p>
      <w:pPr>
        <w:pStyle w:val="Heading2"/>
        <w:keepNext/>
      </w:pPr>
      <w:r>
        <w:t>11.1 Papéis e critérios</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3211"/>
        <w:gridCol w:w="3211"/>
        <w:gridCol w:w="3211"/>
      </w:tblGrid>
      <w:tr>
        <w:trPr>
          <w:tblHeader w:val="true"/>
          <w:cantSplit w:val="1"/>
        </w:trPr>
        <w:tc>
          <w:tcPr>
            <w:tcW w:type="dxa" w:w="2041"/>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Papel</w:t>
            </w:r>
          </w:p>
        </w:tc>
        <w:tc>
          <w:tcPr>
            <w:tcW w:type="dxa" w:w="3969"/>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Critério institucional</w:t>
            </w:r>
          </w:p>
        </w:tc>
        <w:tc>
          <w:tcPr>
            <w:tcW w:type="dxa" w:w="3572"/>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Responsabilidade associada</w:t>
            </w:r>
          </w:p>
        </w:tc>
      </w:tr>
      <w:tr>
        <w:trPr>
          <w:cantSplit w:val="1"/>
        </w:trPr>
        <w:tc>
          <w:tcPr>
            <w:tcW w:type="dxa" w:w="204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Responsável pelo documento</w:t>
            </w:r>
          </w:p>
        </w:tc>
        <w:tc>
          <w:tcPr>
            <w:tcW w:type="dxa" w:w="3969"/>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Detém o ownership institucional do artefato e de seu ciclo de vida.</w:t>
            </w:r>
          </w:p>
        </w:tc>
        <w:tc>
          <w:tcPr>
            <w:tcW w:type="dxa" w:w="357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Responde por vigência, manutenção, atualização, destinação e governança do documento.</w:t>
            </w:r>
          </w:p>
        </w:tc>
      </w:tr>
      <w:tr>
        <w:trPr>
          <w:cantSplit w:val="1"/>
        </w:trPr>
        <w:tc>
          <w:tcPr>
            <w:tcW w:type="dxa" w:w="204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Autor principal</w:t>
            </w:r>
          </w:p>
        </w:tc>
        <w:tc>
          <w:tcPr>
            <w:tcW w:type="dxa" w:w="3969"/>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Conduz a concepção e a elaboração intelectual substancial do documento.</w:t>
            </w:r>
          </w:p>
        </w:tc>
        <w:tc>
          <w:tcPr>
            <w:tcW w:type="dxa" w:w="357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Responde pelo conteúdo produzido e pela coerência intelectual da versão consolidada.</w:t>
            </w:r>
          </w:p>
        </w:tc>
      </w:tr>
      <w:tr>
        <w:trPr>
          <w:cantSplit w:val="1"/>
        </w:trPr>
        <w:tc>
          <w:tcPr>
            <w:tcW w:type="dxa" w:w="204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Coautor</w:t>
            </w:r>
          </w:p>
        </w:tc>
        <w:tc>
          <w:tcPr>
            <w:tcW w:type="dxa" w:w="3969"/>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Participa materialmente da concepção, estrutura, argumentação, decisões ou redação substantiva; participa da consolidação ou revisão intelectual e concorda com a versão final.</w:t>
            </w:r>
          </w:p>
        </w:tc>
        <w:tc>
          <w:tcPr>
            <w:tcW w:type="dxa" w:w="357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Compartilha autoria e responsabilidade intelectual pelo conteúdo final.</w:t>
            </w:r>
          </w:p>
        </w:tc>
      </w:tr>
      <w:tr>
        <w:trPr>
          <w:cantSplit w:val="1"/>
        </w:trPr>
        <w:tc>
          <w:tcPr>
            <w:tcW w:type="dxa" w:w="204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Colaborador</w:t>
            </w:r>
          </w:p>
        </w:tc>
        <w:tc>
          <w:tcPr>
            <w:tcW w:type="dxa" w:w="3969"/>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Realiza contribuição relevante e identificável, porém delimitada, sem participação e responsabilidade suficientes para caracterizar autoria compartilhada.</w:t>
            </w:r>
          </w:p>
        </w:tc>
        <w:tc>
          <w:tcPr>
            <w:tcW w:type="dxa" w:w="357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Responde pela contribuição realizada, não pela integralidade do documento.</w:t>
            </w:r>
          </w:p>
        </w:tc>
      </w:tr>
      <w:tr>
        <w:trPr>
          <w:cantSplit w:val="1"/>
        </w:trPr>
        <w:tc>
          <w:tcPr>
            <w:tcW w:type="dxa" w:w="204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Revisor</w:t>
            </w:r>
          </w:p>
        </w:tc>
        <w:tc>
          <w:tcPr>
            <w:tcW w:type="dxa" w:w="3969"/>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Avalia criticamente o material sob perspectiva técnica, jurídica, metodológica, editorial ou equivalente.</w:t>
            </w:r>
          </w:p>
        </w:tc>
        <w:tc>
          <w:tcPr>
            <w:tcW w:type="dxa" w:w="3572"/>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Responde pela revisão realizada; a revisão, isoladamente, não caracteriza autoria.</w:t>
            </w:r>
          </w:p>
        </w:tc>
      </w:tr>
      <w:tr>
        <w:trPr>
          <w:cantSplit w:val="1"/>
        </w:trPr>
        <w:tc>
          <w:tcPr>
            <w:tcW w:type="dxa" w:w="204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Aprovador</w:t>
            </w:r>
          </w:p>
        </w:tc>
        <w:tc>
          <w:tcPr>
            <w:tcW w:type="dxa" w:w="3969"/>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Possui autoridade para aprovar adoção, publicação ou vigência do documento.</w:t>
            </w:r>
          </w:p>
        </w:tc>
        <w:tc>
          <w:tcPr>
            <w:tcW w:type="dxa" w:w="3572"/>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Responde pela decisão de aprovação; aprovação não caracteriza autoria.</w:t>
            </w:r>
          </w:p>
        </w:tc>
      </w:tr>
    </w:tbl>
    <w:p>
      <w:pPr>
        <w:spacing w:before="120" w:after="90" w:line="276" w:lineRule="auto"/>
        <w:ind w:left="0" w:firstLine="0"/>
        <w:jc w:val="left"/>
      </w:pPr>
      <w:r>
        <w:rPr>
          <w:rFonts w:ascii="Arial" w:hAnsi="Arial" w:eastAsia="Arial" w:cs="Arial"/>
          <w:b w:val="0"/>
          <w:i w:val="0"/>
          <w:color w:val="202020"/>
          <w:sz w:val="20"/>
        </w:rPr>
        <w:t>A coautoria deve ser atribuída quando houver contribuição intelectual substancial para concepção ou conteúdo, participação na elaboração ou revisão substantiva e concordância com a versão final. Participação em reuniões, fornecimento de informações, supervisão geral, suporte administrativo, revisão ortográfica, edição técnica ou aprovação, quando isolados, não configuram coautoria.</w:t>
      </w:r>
    </w:p>
    <w:p>
      <w:pPr>
        <w:pStyle w:val="Heading2"/>
        <w:keepNext/>
      </w:pPr>
      <w:r>
        <w:t>11.2 Identificação e registro das contribuições</w:t>
      </w:r>
    </w:p>
    <w:p>
      <w:pPr>
        <w:spacing w:before="0" w:after="90" w:line="276" w:lineRule="auto"/>
        <w:ind w:left="0" w:firstLine="0"/>
        <w:jc w:val="left"/>
      </w:pPr>
      <w:r>
        <w:rPr>
          <w:rFonts w:ascii="Arial" w:hAnsi="Arial" w:eastAsia="Arial" w:cs="Arial"/>
          <w:b w:val="0"/>
          <w:i w:val="0"/>
          <w:color w:val="202020"/>
          <w:sz w:val="20"/>
        </w:rPr>
        <w:t>Na capa, separe Responsável pelo documento de Autoria. Inclua Coautoria somente quando aplicável. Quando colaboradores, revisores ou aprovadores precisarem ser identificados, utilize seção ou matriz opcional de “Contribuições e responsabilidades”, preferencialmente nas seções finais e antes do Controle de Revisão.</w:t>
      </w:r>
    </w:p>
    <w:p>
      <w:pPr>
        <w:spacing w:before="0" w:after="90" w:line="276" w:lineRule="auto"/>
        <w:ind w:left="0" w:firstLine="0"/>
        <w:jc w:val="left"/>
      </w:pPr>
      <w:r>
        <w:rPr>
          <w:rFonts w:ascii="Arial" w:hAnsi="Arial" w:eastAsia="Arial" w:cs="Arial"/>
          <w:b w:val="0"/>
          <w:i w:val="0"/>
          <w:color w:val="202020"/>
          <w:sz w:val="20"/>
        </w:rPr>
        <w:t>Não utilize o Controle de Revisão como substituto do registro de contribuições. O primeiro registra a evolução entre versões; o segundo registra participação e responsabilidade de pessoas na construção, revisão ou aprovação do artefato.</w:t>
      </w:r>
    </w:p>
    <w:p>
      <w:pPr>
        <w:pStyle w:val="Heading2"/>
        <w:keepNext/>
      </w:pPr>
      <w:r>
        <w:t>11.3 Uso de IA generativa</w:t>
      </w:r>
    </w:p>
    <w:p>
      <w:pPr>
        <w:spacing w:before="0" w:after="90" w:line="276" w:lineRule="auto"/>
        <w:ind w:left="0" w:firstLine="0"/>
        <w:jc w:val="left"/>
      </w:pPr>
      <w:r>
        <w:rPr>
          <w:rFonts w:ascii="Arial" w:hAnsi="Arial" w:eastAsia="Arial" w:cs="Arial"/>
          <w:b w:val="0"/>
          <w:i w:val="0"/>
          <w:color w:val="202020"/>
          <w:sz w:val="20"/>
        </w:rPr>
        <w:t>Sistemas de IA generativa não devem ser identificados como autores, coautores, colaboradores, revisores ou aprovadores. Quando houver declaração de uso de IA, registre o auxílio separadamente e mantenha explícita a responsabilidade humana pela validação, adoção e manutenção do documento.</w:t>
      </w:r>
    </w:p>
    <w:p>
      <w:pPr>
        <w:pStyle w:val="Heading1"/>
        <w:keepNext/>
      </w:pPr>
      <w:r>
        <w:t>12 Controle de revisão, versionamento e glossário</w:t>
      </w:r>
    </w:p>
    <w:p>
      <w:pPr>
        <w:spacing w:before="0" w:after="90" w:line="276" w:lineRule="auto"/>
        <w:ind w:left="0" w:firstLine="0"/>
        <w:jc w:val="left"/>
      </w:pPr>
      <w:r>
        <w:rPr>
          <w:rFonts w:ascii="Arial" w:hAnsi="Arial" w:eastAsia="Arial" w:cs="Arial"/>
          <w:b w:val="0"/>
          <w:i w:val="0"/>
          <w:color w:val="202020"/>
          <w:sz w:val="20"/>
        </w:rPr>
        <w:t>Todo documento institucional versionado deve possuir Controle de Revisão nas seções finais, com versão, data e descrição objetiva da alteração. Quando houver Referências, o Controle de Revisão deve antecedê-las; na ausência de Referências, pode constituir o último elemento do documento.</w:t>
      </w:r>
    </w:p>
    <w:p>
      <w:pPr>
        <w:spacing w:before="0" w:after="90" w:line="276" w:lineRule="auto"/>
        <w:ind w:left="0" w:firstLine="0"/>
        <w:jc w:val="left"/>
      </w:pPr>
      <w:r>
        <w:rPr>
          <w:rFonts w:ascii="Arial" w:hAnsi="Arial" w:eastAsia="Arial" w:cs="Arial"/>
          <w:b w:val="0"/>
          <w:i w:val="0"/>
          <w:color w:val="202020"/>
          <w:sz w:val="20"/>
        </w:rPr>
        <w:t>Ao alterar documento existente, preserve as entradas anteriores e acrescente nova linha; não reescreva o histórico. Mudanças que alterem substancialmente finalidade, abrangência ou arquitetura normativa justificam revisão principal; mudanças que preservem o propósito e refinam regras podem evoluir versão secundária, conforme a governança aplicável.</w:t>
      </w:r>
    </w:p>
    <w:p>
      <w:pPr>
        <w:spacing w:before="0" w:after="90" w:line="276" w:lineRule="auto"/>
        <w:ind w:left="0" w:firstLine="0"/>
        <w:jc w:val="left"/>
      </w:pPr>
      <w:r>
        <w:rPr>
          <w:rFonts w:ascii="Arial" w:hAnsi="Arial" w:eastAsia="Arial" w:cs="Arial"/>
          <w:b w:val="0"/>
          <w:i w:val="0"/>
          <w:color w:val="202020"/>
          <w:sz w:val="20"/>
        </w:rPr>
        <w:t>A necessidade semântica de glossário é definida pela Diretriz de Qualidade e Construção de Conteúdo Documental Institucional vigente. Quando houver glossário formal, apresente-o como elemento não numerado, organizado de forma consistente e, quando aplicável, em ordem alfabética.</w:t>
      </w:r>
    </w:p>
    <w:p>
      <w:pPr>
        <w:pStyle w:val="Heading1"/>
        <w:keepNext/>
      </w:pPr>
      <w:r>
        <w:t>13 Materialização e validação do artefato</w:t>
      </w:r>
    </w:p>
    <w:p>
      <w:pPr>
        <w:spacing w:before="0" w:after="90" w:line="276" w:lineRule="auto"/>
        <w:ind w:left="0" w:firstLine="0"/>
        <w:jc w:val="left"/>
      </w:pPr>
      <w:r>
        <w:rPr>
          <w:rFonts w:ascii="Arial" w:hAnsi="Arial" w:eastAsia="Arial" w:cs="Arial"/>
          <w:b w:val="0"/>
          <w:i w:val="0"/>
          <w:color w:val="202020"/>
          <w:sz w:val="20"/>
        </w:rPr>
        <w:t>A produção de um DOCX institucional não termina quando o conteúdo foi inserido. O artefato final deve ser validado na forma em que será consumido ou distribuído, por abertura em editor compatível, renderização ou mecanismo equivalente capaz de revelar defeitos de composição.</w:t>
      </w:r>
    </w:p>
    <w:p>
      <w:pPr>
        <w:spacing w:before="0" w:after="90" w:line="276" w:lineRule="auto"/>
        <w:ind w:left="482" w:hanging="369"/>
        <w:jc w:val="left"/>
      </w:pPr>
      <w:r>
        <w:rPr>
          <w:rFonts w:ascii="Arial" w:hAnsi="Arial" w:eastAsia="Arial" w:cs="Arial"/>
          <w:b w:val="0"/>
          <w:i w:val="0"/>
          <w:color w:val="202020"/>
          <w:sz w:val="20"/>
        </w:rPr>
        <w:t xml:space="preserve">1. </w:t>
      </w:r>
      <w:r>
        <w:rPr>
          <w:rFonts w:ascii="Arial" w:hAnsi="Arial" w:eastAsia="Arial" w:cs="Arial"/>
          <w:b w:val="0"/>
          <w:i w:val="0"/>
          <w:color w:val="202020"/>
          <w:sz w:val="20"/>
        </w:rPr>
        <w:t>Identificar o template e as fontes de padronização aplicáveis.</w:t>
      </w:r>
    </w:p>
    <w:p>
      <w:pPr>
        <w:spacing w:before="0" w:after="90" w:line="276" w:lineRule="auto"/>
        <w:ind w:left="482" w:hanging="369"/>
        <w:jc w:val="left"/>
      </w:pPr>
      <w:r>
        <w:rPr>
          <w:rFonts w:ascii="Arial" w:hAnsi="Arial" w:eastAsia="Arial" w:cs="Arial"/>
          <w:b w:val="0"/>
          <w:i w:val="0"/>
          <w:color w:val="202020"/>
          <w:sz w:val="20"/>
        </w:rPr>
        <w:t xml:space="preserve">2. </w:t>
      </w:r>
      <w:r>
        <w:rPr>
          <w:rFonts w:ascii="Arial" w:hAnsi="Arial" w:eastAsia="Arial" w:cs="Arial"/>
          <w:b w:val="0"/>
          <w:i w:val="0"/>
          <w:color w:val="202020"/>
          <w:sz w:val="20"/>
        </w:rPr>
        <w:t>Materializar o conteúdo aprovado em DOCX preservando estilos, elementos fixos, metadados e controles formais.</w:t>
      </w:r>
    </w:p>
    <w:p>
      <w:pPr>
        <w:spacing w:before="0" w:after="90" w:line="276" w:lineRule="auto"/>
        <w:ind w:left="482" w:hanging="369"/>
        <w:jc w:val="left"/>
      </w:pPr>
      <w:r>
        <w:rPr>
          <w:rFonts w:ascii="Arial" w:hAnsi="Arial" w:eastAsia="Arial" w:cs="Arial"/>
          <w:b w:val="0"/>
          <w:i w:val="0"/>
          <w:color w:val="202020"/>
          <w:sz w:val="20"/>
        </w:rPr>
        <w:t xml:space="preserve">3. </w:t>
      </w:r>
      <w:r>
        <w:rPr>
          <w:rFonts w:ascii="Arial" w:hAnsi="Arial" w:eastAsia="Arial" w:cs="Arial"/>
          <w:b w:val="0"/>
          <w:i w:val="0"/>
          <w:color w:val="202020"/>
          <w:sz w:val="20"/>
        </w:rPr>
        <w:t>Remover exemplos, placeholders e conteúdo de outros contextos.</w:t>
      </w:r>
    </w:p>
    <w:p>
      <w:pPr>
        <w:spacing w:before="0" w:after="90" w:line="276" w:lineRule="auto"/>
        <w:ind w:left="482" w:hanging="369"/>
        <w:jc w:val="left"/>
      </w:pPr>
      <w:r>
        <w:rPr>
          <w:rFonts w:ascii="Arial" w:hAnsi="Arial" w:eastAsia="Arial" w:cs="Arial"/>
          <w:b w:val="0"/>
          <w:i w:val="0"/>
          <w:color w:val="202020"/>
          <w:sz w:val="20"/>
        </w:rPr>
        <w:t>4. Revisar configuração de página, capa, tipografia, hierarquia visual, estilos e níveis estruturais efetivos dos títulos, consistência de elementos equivalentes, componentes, Sumário, paginação, referências, autoria, responsabilidades e Controle de Revisão. Conferir integridade estrutural do DOCX e compatibilidade de navegação com o ambiente de consumo, incluindo a ordem válida dos elementos OOXML: propriedades do parágrafo (w:pPr) devem anteceder conteúdo como bookmarks (w:bookmarkStart). Propriedades críticas devem ser verificáveis a partir de fontes canônicas, sem depender de inferência visual isolada.</w:t>
      </w:r>
    </w:p>
    <w:p>
      <w:pPr>
        <w:spacing w:before="0" w:after="90" w:line="276" w:lineRule="auto"/>
        <w:ind w:left="482" w:hanging="369"/>
        <w:jc w:val="left"/>
      </w:pPr>
      <w:r>
        <w:rPr>
          <w:rFonts w:ascii="Arial" w:hAnsi="Arial" w:eastAsia="Arial" w:cs="Arial"/>
          <w:b w:val="0"/>
          <w:i w:val="0"/>
          <w:color w:val="202020"/>
          <w:sz w:val="20"/>
        </w:rPr>
        <w:t xml:space="preserve">5. </w:t>
      </w:r>
      <w:r>
        <w:rPr>
          <w:rFonts w:ascii="Arial" w:hAnsi="Arial" w:eastAsia="Arial" w:cs="Arial"/>
          <w:b w:val="0"/>
          <w:i w:val="0"/>
          <w:color w:val="202020"/>
          <w:sz w:val="20"/>
        </w:rPr>
        <w:t>Inspecionar todas as páginas em tamanho legível e na apresentação final, verificando truncamento, sobreposição, quebras inadequadas, tabelas, cabeçalhos, rodapés, campos automáticos, paginação e consistência visual.</w:t>
      </w:r>
    </w:p>
    <w:p>
      <w:pPr>
        <w:spacing w:before="0" w:after="90" w:line="276" w:lineRule="auto"/>
        <w:ind w:left="482" w:hanging="369"/>
        <w:jc w:val="left"/>
      </w:pPr>
      <w:r>
        <w:rPr>
          <w:rFonts w:ascii="Arial" w:hAnsi="Arial" w:eastAsia="Arial" w:cs="Arial"/>
          <w:b w:val="0"/>
          <w:i w:val="0"/>
          <w:color w:val="202020"/>
          <w:sz w:val="20"/>
        </w:rPr>
        <w:t xml:space="preserve">6. </w:t>
      </w:r>
      <w:r>
        <w:rPr>
          <w:rFonts w:ascii="Arial" w:hAnsi="Arial" w:eastAsia="Arial" w:cs="Arial"/>
          <w:b w:val="0"/>
          <w:i w:val="0"/>
          <w:color w:val="202020"/>
          <w:sz w:val="20"/>
        </w:rPr>
        <w:t>Corrigir qualquer defeito encontrado e repetir a inspeção até que o artefato esteja formal e visualmente aderente.</w:t>
      </w:r>
    </w:p>
    <w:p>
      <w:pPr>
        <w:spacing w:before="0" w:after="90" w:line="276" w:lineRule="auto"/>
        <w:ind w:left="482" w:hanging="369"/>
        <w:jc w:val="left"/>
      </w:pPr>
      <w:r>
        <w:rPr>
          <w:rFonts w:ascii="Arial" w:hAnsi="Arial" w:eastAsia="Arial" w:cs="Arial"/>
          <w:b w:val="0"/>
          <w:i w:val="0"/>
          <w:color w:val="202020"/>
          <w:sz w:val="20"/>
        </w:rPr>
        <w:t xml:space="preserve">7. </w:t>
      </w:r>
      <w:r>
        <w:rPr>
          <w:rFonts w:ascii="Arial" w:hAnsi="Arial" w:eastAsia="Arial" w:cs="Arial"/>
          <w:b w:val="0"/>
          <w:i w:val="0"/>
          <w:color w:val="202020"/>
          <w:sz w:val="20"/>
        </w:rPr>
        <w:t>Liberar apenas a versão final considerada válida segundo a governança aplicável.</w:t>
      </w:r>
    </w:p>
    <w:p>
      <w:pPr>
        <w:pStyle w:val="Heading2"/>
        <w:keepNext/>
      </w:pPr>
      <w:r>
        <w:t>13.1 Gate de qualidade formal</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632"/>
      </w:tblGrid>
      <w:tr>
        <w:trPr>
          <w:cantSplit w:val="1"/>
        </w:trPr>
        <w:tc>
          <w:tcPr>
            <w:tcW w:type="dxa" w:w="9632"/>
            <w:shd w:fill="F2F2F2"/>
            <w:tcMar>
              <w:top w:w="80" w:type="dxa"/>
              <w:start w:w="80" w:type="dxa"/>
              <w:bottom w:w="80" w:type="dxa"/>
              <w:end w:w="80" w:type="dxa"/>
            </w:tcMar>
            <w:vAlign w:val="center"/>
          </w:tcPr>
          <w:p>
            <w:pPr>
              <w:spacing w:before="0" w:after="0" w:line="276" w:lineRule="auto"/>
              <w:ind w:left="0" w:firstLine="0"/>
            </w:pPr>
            <w:r>
              <w:rPr>
                <w:rFonts w:ascii="Arial" w:hAnsi="Arial" w:eastAsia="Arial" w:cs="Arial"/>
                <w:b/>
                <w:i w:val="0"/>
                <w:color w:val="17365D"/>
                <w:sz w:val="18"/>
              </w:rPr>
              <w:t>Gate de qualidade</w:t>
              <w:br/>
              <w:t>O artefato somente deve ser considerado formalmente pronto quando estiver em DOCX institucional válido, aderente ao template ou padrão aplicável, visualmente íntegro, corretamente identificado e versionado, com paginação e elementos fixos consistentes, integridade OOXML comprovada, títulos estruturalmente reconhecíveis e navegação e Sumário compatíveis com o ambiente de consumo, componentes sem defeitos, controles formais adequados, propriedades críticas verificáveis a partir das fontes canônicas aplicáveis e elementos semanticamente equivalentes utilizando estilos e propriedades visuais consistentes, sem variações locais não justificadas. A qualidade semântica do conteúdo é validada separadamente pela Diretriz de Qualidade e Construção de Conteúdo Documental Institucional vigente.</w:t>
            </w:r>
          </w:p>
        </w:tc>
      </w:tr>
    </w:tbl>
    <w:p>
      <w:pPr>
        <w:pStyle w:val="Heading1"/>
        <w:keepNext/>
      </w:pPr>
      <w:r>
        <w:t>14 Orientação operacional de aplicação</w:t>
      </w:r>
    </w:p>
    <w:p>
      <w:pPr>
        <w:spacing w:before="0" w:after="90" w:line="276" w:lineRule="auto"/>
        <w:ind w:left="0" w:firstLine="0"/>
        <w:jc w:val="left"/>
      </w:pPr>
      <w:r>
        <w:rPr>
          <w:rFonts w:ascii="Arial" w:hAnsi="Arial" w:eastAsia="Arial" w:cs="Arial"/>
          <w:b w:val="0"/>
          <w:i w:val="0"/>
          <w:color w:val="202020"/>
          <w:sz w:val="20"/>
        </w:rPr>
        <w:t>Para aplicar esta diretriz, identifique primeiro o template e as fontes específicas incidentes; consulte os pontos canônicos desta diretriz para configuração, paleta, tipografia e demais requisitos formais; materialize o conteúdo aprovado sem recriar nem duplicar parâmetros; e execute a validação da seção 13 antes da liberação. A qualidade e a construção do conteúdo permanecem sob a Diretriz de Qualidade e Construção de Conteúdo Documental Institucional vigente. Quando a execução for realizada por IA, o comportamento operacional é regido adicionalmente pelo Contrato Operacional de Execução Documental por IA vigente. Esta seção orienta a aplicação e não substitui nem resume as especificações das seções anteriores.</w:t>
      </w:r>
    </w:p>
    <w:p>
      <w:pPr>
        <w:pStyle w:val="Heading1"/>
        <w:keepNext/>
      </w:pPr>
      <w:r>
        <w:t>15 Controle de Revisão</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3211"/>
        <w:gridCol w:w="3211"/>
        <w:gridCol w:w="3211"/>
      </w:tblGrid>
      <w:tr>
        <w:trPr>
          <w:tblHeader w:val="true"/>
          <w:cantSplit w:val="1"/>
        </w:trPr>
        <w:tc>
          <w:tcPr>
            <w:tcW w:type="dxa" w:w="1134"/>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Versão</w:t>
            </w:r>
          </w:p>
        </w:tc>
        <w:tc>
          <w:tcPr>
            <w:tcW w:type="dxa" w:w="1701"/>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Data</w:t>
            </w:r>
          </w:p>
        </w:tc>
        <w:tc>
          <w:tcPr>
            <w:tcW w:type="dxa" w:w="6747"/>
            <w:shd w:fill="17365D" w:val="clear"/>
            <w:tcMar>
              <w:top w:w="80" w:type="dxa"/>
              <w:start w:w="80" w:type="dxa"/>
              <w:bottom w:w="80" w:type="dxa"/>
              <w:end w:w="80" w:type="dxa"/>
            </w:tcMar>
            <w:vAlign w:val="center"/>
          </w:tcPr>
          <w:p>
            <w:pPr>
              <w:spacing w:before="0" w:after="0" w:line="240" w:lineRule="auto"/>
              <w:ind w:left="0" w:firstLine="0"/>
              <w:jc w:val="left"/>
            </w:pPr>
            <w:r>
              <w:rPr>
                <w:rFonts w:ascii="Arial" w:hAnsi="Arial" w:eastAsia="Arial" w:cs="Arial"/>
                <w:b/>
                <w:i w:val="0"/>
                <w:color w:val="FFFFFF"/>
                <w:sz w:val="18"/>
              </w:rPr>
              <w:t>Descrição</w:t>
            </w:r>
          </w:p>
        </w:tc>
      </w:tr>
      <w:tr>
        <w:trPr>
          <w:cantSplit w:val="1"/>
        </w:trP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1.0</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03/09/2026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Criação do prompt institucional de padronização documental, consolidando o padrão visual e o fluxo obrigatório de geração, renderização e validação dos documentos produzidos no Projeto.</w:t>
            </w:r>
          </w:p>
        </w:tc>
      </w:tr>
      <w:tr>
        <w:trPr>
          <w:cantSplit w:val="1"/>
        </w:trP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1.1</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04/09/2026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Revisão da regra de conflitos, adequação do arquivo como fonte normativa do Projeto, inclusão de Base de Conhecimento e redução de duplicação no prompt operacional.</w:t>
            </w:r>
          </w:p>
        </w:tc>
      </w:tr>
      <w:tr>
        <w:trPr>
          <w:cantSplit w:val="1"/>
        </w:trP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1.2</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04/09/2026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Restauração do padrão visual da capa e do Sumário; explicitação de capa sem cabeçalho/rodapé e filete azul; adoção complementar de normas ABNT; adequação da numeração de seções; inclusão de referências normativas e reforço do processo de validação.</w:t>
            </w:r>
          </w:p>
        </w:tc>
      </w:tr>
      <w:tr>
        <w:trPr>
          <w:cantSplit w:val="1"/>
        </w:trP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1.3</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04/09/2026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Reorganização das fontes utilizadas para uma seção final de Referências, posicionada após o Controle de Revisão; adequação do tratamento às referências segundo a ABNT NBR 6023 vigente e previsão de Bibliografia complementar separada quando aplicável.</w:t>
            </w:r>
          </w:p>
        </w:tc>
      </w:tr>
      <w:tr>
        <w:trPr>
          <w:cantSplit w:val="1"/>
        </w:trP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2.0</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04/09/2026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Ampliação do escopo para documentos institucionais da organização; renomeação da diretriz; isolamento do Sumário em página própria sem cabeçalho/rodapé; remoção de regras por tipo documental; generalização da estrutura; normalização tipográfica de tabelas; adequação da instrução operacional e do tratamento ABNT para Referências sem indicativo numérico.</w:t>
            </w:r>
          </w:p>
        </w:tc>
      </w:tr>
      <w:tr>
        <w:trPr>
          <w:cantSplit w:val="1"/>
        </w:trP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2.1</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17/09/2026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Separação entre responsabilidade institucional e autoria; inclusão de critérios para autor, coautor, colaborador, revisor e aprovador; criação de regra para registro de contribuições; explicitação de que IA generativa não constitui autoria ou contribuição humana; atualização da capa, do processo de validação e da instrução operacional.</w:t>
            </w:r>
          </w:p>
        </w:tc>
      </w:tr>
      <w:tr>
        <w:trPr>
          <w:cantSplit w:val="1"/>
        </w:trP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2.2</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17/09/2026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Inclusão de regra institucional de afastamento vertical de 6 pt entre blocos visuais e o conteúdo textual subsequente; definição de aplicação por espaçamento de parágrafo/estilo, sem parágrafos vazios; adequação da instrução operacional.</w:t>
            </w:r>
          </w:p>
        </w:tc>
      </w:tr>
      <w:tr>
        <w:trPr>
          <w:cantSplit w:val="1"/>
        </w:trP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2.3</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17/09/2026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Uniformização das regras dimensionais e tipográficas: valores únicos em lugar de faixas; corpo de tabelas em Arial 8 pt; margens internas em 0,14 cm; listas com distância de 0,85 cm; reforço da consistência entre elementos equivalentes.</w:t>
            </w:r>
          </w:p>
        </w:tc>
      </w:tr>
      <w:tr>
        <w:trPr>
          <w:cantSplit w:val="1"/>
        </w:trP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2.4</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17/09/2026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Explicitação da continuidade de seções e Referências: remoção de quebras de página por convenção e preservação da continuidade quando houver composição adequada.</w:t>
            </w:r>
          </w:p>
        </w:tc>
      </w:tr>
      <w:tr>
        <w:trPr>
          <w:cantSplit w:val="1"/>
        </w:trP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2.5</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17/09/2026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Explicitação da hierarquia tipográfica interna dos componentes; normalização da tabela de metadados da capa; elevação dos cabeçalhos de tabelas para Arial 9 pt; formalização da tipografia de caixas de destaque.</w:t>
            </w:r>
          </w:p>
        </w:tc>
      </w:tr>
      <w:tr>
        <w:trPr>
          <w:cantSplit w:val="1"/>
        </w:trP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2.6</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17/09/2026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Especificação dos elementos fixos e da composição visual: cabeçalho e rodapé, contagem contínua da paginação, dimensões e espaçamentos da capa, entrelinhamento, listas, Sumário, Referências, alternância de linhas em tabelas e processo de validação.</w:t>
            </w:r>
          </w:p>
        </w:tc>
      </w:tr>
      <w:tr>
        <w:trPr>
          <w:cantSplit w:val="1"/>
        </w:trP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3.0</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18/09/2026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Revisão principal da arquitetura normativa: separação entre padronização do artefato e qualidade do conteúdo; consolidação da diretriz como fonte transversal de materialização, apresentação e governança formal; confirmação do DOCX como formato institucional editável padrão; generalização da validação para execução agnóstica de ferramenta; divisão dos gates de conteúdo e artefato; formalização da regra de referências internas com menções normativas agnósticas e rastreabilidade versionada da fonte efetivamente utilizada.</w:t>
            </w:r>
          </w:p>
        </w:tc>
      </w:tr>
      <w:t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3.1</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25/09/2026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Adoção do alinhamento justificado para o corpo textual em prosa; manutenção do alinhamento à esquerda como padrão para listas, tabelas, referências, caixas de destaque e demais componentes estruturados sem regra específica; adequação da instrução operacional e da própria materialização da diretriz ao novo padrão.</w:t>
            </w:r>
          </w:p>
        </w:tc>
      </w:tr>
      <w:t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3.2</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19/10/2026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Explicitação da consistência de estilos para elementos semanticamente equivalentes, especialmente títulos do mesmo nível; vedação a variações locais por formatação direta sem regra específica; reforço da inspeção comparativa no processo de materialização, no gate formal e na instrução operacional a partir de feedback de uso.</w:t>
            </w:r>
          </w:p>
        </w:tc>
      </w:tr>
      <w:tr>
        <w:tc>
          <w:tcPr>
            <w:tcW w:type="dxa" w:w="1134"/>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i w:val="0"/>
                <w:color w:val="202020"/>
                <w:sz w:val="16"/>
              </w:rPr>
              <w:t>3.3</w:t>
            </w:r>
          </w:p>
        </w:tc>
        <w:tc>
          <w:tcPr>
            <w:tcW w:type="dxa" w:w="1701"/>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21/10/2026</w:t>
            </w:r>
          </w:p>
        </w:tc>
        <w:tc>
          <w:tcPr>
            <w:tcW w:type="dxa" w:w="6747"/>
            <w:tcMar>
              <w:top w:w="80" w:type="dxa"/>
              <w:start w:w="80" w:type="dxa"/>
              <w:bottom w:w="80" w:type="dxa"/>
              <w:end w:w="80" w:type="dxa"/>
            </w:tcMar>
            <w:vAlign w:val="center"/>
            <w:shd w:fill="FFFFFF" w:val="clear"/>
          </w:tcPr>
          <w:p>
            <w:pPr>
              <w:spacing w:before="0" w:after="0" w:line="240" w:lineRule="auto"/>
              <w:ind w:left="0" w:firstLine="0"/>
            </w:pPr>
            <w:r>
              <w:rPr>
                <w:rFonts w:ascii="Arial" w:hAnsi="Arial" w:eastAsia="Arial" w:cs="Arial"/>
                <w:b w:val="0"/>
                <w:i w:val="0"/>
                <w:color w:val="202020"/>
                <w:sz w:val="16"/>
              </w:rPr>
              <w:t>Consolidação de fonte única para parâmetros formais; ampliação da paleta como referência canônica sem alteração da identidade visual; substituição de valores duplicados por remissões; explicitação de que propriedades críticas de conformidade não podem depender apenas de inferência visual; redução da instrução operacional consolidada para orientação de aplicação; normalização da referência à ABNT NBR 14724:2024 Versão Corrigida:2025; promoção como diretriz institucional vigente após revisão cruzada e validação dirigida.</w:t>
            </w:r>
          </w:p>
        </w:tc>
      </w:tr>
      <w:tr>
        <w:tc>
          <w:tcPr>
            <w:tcW w:type="dxa" w:w="1134"/>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i w:val="0"/>
                <w:color w:val="202020"/>
                <w:sz w:val="16"/>
              </w:rPr>
              <w:t>3.4</w:t>
            </w:r>
          </w:p>
        </w:tc>
        <w:tc>
          <w:tcPr>
            <w:tcW w:type="dxa" w:w="1701"/>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23/10/2026</w:t>
            </w:r>
          </w:p>
        </w:tc>
        <w:tc>
          <w:tcPr>
            <w:tcW w:type="dxa" w:w="6747"/>
            <w:tcMar>
              <w:top w:w="80" w:type="dxa"/>
              <w:start w:w="80" w:type="dxa"/>
              <w:bottom w:w="80" w:type="dxa"/>
              <w:end w:w="80" w:type="dxa"/>
            </w:tcMar>
            <w:vAlign w:val="center"/>
            <w:shd w:fill="F7F9FB" w:val="clear"/>
          </w:tcPr>
          <w:p>
            <w:pPr>
              <w:spacing w:before="0" w:after="0" w:line="240" w:lineRule="auto"/>
              <w:ind w:left="0" w:firstLine="0"/>
            </w:pPr>
            <w:r>
              <w:rPr>
                <w:rFonts w:ascii="Arial" w:hAnsi="Arial" w:eastAsia="Arial" w:cs="Arial"/>
                <w:b w:val="0"/>
                <w:i w:val="0"/>
                <w:color w:val="202020"/>
                <w:sz w:val="16"/>
              </w:rPr>
              <w:t>Verificação da integridade estrutural OOXML e do reconhecimento de títulos; priorização de Sumário atualizável baseado em títulos e redução de bookmarks redundantes; reforço do gate formal para navegação. Validada nos testes A/B/C e R01 e promovida à vigência em 26/10/2026.</w:t>
            </w:r>
          </w:p>
        </w:tc>
      </w:tr>
    </w:tbl>
    <w:p>
      <w:pPr>
        <w:spacing w:before="300" w:after="120" w:line="240" w:lineRule="auto"/>
        <w:ind w:left="0" w:firstLine="0"/>
        <w:jc w:val="center"/>
        <w:keepNext/>
      </w:pPr>
      <w:r>
        <w:rPr>
          <w:rFonts w:ascii="Calibri" w:hAnsi="Calibri" w:eastAsia="Calibri" w:cs="Calibri"/>
          <w:b/>
          <w:i w:val="0"/>
          <w:color w:val="17365D"/>
          <w:sz w:val="31"/>
        </w:rPr>
        <w:t>Referências</w:t>
      </w:r>
    </w:p>
    <w:p>
      <w:pPr>
        <w:pStyle w:val="Reference"/>
      </w:pPr>
      <w:r>
        <w:rPr>
          <w:rFonts w:ascii="Arial" w:hAnsi="Arial" w:eastAsia="Arial" w:cs="Arial"/>
          <w:b w:val="0"/>
          <w:i w:val="0"/>
          <w:color w:val="202020"/>
          <w:sz w:val="20"/>
        </w:rPr>
        <w:t>ASSOCIAÇÃO BRASILEIRA DE NORMAS TÉCNICAS. ABNT NBR ISO 10013:2021: Sistemas de gestão da qualidade - Orientação para informação documentada. Rio de Janeiro: ABNT, 2021.</w:t>
      </w:r>
    </w:p>
    <w:p>
      <w:pPr>
        <w:pStyle w:val="Reference"/>
      </w:pPr>
      <w:r>
        <w:rPr>
          <w:rFonts w:ascii="Arial" w:hAnsi="Arial" w:eastAsia="Arial" w:cs="Arial"/>
          <w:b w:val="0"/>
          <w:i w:val="0"/>
          <w:color w:val="202020"/>
          <w:sz w:val="20"/>
        </w:rPr>
        <w:t>ASSOCIAÇÃO BRASILEIRA DE NORMAS TÉCNICAS. ABNT NBR 6024:2012: Informação e documentação - Numeração progressiva das seções de um documento - Apresentação. Rio de Janeiro: ABNT, 2012.</w:t>
      </w:r>
    </w:p>
    <w:p>
      <w:pPr>
        <w:pStyle w:val="Reference"/>
      </w:pPr>
      <w:r>
        <w:rPr>
          <w:rFonts w:ascii="Arial" w:hAnsi="Arial" w:eastAsia="Arial" w:cs="Arial"/>
          <w:b w:val="0"/>
          <w:i w:val="0"/>
          <w:color w:val="202020"/>
          <w:sz w:val="20"/>
        </w:rPr>
        <w:t>ASSOCIAÇÃO BRASILEIRA DE NORMAS TÉCNICAS. ABNT NBR 6027:2012: Informação e documentação - Sumário - Apresentação. Rio de Janeiro: ABNT, 2012.</w:t>
      </w:r>
    </w:p>
    <w:p>
      <w:pPr>
        <w:pStyle w:val="Reference"/>
      </w:pPr>
      <w:r>
        <w:rPr>
          <w:rFonts w:ascii="Arial" w:hAnsi="Arial" w:eastAsia="Arial" w:cs="Arial"/>
          <w:b w:val="0"/>
          <w:i w:val="0"/>
          <w:color w:val="202020"/>
          <w:sz w:val="20"/>
        </w:rPr>
        <w:t>ASSOCIAÇÃO BRASILEIRA DE NORMAS TÉCNICAS. ABNT NBR 6023:2025: Informação e documentação - Referências - Elaboração. Rio de Janeiro: ABNT, 2025.</w:t>
      </w:r>
    </w:p>
    <w:p>
      <w:pPr>
        <w:pStyle w:val="Reference"/>
      </w:pPr>
      <w:r>
        <w:rPr>
          <w:rFonts w:ascii="Arial" w:hAnsi="Arial" w:eastAsia="Arial" w:cs="Arial"/>
          <w:b w:val="0"/>
          <w:i w:val="0"/>
          <w:color w:val="202020"/>
          <w:sz w:val="20"/>
        </w:rPr>
        <w:t>ASSOCIAÇÃO BRASILEIRA DE NORMAS TÉCNICAS. ABNT NBR 10520:2023: Informação e documentação - Citações em documentos - Apresentação. Rio de Janeiro: ABNT, 2023.</w:t>
      </w:r>
    </w:p>
    <w:p>
      <w:pPr>
        <w:pStyle w:val="Reference"/>
      </w:pPr>
      <w:r>
        <w:rPr>
          <w:rFonts w:ascii="Arial" w:hAnsi="Arial" w:eastAsia="Arial" w:cs="Arial"/>
          <w:b w:val="0"/>
          <w:i w:val="0"/>
          <w:color w:val="202020"/>
          <w:sz w:val="20"/>
        </w:rPr>
        <w:t>ASSOCIAÇÃO BRASILEIRA DE NORMAS TÉCNICAS. ABNT NBR 14724:2024 Versão Corrigida:2025: Informação e documentação - Trabalhos acadêmicos - Apresentação. Rio de Janeiro: ABNT, 2024.</w:t>
      </w:r>
    </w:p>
    <w:p>
      <w:pPr>
        <w:pStyle w:val="Reference"/>
      </w:pPr>
      <w:r>
        <w:rPr>
          <w:rFonts w:ascii="Arial" w:hAnsi="Arial" w:eastAsia="Arial" w:cs="Arial"/>
          <w:b w:val="0"/>
          <w:i w:val="0"/>
          <w:color w:val="202020"/>
          <w:sz w:val="20"/>
        </w:rPr>
        <w:t>ECMA INTERNATIONAL. ECMA-376: Office Open XML File Formats. Part 1: Fundamentals and Markup Language Reference. 5. ed., 2016.</w:t>
      </w:r>
    </w:p>
    <w:p>
      <w:pPr>
        <w:pStyle w:val="Reference"/>
      </w:pPr>
      <w:r>
        <w:rPr>
          <w:rFonts w:ascii="Arial" w:hAnsi="Arial" w:eastAsia="Arial" w:cs="Arial"/>
          <w:b w:val="0"/>
          <w:i w:val="0"/>
          <w:color w:val="202020"/>
          <w:sz w:val="20"/>
        </w:rPr>
        <w:t>MUNZLINGER, Johann. Diretriz de Qualidade e Construção de Conteúdo Documental Institucional. Versão 1.2. Diretriz institucional vigente, 2026.</w:t>
      </w:r>
    </w:p>
    <w:p>
      <w:pPr>
        <w:pStyle w:val="Reference"/>
      </w:pPr>
      <w:r>
        <w:rPr>
          <w:rFonts w:ascii="Arial" w:hAnsi="Arial" w:eastAsia="Arial" w:cs="Arial"/>
          <w:b w:val="0"/>
          <w:i w:val="0"/>
          <w:color w:val="202020"/>
          <w:sz w:val="20"/>
        </w:rPr>
        <w:t>NATIONAL INFORMATION STANDARDS ORGANIZATION (NISO). CRediT: Contributor Role Taxonomy. Baltimore: NISO, [s.d.]. Disponível em: https://credit.niso.org/. Acesso em: 18 set. 2026.</w:t>
      </w:r>
    </w:p>
    <w:p>
      <w:pPr>
        <w:pStyle w:val="Reference"/>
      </w:pPr>
      <w:r>
        <w:rPr>
          <w:rFonts w:ascii="Arial" w:hAnsi="Arial" w:eastAsia="Arial" w:cs="Arial"/>
          <w:b w:val="0"/>
          <w:i w:val="0"/>
          <w:color w:val="202020"/>
          <w:sz w:val="20"/>
        </w:rPr>
        <w:t>INTERNATIONAL COMMITTEE OF MEDICAL JOURNAL EDITORS (ICMJE). Recommendations for the Conduct, Reporting, Editing, and Publication of Scholarly Work in Medical Journals. Atualizado em janeiro de 2026. [S. l.]: ICMJE, 2026. Disponível em: https://www.icmje.org/recommendations/. Acesso em: 18 set. 2026.</w:t>
      </w:r>
    </w:p>
    <w:sectPr w:rsidR="00FC693F" w:rsidRPr="0006063C" w:rsidSect="00034616">
      <w:headerReference w:type="default" r:id="rId13"/>
      <w:footerReference w:type="default" r:id="rId14"/>
      <w:pgSz w:w="12240" w:h="15840"/>
      <w:pgMar w:top="1247" w:right="1247"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left="0" w:firstLine="0"/>
      <w:jc w:val="center"/>
    </w:pPr>
    <w:r>
      <w:rPr>
        <w:rFonts w:ascii="Arial" w:hAnsi="Arial" w:eastAsia="Arial" w:cs="Arial"/>
        <w:b w:val="0"/>
        <w:i w:val="0"/>
        <w:color w:val="7A7A7A"/>
        <w:sz w:val="14"/>
      </w:rPr>
      <w:t xml:space="preserve">Página </w:t>
    </w:r>
    <w:r>
      <w:rPr>
        <w:rFonts w:ascii="Arial" w:hAnsi="Arial" w:eastAsia="Arial" w:cs="Arial"/>
        <w:b w:val="0"/>
        <w:i w:val="0"/>
        <w:color w:val="7A7A7A"/>
        <w:sz w:val="14"/>
      </w:rPr>
    </w:r>
    <w:fldSimple w:instr="PAGE">
      <w:r>
        <w:t>3</w:t>
      </w:r>
    </w:fldSimple>
    <w:r>
      <w:rPr>
        <w:rFonts w:ascii="Arial" w:hAnsi="Arial" w:eastAsia="Arial" w:cs="Arial"/>
        <w:b w:val="0"/>
        <w:i w:val="0"/>
        <w:color w:val="7A7A7A"/>
        <w:sz w:val="14"/>
      </w:rPr>
      <w:t xml:space="preserve"> de </w:t>
    </w:r>
    <w:r>
      <w:rPr>
        <w:rFonts w:ascii="Arial" w:hAnsi="Arial" w:eastAsia="Arial" w:cs="Arial"/>
        <w:b w:val="0"/>
        <w:i w:val="0"/>
        <w:color w:val="7A7A7A"/>
        <w:sz w:val="14"/>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left="0" w:firstLine="0"/>
      <w:jc w:val="center"/>
      <w:pBdr>
        <w:bottom w:val="single" w:sz="4" w:space="3" w:color="D9E2F3"/>
      </w:pBdr>
    </w:pPr>
    <w:r>
      <w:rPr>
        <w:rFonts w:ascii="Arial" w:hAnsi="Arial" w:eastAsia="Arial" w:cs="Arial"/>
        <w:b w:val="0"/>
        <w:i w:val="0"/>
        <w:color w:val="7A7A7A"/>
        <w:sz w:val="14"/>
      </w:rPr>
      <w:t>Gestão de Desenvolvimento • Padronização documental • Diretriz interna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6" w:lineRule="auto"/>
    </w:pPr>
    <w:rPr>
      <w:rFonts w:ascii="Arial" w:hAnsi="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40" w:lineRule="auto"/>
      <w:outlineLvl w:val="0"/>
    </w:pPr>
    <w:rPr>
      <w:rFonts w:asciiTheme="majorHAnsi" w:eastAsiaTheme="majorEastAsia" w:hAnsiTheme="majorHAnsi" w:cstheme="majorBidi" w:ascii="Calibri" w:hAnsi="Calibri"/>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20" w:after="80" w:line="240" w:lineRule="auto"/>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50" w:line="240" w:lineRule="auto"/>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40" w:line="276" w:lineRule="auto"/>
    </w:pPr>
    <w:rPr>
      <w:rFonts w:ascii="Arial" w:hAnsi="Arial"/>
      <w:color w:val="20202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Diretriz de Padronização Documental Institucional</dc:title>
  <dc:subject>Padrão institucional transversal para materialização, apresentação e governança formal de documentos</dc:subject>
  <dc:creator>Johann Munzlinger</dc:creator>
  <cp:keywords>governança documental; padronização; DOCX; apresentação; materialização; versionamento</cp:keywords>
  <dc:description>generated by python-docx</dc:description>
  <cp:lastModifiedBy>Johann Munzlinger</cp:lastModifiedBy>
  <cp:revision>1</cp:revision>
  <dcterms:created xsi:type="dcterms:W3CDTF">2013-12-23T23:15:00Z</dcterms:created>
  <dcterms:modified xsi:type="dcterms:W3CDTF">2026-10-21T10:00:00Z</dcterms:modified>
  <cp:category/>
</cp:coreProperties>
</file>