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0" w:after="80" w:line="240" w:lineRule="auto"/>
        <w:ind w:left="0" w:firstLine="0"/>
        <w:jc w:val="left"/>
      </w:pPr>
      <w:r>
        <w:rPr>
          <w:rFonts w:ascii="Arial" w:hAnsi="Arial" w:eastAsia="Arial" w:cs="Arial"/>
          <w:b/>
          <w:i w:val="0"/>
          <w:color w:val="2F5597"/>
          <w:sz w:val="17"/>
        </w:rPr>
        <w:t>GOVERNANÇA DOCUMENTAL</w:t>
      </w:r>
    </w:p>
    <w:p>
      <w:pPr>
        <w:spacing w:before="0" w:after="80" w:line="240" w:lineRule="auto"/>
        <w:ind w:left="0" w:firstLine="0"/>
        <w:jc w:val="left"/>
        <w:pBdr>
          <w:bottom w:val="single" w:sz="8" w:space="4" w:color="2F5597"/>
        </w:pBdr>
      </w:pPr>
      <w:r>
        <w:rPr>
          <w:rFonts w:ascii="Calibri" w:hAnsi="Calibri" w:eastAsia="Calibri" w:cs="Calibri"/>
          <w:b/>
          <w:i w:val="0"/>
          <w:color w:val="17365D"/>
          <w:sz w:val="48"/>
        </w:rPr>
        <w:t>Diretriz de Qualidade e Construção de Conteúdo Documental Institucional</w:t>
      </w:r>
    </w:p>
    <w:p>
      <w:pPr>
        <w:spacing w:before="0" w:after="360" w:line="240" w:lineRule="auto"/>
        <w:ind w:left="0" w:firstLine="0"/>
        <w:jc w:val="left"/>
      </w:pPr>
      <w:r>
        <w:rPr>
          <w:rFonts w:ascii="Calibri" w:hAnsi="Calibri" w:eastAsia="Calibri" w:cs="Calibri"/>
          <w:b w:val="0"/>
          <w:i w:val="0"/>
          <w:color w:val="4A4A4A"/>
          <w:sz w:val="22"/>
        </w:rPr>
        <w:t>Critérios transversais para construção, revisão e validação do conteúdo documental</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4816"/>
        <w:gridCol w:w="4816"/>
      </w:tblGrid>
      <w:tr>
        <w:trPr>
          <w:cantSplit w:val="1"/>
        </w:trPr>
        <w:tc>
          <w:tcPr>
            <w:tcW w:type="dxa" w:w="4819"/>
            <w:tcMar>
              <w:top w:w="79" w:type="dxa"/>
              <w:start w:w="79" w:type="dxa"/>
              <w:bottom w:w="79" w:type="dxa"/>
              <w:end w:w="79" w:type="dxa"/>
            </w:tcMar>
            <w:vAlign w:val="center"/>
            <w:shd w:fill="D9EAF7"/>
          </w:tcPr>
          <w:p>
            <w:pPr>
              <w:spacing w:before="0" w:after="0" w:line="240" w:lineRule="auto"/>
              <w:ind w:left="0" w:firstLine="0"/>
            </w:pPr>
            <w:r/>
            <w:r>
              <w:rPr>
                <w:rFonts w:ascii="Arial" w:hAnsi="Arial" w:eastAsia="Arial" w:cs="Arial"/>
                <w:b/>
                <w:i w:val="0"/>
                <w:color w:val="17365D"/>
                <w:sz w:val="18"/>
              </w:rPr>
              <w:t>Finalidade</w:t>
            </w:r>
          </w:p>
        </w:tc>
        <w:tc>
          <w:tcPr>
            <w:tcW w:type="dxa" w:w="4819"/>
            <w:tcMar>
              <w:top w:w="79" w:type="dxa"/>
              <w:start w:w="79" w:type="dxa"/>
              <w:bottom w:w="79" w:type="dxa"/>
              <w:end w:w="79" w:type="dxa"/>
            </w:tcMar>
            <w:vAlign w:val="center"/>
            <w:shd w:fill="FFFFFF"/>
          </w:tcPr>
          <w:p>
            <w:pPr>
              <w:spacing w:before="0" w:after="0" w:line="240" w:lineRule="auto"/>
              <w:ind w:left="0" w:firstLine="0"/>
            </w:pPr>
            <w:r/>
            <w:r>
              <w:rPr>
                <w:rFonts w:ascii="Arial" w:hAnsi="Arial" w:eastAsia="Arial" w:cs="Arial"/>
                <w:b w:val="0"/>
                <w:i w:val="0"/>
                <w:color w:val="202020"/>
                <w:sz w:val="17"/>
              </w:rPr>
              <w:t>Estabelecer critérios institucionais transversais para concepção, estruturação, fundamentação, revisão e validação do conteúdo de documentos, de modo que sejam claros, compreensíveis para o público previsto, navegáveis, rastreáveis, proporcionais e suficientemente autossuficientes para seu uso.</w:t>
            </w:r>
          </w:p>
        </w:tc>
      </w:tr>
      <w:tr>
        <w:trPr>
          <w:cantSplit w:val="1"/>
        </w:trPr>
        <w:tc>
          <w:tcPr>
            <w:tcW w:type="dxa" w:w="4819"/>
            <w:tcMar>
              <w:top w:w="79" w:type="dxa"/>
              <w:start w:w="79" w:type="dxa"/>
              <w:bottom w:w="79" w:type="dxa"/>
              <w:end w:w="79" w:type="dxa"/>
            </w:tcMar>
            <w:vAlign w:val="center"/>
            <w:shd w:fill="D9EAF7"/>
          </w:tcPr>
          <w:p>
            <w:pPr>
              <w:spacing w:before="0" w:after="0" w:line="240" w:lineRule="auto"/>
              <w:ind w:left="0" w:firstLine="0"/>
            </w:pPr>
            <w:r/>
            <w:r>
              <w:rPr>
                <w:rFonts w:ascii="Arial" w:hAnsi="Arial" w:eastAsia="Arial" w:cs="Arial"/>
                <w:b/>
                <w:i w:val="0"/>
                <w:color w:val="17365D"/>
                <w:sz w:val="18"/>
              </w:rPr>
              <w:t>Escopo</w:t>
            </w:r>
          </w:p>
        </w:tc>
        <w:tc>
          <w:tcPr>
            <w:tcW w:type="dxa" w:w="4819"/>
            <w:tcMar>
              <w:top w:w="79" w:type="dxa"/>
              <w:start w:w="79" w:type="dxa"/>
              <w:bottom w:w="79" w:type="dxa"/>
              <w:end w:w="79" w:type="dxa"/>
            </w:tcMar>
            <w:vAlign w:val="center"/>
            <w:shd w:fill="FFFFFF"/>
          </w:tcPr>
          <w:p>
            <w:pPr>
              <w:spacing w:before="0" w:after="0" w:line="240" w:lineRule="auto"/>
              <w:ind w:left="0" w:firstLine="0"/>
            </w:pPr>
            <w:r/>
            <w:r>
              <w:rPr>
                <w:rFonts w:ascii="Arial" w:hAnsi="Arial" w:eastAsia="Arial" w:cs="Arial"/>
                <w:b w:val="0"/>
                <w:i w:val="0"/>
                <w:color w:val="202020"/>
                <w:sz w:val="17"/>
              </w:rPr>
              <w:t>Documentos institucionais produzidos ou revisados no âmbito da organização, independentemente da área, da ferramenta, do executor ou da forma de operacionalização, respeitados templates, diretrizes, normas e requisitos específicos aplicáveis.</w:t>
            </w:r>
          </w:p>
        </w:tc>
      </w:tr>
      <w:tr>
        <w:trPr>
          <w:cantSplit w:val="1"/>
        </w:trPr>
        <w:tc>
          <w:tcPr>
            <w:tcW w:type="dxa" w:w="4819"/>
            <w:tcMar>
              <w:top w:w="79" w:type="dxa"/>
              <w:start w:w="79" w:type="dxa"/>
              <w:bottom w:w="79" w:type="dxa"/>
              <w:end w:w="79" w:type="dxa"/>
            </w:tcMar>
            <w:vAlign w:val="center"/>
            <w:shd w:fill="D9EAF7"/>
          </w:tcPr>
          <w:p>
            <w:pPr>
              <w:spacing w:before="0" w:after="0" w:line="240" w:lineRule="auto"/>
              <w:ind w:left="0" w:firstLine="0"/>
            </w:pPr>
            <w:r/>
            <w:r>
              <w:rPr>
                <w:rFonts w:ascii="Arial" w:hAnsi="Arial" w:eastAsia="Arial" w:cs="Arial"/>
                <w:b/>
                <w:i w:val="0"/>
                <w:color w:val="17365D"/>
                <w:sz w:val="18"/>
              </w:rPr>
              <w:t>Versão</w:t>
            </w:r>
          </w:p>
        </w:tc>
        <w:tc>
          <w:tcPr>
            <w:tcW w:type="dxa" w:w="4819"/>
            <w:tcMar>
              <w:top w:w="79" w:type="dxa"/>
              <w:start w:w="79" w:type="dxa"/>
              <w:bottom w:w="79" w:type="dxa"/>
              <w:end w:w="79" w:type="dxa"/>
            </w:tcMar>
            <w:vAlign w:val="center"/>
            <w:shd w:fill="FFFFFF"/>
          </w:tcPr>
          <w:p>
            <w:pPr>
              <w:spacing w:before="0" w:after="0" w:line="240" w:lineRule="auto"/>
              <w:ind w:left="0" w:firstLine="0"/>
            </w:pPr>
            <w:r>
              <w:t>1.2 - Coesão textual e construção de parágrafos</w:t>
            </w:r>
          </w:p>
        </w:tc>
      </w:tr>
      <w:tr>
        <w:trPr>
          <w:cantSplit w:val="1"/>
        </w:trPr>
        <w:tc>
          <w:tcPr>
            <w:tcW w:type="dxa" w:w="4819"/>
            <w:tcMar>
              <w:top w:w="79" w:type="dxa"/>
              <w:start w:w="79" w:type="dxa"/>
              <w:bottom w:w="79" w:type="dxa"/>
              <w:end w:w="79" w:type="dxa"/>
            </w:tcMar>
            <w:vAlign w:val="center"/>
            <w:shd w:fill="D9EAF7"/>
          </w:tcPr>
          <w:p>
            <w:pPr>
              <w:spacing w:before="0" w:after="0" w:line="240" w:lineRule="auto"/>
              <w:ind w:left="0" w:firstLine="0"/>
            </w:pPr>
            <w:r/>
            <w:r>
              <w:rPr>
                <w:rFonts w:ascii="Arial" w:hAnsi="Arial" w:eastAsia="Arial" w:cs="Arial"/>
                <w:b/>
                <w:i w:val="0"/>
                <w:color w:val="17365D"/>
                <w:sz w:val="18"/>
              </w:rPr>
              <w:t>Data de referência</w:t>
            </w:r>
          </w:p>
        </w:tc>
        <w:tc>
          <w:tcPr>
            <w:tcW w:type="dxa" w:w="4819"/>
            <w:tcMar>
              <w:top w:w="79" w:type="dxa"/>
              <w:start w:w="79" w:type="dxa"/>
              <w:bottom w:w="79" w:type="dxa"/>
              <w:end w:w="79" w:type="dxa"/>
            </w:tcMar>
            <w:vAlign w:val="center"/>
            <w:shd w:fill="FFFFFF"/>
          </w:tcPr>
          <w:p>
            <w:pPr>
              <w:spacing w:before="0" w:after="0" w:line="240" w:lineRule="auto"/>
              <w:ind w:left="0" w:firstLine="0"/>
            </w:pPr>
            <w:r>
              <w:t>21 de outubro de 2026</w:t>
            </w:r>
          </w:p>
        </w:tc>
      </w:tr>
      <w:tr>
        <w:trPr>
          <w:cantSplit w:val="1"/>
        </w:trPr>
        <w:tc>
          <w:tcPr>
            <w:tcW w:type="dxa" w:w="4819"/>
            <w:tcMar>
              <w:top w:w="79" w:type="dxa"/>
              <w:start w:w="79" w:type="dxa"/>
              <w:bottom w:w="79" w:type="dxa"/>
              <w:end w:w="79" w:type="dxa"/>
            </w:tcMar>
            <w:vAlign w:val="center"/>
            <w:shd w:fill="D9EAF7"/>
          </w:tcPr>
          <w:p>
            <w:pPr>
              <w:spacing w:before="0" w:after="0" w:line="240" w:lineRule="auto"/>
              <w:ind w:left="0" w:firstLine="0"/>
            </w:pPr>
            <w:r/>
            <w:r>
              <w:rPr>
                <w:rFonts w:ascii="Arial" w:hAnsi="Arial" w:eastAsia="Arial" w:cs="Arial"/>
                <w:b/>
                <w:i w:val="0"/>
                <w:color w:val="17365D"/>
                <w:sz w:val="18"/>
              </w:rPr>
              <w:t>Situação</w:t>
            </w:r>
          </w:p>
        </w:tc>
        <w:tc>
          <w:tcPr>
            <w:tcW w:type="dxa" w:w="4819"/>
            <w:tcMar>
              <w:top w:w="79" w:type="dxa"/>
              <w:start w:w="79" w:type="dxa"/>
              <w:bottom w:w="79" w:type="dxa"/>
              <w:end w:w="79" w:type="dxa"/>
            </w:tcMar>
            <w:vAlign w:val="center"/>
            <w:shd w:fill="FFFFFF"/>
          </w:tcPr>
          <w:p>
            <w:pPr>
              <w:spacing w:before="0" w:after="0" w:line="240" w:lineRule="auto"/>
              <w:ind w:left="0" w:firstLine="0"/>
            </w:pPr>
            <w:r>
              <w:t>Diretriz institucional vigente de Governança Documental para qualidade e construção de conteúdo.</w:t>
            </w:r>
          </w:p>
        </w:tc>
      </w:tr>
      <w:tr>
        <w:trPr>
          <w:cantSplit w:val="1"/>
        </w:trPr>
        <w:tc>
          <w:tcPr>
            <w:tcW w:type="dxa" w:w="4819"/>
            <w:tcMar>
              <w:top w:w="79" w:type="dxa"/>
              <w:start w:w="79" w:type="dxa"/>
              <w:bottom w:w="79" w:type="dxa"/>
              <w:end w:w="79" w:type="dxa"/>
            </w:tcMar>
            <w:vAlign w:val="center"/>
            <w:shd w:fill="D9EAF7"/>
          </w:tcPr>
          <w:p>
            <w:pPr>
              <w:spacing w:before="0" w:after="0" w:line="240" w:lineRule="auto"/>
              <w:ind w:left="0" w:firstLine="0"/>
            </w:pPr>
            <w:r/>
            <w:r>
              <w:rPr>
                <w:rFonts w:ascii="Arial" w:hAnsi="Arial" w:eastAsia="Arial" w:cs="Arial"/>
                <w:b/>
                <w:i w:val="0"/>
                <w:color w:val="17365D"/>
                <w:sz w:val="18"/>
              </w:rPr>
              <w:t>Responsável pelo documento</w:t>
            </w:r>
          </w:p>
        </w:tc>
        <w:tc>
          <w:tcPr>
            <w:tcW w:type="dxa" w:w="4819"/>
            <w:tcMar>
              <w:top w:w="79" w:type="dxa"/>
              <w:start w:w="79" w:type="dxa"/>
              <w:bottom w:w="79" w:type="dxa"/>
              <w:end w:w="79" w:type="dxa"/>
            </w:tcMar>
            <w:vAlign w:val="center"/>
            <w:shd w:fill="FFFFFF"/>
          </w:tcPr>
          <w:p>
            <w:pPr>
              <w:spacing w:before="0" w:after="0" w:line="240" w:lineRule="auto"/>
              <w:ind w:left="0" w:firstLine="0"/>
            </w:pPr>
            <w:r/>
            <w:r>
              <w:rPr>
                <w:rFonts w:ascii="Arial" w:hAnsi="Arial" w:eastAsia="Arial" w:cs="Arial"/>
                <w:b w:val="0"/>
                <w:i w:val="0"/>
                <w:color w:val="202020"/>
                <w:sz w:val="17"/>
              </w:rPr>
              <w:t>Johann Munzlinger</w:t>
            </w:r>
          </w:p>
        </w:tc>
      </w:tr>
      <w:tr>
        <w:trPr>
          <w:cantSplit w:val="1"/>
        </w:trPr>
        <w:tc>
          <w:tcPr>
            <w:tcW w:type="dxa" w:w="4819"/>
            <w:tcMar>
              <w:top w:w="79" w:type="dxa"/>
              <w:start w:w="79" w:type="dxa"/>
              <w:bottom w:w="79" w:type="dxa"/>
              <w:end w:w="79" w:type="dxa"/>
            </w:tcMar>
            <w:vAlign w:val="center"/>
            <w:shd w:fill="D9EAF7"/>
          </w:tcPr>
          <w:p>
            <w:pPr>
              <w:spacing w:before="0" w:after="0" w:line="240" w:lineRule="auto"/>
              <w:ind w:left="0" w:firstLine="0"/>
            </w:pPr>
            <w:r/>
            <w:r>
              <w:rPr>
                <w:rFonts w:ascii="Arial" w:hAnsi="Arial" w:eastAsia="Arial" w:cs="Arial"/>
                <w:b/>
                <w:i w:val="0"/>
                <w:color w:val="17365D"/>
                <w:sz w:val="18"/>
              </w:rPr>
              <w:t>Autoria</w:t>
            </w:r>
          </w:p>
        </w:tc>
        <w:tc>
          <w:tcPr>
            <w:tcW w:type="dxa" w:w="4819"/>
            <w:tcMar>
              <w:top w:w="79" w:type="dxa"/>
              <w:start w:w="79" w:type="dxa"/>
              <w:bottom w:w="79" w:type="dxa"/>
              <w:end w:w="79" w:type="dxa"/>
            </w:tcMar>
            <w:vAlign w:val="center"/>
            <w:shd w:fill="FFFFFF"/>
          </w:tcPr>
          <w:p>
            <w:pPr>
              <w:spacing w:before="0" w:after="0" w:line="240" w:lineRule="auto"/>
              <w:ind w:left="0" w:firstLine="0"/>
            </w:pPr>
            <w:r/>
            <w:r>
              <w:rPr>
                <w:rFonts w:ascii="Arial" w:hAnsi="Arial" w:eastAsia="Arial" w:cs="Arial"/>
                <w:b w:val="0"/>
                <w:i w:val="0"/>
                <w:color w:val="202020"/>
                <w:sz w:val="17"/>
              </w:rPr>
              <w:t>Johann Munzlinger</w:t>
            </w:r>
          </w:p>
        </w:tc>
      </w:tr>
      <w:tr>
        <w:trPr>
          <w:cantSplit w:val="1"/>
        </w:trPr>
        <w:tc>
          <w:tcPr>
            <w:tcW w:type="dxa" w:w="4819"/>
            <w:tcMar>
              <w:top w:w="79" w:type="dxa"/>
              <w:start w:w="79" w:type="dxa"/>
              <w:bottom w:w="79" w:type="dxa"/>
              <w:end w:w="79" w:type="dxa"/>
            </w:tcMar>
            <w:vAlign w:val="center"/>
            <w:shd w:fill="D9EAF7"/>
          </w:tcPr>
          <w:p>
            <w:pPr>
              <w:spacing w:before="0" w:after="0" w:line="240" w:lineRule="auto"/>
              <w:ind w:left="0" w:firstLine="0"/>
            </w:pPr>
            <w:r/>
            <w:r>
              <w:rPr>
                <w:rFonts w:ascii="Arial" w:hAnsi="Arial" w:eastAsia="Arial" w:cs="Arial"/>
                <w:b/>
                <w:i w:val="0"/>
                <w:color w:val="17365D"/>
                <w:sz w:val="18"/>
              </w:rPr>
              <w:t>Auxílio de IA generativa</w:t>
            </w:r>
          </w:p>
        </w:tc>
        <w:tc>
          <w:tcPr>
            <w:tcW w:type="dxa" w:w="4819"/>
            <w:tcMar>
              <w:top w:w="79" w:type="dxa"/>
              <w:start w:w="79" w:type="dxa"/>
              <w:bottom w:w="79" w:type="dxa"/>
              <w:end w:w="79" w:type="dxa"/>
            </w:tcMar>
            <w:vAlign w:val="center"/>
            <w:shd w:fill="FFFFFF"/>
          </w:tcPr>
          <w:p>
            <w:pPr>
              <w:spacing w:before="0" w:after="0" w:line="240" w:lineRule="auto"/>
              <w:ind w:left="0" w:firstLine="0"/>
            </w:pPr>
            <w:r/>
            <w:r>
              <w:rPr>
                <w:rFonts w:ascii="Arial" w:hAnsi="Arial" w:eastAsia="Arial" w:cs="Arial"/>
                <w:b w:val="0"/>
                <w:i w:val="0"/>
                <w:color w:val="202020"/>
                <w:sz w:val="17"/>
              </w:rPr>
              <w:t>Documento estruturado e revisado com auxílio de IA generativa. A validação do conteúdo, da aplicabilidade e da adoção permanece sob responsabilidade humana.</w:t>
            </w:r>
          </w:p>
        </w:tc>
      </w:tr>
    </w:tbl>
    <w:p>
      <w:pPr>
        <w:spacing w:line="240" w:lineRule="exact" w:after="0"/>
      </w:p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2"/>
      </w:tblGrid>
      <w:tr>
        <w:trPr>
          <w:cantSplit/>
        </w:trPr>
        <w:tc>
          <w:tcPr>
            <w:tcW w:type="dxa" w:w="9632"/>
            <w:shd w:fill="F2F2F2" w:val="clear"/>
            <w:tcMar>
              <w:top w:w="79" w:type="dxa"/>
              <w:start w:w="79" w:type="dxa"/>
              <w:bottom w:w="79" w:type="dxa"/>
              <w:end w:w="79" w:type="dxa"/>
            </w:tcMar>
            <w:vAlign w:val="center"/>
          </w:tcPr>
          <w:p>
            <w:pPr>
              <w:spacing w:before="0" w:after="0" w:line="276" w:lineRule="auto"/>
            </w:pPr>
            <w:r>
              <w:rPr>
                <w:rFonts w:ascii="Arial" w:hAnsi="Arial" w:eastAsia="Arial"/>
                <w:b/>
                <w:color w:val="17365D"/>
                <w:sz w:val="18"/>
              </w:rPr>
              <w:t>Natureza do material</w:t>
            </w:r>
          </w:p>
          <w:p>
            <w:pPr>
              <w:spacing w:before="40" w:after="0" w:line="276" w:lineRule="auto"/>
            </w:pPr>
            <w:r>
              <w:rPr>
                <w:rFonts w:ascii="Arial" w:hAnsi="Arial" w:eastAsia="Arial"/>
                <w:b w:val="0"/>
                <w:color w:val="202020"/>
                <w:sz w:val="17"/>
              </w:rPr>
              <w:t>Diretriz interna e transversal de qualidade documental. Governa a construção e a validação do conteúdo, sem definir identidade visual ou mecanismos de materialização do artefato, que permanecem sob a Diretriz de Padronização Documental Institucional vigente. Seus critérios independem de ferramenta ou arquitetura operacional e podem ser aplicados em processos humanos, automatizados, assistidos por IA ou híbridos. Requisitos específicos de famílias documentais, áreas, processos ou obrigações permanecem em suas fontes próprias e não são incorporados por referência nominal nesta diretriz.</w:t>
            </w:r>
          </w:p>
        </w:tc>
      </w:tr>
    </w:tbl>
    <w:p>
      <w:pPr>
        <w:spacing w:line="240" w:lineRule="exact" w:after="0"/>
      </w:pPr>
      <w:r/>
    </w:p>
    <w:p>
      <w:pPr>
        <w:spacing w:before="0" w:after="0" w:line="240" w:lineRule="auto"/>
        <w:ind w:left="0" w:firstLine="0"/>
        <w:jc w:val="left"/>
      </w:pPr>
      <w:r>
        <w:rPr>
          <w:rFonts w:ascii="Arial" w:hAnsi="Arial" w:eastAsia="Arial" w:cs="Arial"/>
          <w:b w:val="0"/>
          <w:i w:val="0"/>
          <w:color w:val="666666"/>
          <w:sz w:val="16"/>
        </w:rPr>
        <w:t>Governança Documental • Qualidade de conteúdo • Diretriz interna</w:t>
      </w:r>
    </w:p>
    <w:p>
      <w:pPr>
        <w:sectPr>
          <w:headerReference w:type="default" r:id="rId2"/>
          <w:footerReference w:type="default" r:id="rId3"/>
          <w:pgSz w:w="12240" w:h="15840"/>
          <w:pgMar w:left="1361" w:right="1247" w:gutter="0" w:header="510" w:top="1247" w:footer="510" w:bottom="1134"/>
          <w:pgNumType w:fmt="decimal"/>
          <w:formProt w:val="false"/>
          <w:textDirection w:val="lrTb"/>
          <w:docGrid w:type="default" w:linePitch="360" w:charSpace="0"/>
        </w:sectPr>
      </w:pPr>
    </w:p>
    <w:p>
      <w:pPr>
        <w:spacing w:before="0" w:after="240" w:line="240" w:lineRule="auto"/>
        <w:ind w:left="0" w:firstLine="0"/>
        <w:jc w:val="left"/>
      </w:pPr>
      <w:r>
        <w:rPr>
          <w:rFonts w:ascii="Calibri" w:hAnsi="Calibri" w:eastAsia="Calibri" w:cs="Calibri"/>
          <w:b/>
          <w:i w:val="0"/>
          <w:color w:val="17365D"/>
          <w:sz w:val="31"/>
        </w:rPr>
        <w:t>Sumário</w:t>
      </w:r>
    </w:p>
    <w:p>
      <w:pPr>
        <w:pStyle w:val="TOCEntry1Custom"/>
      </w:pPr>
      <w:r>
        <w:t>1 Finalidade, escopo e posição na arquitetura documental</w:t>
        <w:tab/>
        <w:t>3</w:t>
      </w:r>
    </w:p>
    <w:p>
      <w:pPr>
        <w:pStyle w:val="TOCEntry2Custom"/>
      </w:pPr>
      <w:r>
        <w:t>1.1 Relação com as demais fontes de governança documental</w:t>
        <w:tab/>
        <w:t>3</w:t>
      </w:r>
    </w:p>
    <w:p>
      <w:pPr>
        <w:pStyle w:val="TOCEntry2Custom"/>
      </w:pPr>
      <w:r>
        <w:t>1.2 Independência da forma de operacionalização</w:t>
        <w:tab/>
        <w:t>3</w:t>
      </w:r>
    </w:p>
    <w:p>
      <w:pPr>
        <w:pStyle w:val="TOCEntry1Custom"/>
      </w:pPr>
      <w:r>
        <w:t>2 Aplicação, complementaridade e tratamento de conflitos</w:t>
        <w:tab/>
        <w:t>3</w:t>
      </w:r>
    </w:p>
    <w:p>
      <w:pPr>
        <w:pStyle w:val="TOCEntry1Custom"/>
      </w:pPr>
      <w:r>
        <w:t>3 Base normativa</w:t>
        <w:tab/>
        <w:t>4</w:t>
      </w:r>
    </w:p>
    <w:p>
      <w:pPr>
        <w:pStyle w:val="TOCEntry2Custom"/>
      </w:pPr>
      <w:r>
        <w:t>3.1 Referências normativas</w:t>
        <w:tab/>
        <w:t>4</w:t>
      </w:r>
    </w:p>
    <w:p>
      <w:pPr>
        <w:pStyle w:val="TOCEntry2Custom"/>
      </w:pPr>
      <w:r>
        <w:t>3.2 Critério de transversalidade</w:t>
        <w:tab/>
        <w:t>4</w:t>
      </w:r>
    </w:p>
    <w:p>
      <w:pPr>
        <w:pStyle w:val="TOCEntry1Custom"/>
      </w:pPr>
      <w:r>
        <w:t>4 Finalidade, público e resultado esperado</w:t>
        <w:tab/>
        <w:t>4</w:t>
      </w:r>
    </w:p>
    <w:p>
      <w:pPr>
        <w:pStyle w:val="TOCEntry2Custom"/>
      </w:pPr>
      <w:r>
        <w:t>4.1 Contexto mínimo antes da elaboração</w:t>
        <w:tab/>
        <w:t>4</w:t>
      </w:r>
    </w:p>
    <w:p>
      <w:pPr>
        <w:pStyle w:val="TOCEntry1Custom"/>
      </w:pPr>
      <w:r>
        <w:t>5 Critérios gerais de qualidade documental</w:t>
        <w:tab/>
        <w:t>5</w:t>
      </w:r>
    </w:p>
    <w:p>
      <w:pPr>
        <w:pStyle w:val="TOCEntry2Custom"/>
      </w:pPr>
      <w:r>
        <w:t>5.1 Clareza</w:t>
        <w:tab/>
        <w:t>5</w:t>
      </w:r>
    </w:p>
    <w:p>
      <w:pPr>
        <w:pStyle w:val="TOCEntry2Custom"/>
      </w:pPr>
      <w:r>
        <w:t>5.2 Compreensibilidade e adequação ao público</w:t>
        <w:tab/>
        <w:t>5</w:t>
      </w:r>
    </w:p>
    <w:p>
      <w:pPr>
        <w:pStyle w:val="TOCEntry2Custom"/>
      </w:pPr>
      <w:r>
        <w:t>5.3 Navegabilidade semântica</w:t>
        <w:tab/>
        <w:t>6</w:t>
      </w:r>
    </w:p>
    <w:p>
      <w:pPr>
        <w:pStyle w:val="TOCEntry2Custom"/>
      </w:pPr>
      <w:r>
        <w:t>5.4 Correção e coerência</w:t>
        <w:tab/>
        <w:t>6</w:t>
      </w:r>
    </w:p>
    <w:p>
      <w:pPr>
        <w:pStyle w:val="TOCEntry2Custom"/>
      </w:pPr>
      <w:r>
        <w:t>5.5 Relevância e proporcionalidade</w:t>
        <w:tab/>
        <w:t>6</w:t>
      </w:r>
    </w:p>
    <w:p>
      <w:pPr>
        <w:pStyle w:val="TOCEntry2Custom"/>
      </w:pPr>
      <w:r>
        <w:t>5.6 Autossuficiência contextual</w:t>
        <w:tab/>
        <w:t>6</w:t>
      </w:r>
    </w:p>
    <w:p>
      <w:pPr>
        <w:pStyle w:val="TOCEntry2Custom"/>
      </w:pPr>
      <w:r>
        <w:t>5.7 Coesão textual e construção de parágrafos</w:t>
        <w:tab/>
        <w:t>6</w:t>
      </w:r>
    </w:p>
    <w:p>
      <w:pPr>
        <w:pStyle w:val="TOCEntry1Custom"/>
      </w:pPr>
      <w:r>
        <w:t>6 Estrutura e progressão do conteúdo</w:t>
        <w:tab/>
        <w:t>6</w:t>
      </w:r>
    </w:p>
    <w:p>
      <w:pPr>
        <w:pStyle w:val="TOCEntry2Custom"/>
      </w:pPr>
      <w:r>
        <w:t>6.1 Agrupamento, sequência e localização da informação</w:t>
        <w:tab/>
        <w:t>6</w:t>
      </w:r>
    </w:p>
    <w:p>
      <w:pPr>
        <w:pStyle w:val="TOCEntry2Custom"/>
      </w:pPr>
      <w:r>
        <w:t>6.2 Consistência terminológica</w:t>
        <w:tab/>
        <w:t>7</w:t>
      </w:r>
    </w:p>
    <w:p>
      <w:pPr>
        <w:pStyle w:val="TOCEntry2Custom"/>
      </w:pPr>
      <w:r>
        <w:t>6.3 Escolha proporcional da forma de representação</w:t>
        <w:tab/>
        <w:t>7</w:t>
      </w:r>
    </w:p>
    <w:p>
      <w:pPr>
        <w:pStyle w:val="TOCEntry1Custom"/>
      </w:pPr>
      <w:r>
        <w:t>7 Proveniência, fundamentação e rastreabilidade</w:t>
        <w:tab/>
        <w:t>7</w:t>
      </w:r>
    </w:p>
    <w:p>
      <w:pPr>
        <w:pStyle w:val="TOCEntry2Custom"/>
      </w:pPr>
      <w:r>
        <w:t>7.1 Tratamento conforme a natureza da afirmação</w:t>
        <w:tab/>
        <w:t>7</w:t>
      </w:r>
    </w:p>
    <w:p>
      <w:pPr>
        <w:pStyle w:val="TOCEntry2Custom"/>
      </w:pPr>
      <w:r>
        <w:t>7.2 Seleção e uso de fontes</w:t>
        <w:tab/>
        <w:t>8</w:t>
      </w:r>
    </w:p>
    <w:p>
      <w:pPr>
        <w:pStyle w:val="TOCEntry1Custom"/>
      </w:pPr>
      <w:r>
        <w:t>8 Fonte autoritativa, dependências e redução de duplicação</w:t>
        <w:tab/>
        <w:t>8</w:t>
      </w:r>
    </w:p>
    <w:p>
      <w:pPr>
        <w:pStyle w:val="TOCEntry1Custom"/>
      </w:pPr>
      <w:r>
        <w:t>9 Requisitos específicos fora desta diretriz</w:t>
        <w:tab/>
        <w:t>8</w:t>
      </w:r>
    </w:p>
    <w:p>
      <w:pPr>
        <w:pStyle w:val="TOCEntry1Custom"/>
      </w:pPr>
      <w:r>
        <w:t>10 Processo de construção e validação do conteúdo</w:t>
        <w:tab/>
        <w:t>8</w:t>
      </w:r>
    </w:p>
    <w:p>
      <w:pPr>
        <w:pStyle w:val="TOCEntry2Custom"/>
      </w:pPr>
      <w:r>
        <w:t>10.1 Gate de qualidade de conteúdo</w:t>
        <w:tab/>
        <w:t>9</w:t>
      </w:r>
    </w:p>
    <w:p>
      <w:pPr>
        <w:pStyle w:val="TOCEntry1Custom"/>
      </w:pPr>
      <w:r>
        <w:t>11 Instrução operacional consolidada</w:t>
        <w:tab/>
        <w:t>9</w:t>
      </w:r>
    </w:p>
    <w:p>
      <w:pPr>
        <w:pStyle w:val="TOCEntry1Custom"/>
      </w:pPr>
      <w:r>
        <w:t>12 Controle de Revisão</w:t>
        <w:tab/>
        <w:t>10</w:t>
      </w:r>
    </w:p>
    <w:p>
      <w:pPr>
        <w:pStyle w:val="TOCEntry1Custom"/>
      </w:pPr>
      <w:r>
        <w:t>Referências</w:t>
        <w:tab/>
        <w:t>10</w:t>
      </w:r>
    </w:p>
    <w:p>
      <w:pPr>
        <w:sectPr>
          <w:headerReference w:type="default" r:id="rId9"/>
          <w:footerReference w:type="default" r:id="rId10"/>
          <w:pgSz w:w="12240" w:h="15840"/>
          <w:pgMar w:left="1361" w:right="1247" w:gutter="0" w:header="510" w:top="1247" w:footer="510" w:bottom="1134"/>
          <w:pgNumType w:fmt="decimal"/>
          <w:formProt w:val="false"/>
          <w:textDirection w:val="lrTb"/>
          <w:docGrid w:type="default" w:linePitch="360" w:charSpace="0"/>
        </w:sectPr>
      </w:pPr>
    </w:p>
    <w:p>
      <w:pPr>
        <w:pStyle w:val="Heading1"/>
      </w:pPr>
      <w:r>
        <w:t>1 Finalidade, escopo e posição na arquitetura documental</w:t>
      </w:r>
    </w:p>
    <w:p>
      <w:pPr>
        <w:jc w:val="left"/>
      </w:pPr>
      <w:r>
        <w:t>Esta diretriz estabelece critérios transversais para a qualidade e a construção do conteúdo de documentos institucionais. Seu objeto é o conteúdo: finalidade, público, clareza, organização, fundamentação, rastreabilidade, proporcionalidade e capacidade de uso. Regras de apresentação, identidade visual, configuração de página, tipografia, paginação, componentes gráficos e controles formais do artefato são regidas pela Diretriz de Padronização Documental Institucional vigente.</w:t>
      </w:r>
    </w:p>
    <w:p>
      <w:pPr>
        <w:jc w:val="left"/>
      </w:pPr>
      <w:r>
        <w:t>A aplicação é institucional e independe da área responsável ou da tecnologia empregada. A natureza do documento, o público previsto, o grau de formalidade e as fontes específicas aplicáveis continuam determinando o nível de profundidade e a estrutura necessária em cada caso.</w:t>
      </w:r>
    </w:p>
    <w:p>
      <w:pPr>
        <w:pStyle w:val="Heading2"/>
      </w:pPr>
      <w:r>
        <w:t>1.1 Relação com as demais fontes de governança documental</w:t>
      </w:r>
    </w:p>
    <w:p>
      <w:pPr>
        <w:jc w:val="left"/>
      </w:pPr>
      <w:r>
        <w:t>As fontes transversais e específicas devem possuir responsabilidades distintas, evitando duplicação normativa: esta diretriz governa a qualidade e a construção do conteúdo; a Diretriz de Padronização Documental Institucional vigente governa materialização, apresentação e controles formais; requisitos próprios de famílias documentais, áreas, processos ou obrigações permanecem em suas fontes específicas aplicáveis, sem se incorporar ao núcleo transversal apenas por recorrência local.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2"/>
      </w:tblGrid>
      <w:tr>
        <w:trPr>
          <w:cantSplit/>
        </w:trPr>
        <w:tc>
          <w:tcPr>
            <w:tcW w:type="dxa" w:w="9632"/>
            <w:shd w:fill="F2F2F2" w:val="clear"/>
            <w:tcMar>
              <w:top w:w="79" w:type="dxa"/>
              <w:start w:w="79" w:type="dxa"/>
              <w:bottom w:w="79" w:type="dxa"/>
              <w:end w:w="79" w:type="dxa"/>
            </w:tcMar>
            <w:vAlign w:val="center"/>
          </w:tcPr>
          <w:p>
            <w:pPr>
              <w:spacing w:before="0" w:after="0" w:line="276" w:lineRule="auto"/>
            </w:pPr>
            <w:r>
              <w:rPr>
                <w:rFonts w:ascii="Arial" w:hAnsi="Arial" w:eastAsia="Arial"/>
                <w:b/>
                <w:color w:val="17365D"/>
                <w:sz w:val="18"/>
              </w:rPr>
              <w:t>Princípio de separação</w:t>
            </w:r>
          </w:p>
          <w:p>
            <w:pPr>
              <w:spacing w:before="40" w:after="0" w:line="276" w:lineRule="auto"/>
            </w:pPr>
            <w:r>
              <w:rPr>
                <w:rFonts w:ascii="Arial" w:hAnsi="Arial" w:eastAsia="Arial"/>
                <w:b w:val="0"/>
                <w:color w:val="202020"/>
                <w:sz w:val="17"/>
              </w:rPr>
              <w:t>A diretriz de conteúdo define o que um conteúdo institucional adequado deve alcançar. A diretriz de padronização define como o artefato deve ser materializado e apresentado. Requisitos particulares permanecem em fontes específicas aplicáveis, sem integrar o núcleo transversal das duas diretrizes.</w:t>
            </w:r>
          </w:p>
        </w:tc>
      </w:tr>
    </w:tbl>
    <w:p>
      <w:pPr>
        <w:pStyle w:val="Heading2"/>
      </w:pPr>
      <w:r>
        <w:t>1.2 Independência da forma de operacionalização</w:t>
      </w:r>
    </w:p>
    <w:p>
      <w:pPr>
        <w:jc w:val="left"/>
      </w:pPr>
      <w:r>
        <w:t>Os critérios desta diretriz devem poder ser executados por pessoas, processos automatizados, sistemas assistidos por IA ou fluxos híbridos. A forma de operacionalização pode variar sem alterar o resultado normativo esperado. Esta diretriz não pressupõe projeto, tópico, agente, workspace, produto, fornecedor, modelo de IA ou funcionalidade específica.</w:t>
      </w:r>
    </w:p>
    <w:p>
      <w:pPr>
        <w:jc w:val="left"/>
      </w:pPr>
      <w:r>
        <w:t>Quando um mecanismo de execução traduzir esta diretriz em prompts, instruções, automações, checklists ou configurações locais, essa tradução deve preservar seu significado e não criar regras concorrentes ou substituir as fontes normativas vigentes.</w:t>
      </w:r>
    </w:p>
    <w:p>
      <w:pPr>
        <w:pStyle w:val="Heading1"/>
      </w:pPr>
      <w:r>
        <w:t>2 Aplicação, complementaridade e tratamento de conflitos</w:t>
      </w:r>
    </w:p>
    <w:p>
      <w:pPr>
        <w:jc w:val="left"/>
      </w:pPr>
      <w:r>
        <w:t>Antes de elaborar ou revisar conteúdo, identifique as fontes aplicáveis e o papel de cada uma. Esta diretriz funciona como regra transversal para aspectos de qualidade do conteúdo que não estejam definidos de modo mais específico por norma, template, diretriz de família documental, obrigação regulatória ou decisão institucional vigente.</w:t>
      </w:r>
    </w:p>
    <w:p>
      <w:pPr>
        <w:jc w:val="left"/>
      </w:pPr>
      <w:r>
        <w:t>Se houver incompatibilidade material entre fontes aplicáveis, não concilie silenciosamente as regras nem escolha uma delas por conveniência. O conflito, seu impacto e as alternativas devem ser explicitados e submetidos ao responsável pela decisão antes da execução da parte afetada. Trade-offs entre alternativas válidas devem ser analisados; não constituem, por si só, conflito normativo.</w:t>
      </w:r>
    </w:p>
    <w:p>
      <w:pPr>
        <w:jc w:val="left"/>
      </w:pPr>
      <w:r>
        <w:t>Ambiguidades triviais ou seguramente inferíveis pelo contexto não devem gerar burocracia. Adote a interpretação mais coerente quando ela não alterar materialmente o resultado; quando a ambiguidade puder mudar finalidade, escopo, responsabilidade, decisão ou significado, ela deve ser resolvida antes da consolidação do conteúdo.</w:t>
      </w:r>
    </w:p>
    <w:p>
      <w:pPr>
        <w:pStyle w:val="Heading1"/>
      </w:pPr>
      <w:r>
        <w:t>3 Base normativa</w:t>
      </w:r>
    </w:p>
    <w:p>
      <w:pPr>
        <w:jc w:val="left"/>
      </w:pPr>
      <w:r>
        <w:t>A base desta diretriz combina princípios de informação documentada, linguagem clara, citações e referências com critérios institucionais definidos para qualidade de conteúdo. A adoção é funcional: referências externas fundamentam aspectos aplicáveis, sem transformar documentos corporativos em trabalhos acadêmicos ou importar requisitos incompatíveis com sua finalidade.</w:t>
      </w:r>
    </w:p>
    <w:p>
      <w:pPr>
        <w:pStyle w:val="Heading2"/>
      </w:pPr>
      <w:r>
        <w:t>3.1 Referências normativas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1"/>
        <w:gridCol w:w="3211"/>
        <w:gridCol w:w="3211"/>
      </w:tblGrid>
      <w:tr>
        <w:trPr>
          <w:tblHeader w:val="true"/>
          <w:cantSplit/>
        </w:trPr>
        <w:tc>
          <w:tcPr>
            <w:tcW w:type="dxa" w:w="2500"/>
            <w:shd w:fill="17365D" w:val="clear"/>
            <w:vAlign w:val="center"/>
            <w:tcMar>
              <w:top w:w="79" w:type="dxa"/>
              <w:start w:w="79" w:type="dxa"/>
              <w:bottom w:w="79" w:type="dxa"/>
              <w:end w:w="79" w:type="dxa"/>
            </w:tcMar>
          </w:tcPr>
          <w:p>
            <w:pPr>
              <w:spacing w:before="0" w:after="0" w:line="240" w:lineRule="auto"/>
              <w:jc w:val="left"/>
            </w:pPr>
            <w:r>
              <w:rPr>
                <w:rFonts w:ascii="Arial" w:hAnsi="Arial" w:eastAsia="Arial"/>
                <w:b/>
                <w:color w:val="FFFFFF"/>
                <w:sz w:val="18"/>
              </w:rPr>
            </w:r>
            <w:r>
              <w:rPr>
                <w:rFonts w:ascii="Arial" w:hAnsi="Arial" w:eastAsia="Arial" w:cs="Arial"/>
                <w:b/>
                <w:color w:val="FFFFFF"/>
                <w:sz w:val="18"/>
              </w:rPr>
              <w:t>Referência</w:t>
            </w:r>
          </w:p>
        </w:tc>
        <w:tc>
          <w:tcPr>
            <w:tcW w:type="dxa" w:w="2300"/>
            <w:shd w:fill="17365D" w:val="clear"/>
            <w:vAlign w:val="center"/>
            <w:tcMar>
              <w:top w:w="79" w:type="dxa"/>
              <w:start w:w="79" w:type="dxa"/>
              <w:bottom w:w="79" w:type="dxa"/>
              <w:end w:w="79" w:type="dxa"/>
            </w:tcMar>
          </w:tcPr>
          <w:p>
            <w:pPr>
              <w:spacing w:before="0" w:after="0" w:line="240" w:lineRule="auto"/>
              <w:jc w:val="left"/>
            </w:pPr>
            <w:r>
              <w:rPr>
                <w:rFonts w:ascii="Arial" w:hAnsi="Arial" w:eastAsia="Arial"/>
                <w:b/>
                <w:color w:val="FFFFFF"/>
                <w:sz w:val="18"/>
              </w:rPr>
            </w:r>
            <w:r>
              <w:rPr>
                <w:rFonts w:ascii="Arial" w:hAnsi="Arial" w:eastAsia="Arial" w:cs="Arial"/>
                <w:b/>
                <w:color w:val="FFFFFF"/>
                <w:sz w:val="18"/>
              </w:rPr>
              <w:t>Papel nesta diretriz</w:t>
            </w:r>
          </w:p>
        </w:tc>
        <w:tc>
          <w:tcPr>
            <w:tcW w:type="dxa" w:w="4832"/>
            <w:shd w:fill="17365D" w:val="clear"/>
            <w:vAlign w:val="center"/>
            <w:tcMar>
              <w:top w:w="79" w:type="dxa"/>
              <w:start w:w="79" w:type="dxa"/>
              <w:bottom w:w="79" w:type="dxa"/>
              <w:end w:w="79" w:type="dxa"/>
            </w:tcMar>
          </w:tcPr>
          <w:p>
            <w:pPr>
              <w:spacing w:before="0" w:after="0" w:line="240" w:lineRule="auto"/>
              <w:jc w:val="left"/>
            </w:pPr>
            <w:r>
              <w:rPr>
                <w:rFonts w:ascii="Arial" w:hAnsi="Arial" w:eastAsia="Arial"/>
                <w:b/>
                <w:color w:val="FFFFFF"/>
                <w:sz w:val="18"/>
              </w:rPr>
            </w:r>
            <w:r>
              <w:rPr>
                <w:rFonts w:ascii="Arial" w:hAnsi="Arial" w:eastAsia="Arial" w:cs="Arial"/>
                <w:b/>
                <w:color w:val="FFFFFF"/>
                <w:sz w:val="18"/>
              </w:rPr>
              <w:t>Aplicação institucional</w:t>
            </w:r>
          </w:p>
        </w:tc>
      </w:tr>
      <w:tr>
        <w:trPr>
          <w:cantSplit/>
        </w:trPr>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ABNT NBR ISO 10013:2021</w:t>
            </w:r>
          </w:p>
        </w:tc>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Informação documentada</w:t>
            </w:r>
          </w:p>
        </w:tc>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Orienta desenvolvimento e manutenção de informação documentada adequada às necessidades da organização.</w:t>
            </w:r>
          </w:p>
        </w:tc>
      </w:tr>
      <w:tr>
        <w:trPr>
          <w:cantSplit/>
        </w:trPr>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ISO 24495-1:2023</w:t>
            </w:r>
          </w:p>
        </w:tc>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Linguagem clara</w:t>
            </w:r>
          </w:p>
        </w:tc>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Oferece princípios para produção de documentos relevantes, localizáveis, compreensíveis e utilizáveis, aplicáveis também à escrita técnica.</w:t>
            </w:r>
          </w:p>
        </w:tc>
      </w:tr>
      <w:tr>
        <w:trPr>
          <w:cantSplit/>
        </w:trPr>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ABNT NBR 10520:2023</w:t>
            </w:r>
          </w:p>
        </w:tc>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Citações</w:t>
            </w:r>
          </w:p>
        </w:tc>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Orienta a apresentação de citações quando o conteúdo utilizar fontes externas.</w:t>
            </w:r>
          </w:p>
        </w:tc>
      </w:tr>
      <w:tr>
        <w:trPr>
          <w:cantSplit/>
        </w:trPr>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ABNT NBR 6023:2025</w:t>
            </w:r>
          </w:p>
        </w:tc>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Referências</w:t>
            </w:r>
          </w:p>
        </w:tc>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Orienta a elaboração de referências para as fontes efetivamente utilizadas como fundamento.</w:t>
            </w:r>
          </w:p>
        </w:tc>
      </w:tr>
    </w:tbl>
    <w:p>
      <w:pPr>
        <w:spacing w:before="120"/>
        <w:jc w:val="left"/>
      </w:pPr>
      <w:r>
        <w:t>A ISO 24495-1:2023 é adotada como referência subsidiária de linguagem clara e qualidade textual. Esta diretriz não a utiliza para substituir requisitos específicos de acessibilidade digital ou de acessibilidade para pessoas com deficiência, que devem ser tratados pelas normas e obrigações próprias quando aplicáveis.</w:t>
      </w:r>
    </w:p>
    <w:p>
      <w:pPr>
        <w:pStyle w:val="Heading2"/>
      </w:pPr>
      <w:r>
        <w:t>3.2 Critério de transversalidade</w:t>
      </w:r>
    </w:p>
    <w:p>
      <w:pPr>
        <w:jc w:val="left"/>
      </w:pPr>
      <w:r>
        <w:t>Esta diretriz estabelece apenas critérios aplicáveis de forma transversal aos documentos institucionais. Técnicas, estruturas, campos, etapas ou mecanismos próprios de uma família documental, área, processo ou obrigação devem permanecer em suas fontes específicas e não devem ser incorporados aqui apenas por recorrência local.</w:t>
      </w:r>
    </w:p>
    <w:p>
      <w:pPr>
        <w:pStyle w:val="ListBullet"/>
        <w:spacing w:after="90" w:line="276" w:lineRule="auto"/>
        <w:ind w:left="482" w:hanging="227"/>
        <w:jc w:val="left"/>
      </w:pPr>
      <w:r>
        <w:t>Não transformar técnicas ou estruturas específicas em checklist institucional universal.</w:t>
      </w:r>
    </w:p>
    <w:p>
      <w:pPr>
        <w:pStyle w:val="ListBullet"/>
        <w:spacing w:after="90" w:line="276" w:lineRule="auto"/>
        <w:ind w:left="482" w:hanging="227"/>
        <w:jc w:val="left"/>
      </w:pPr>
      <w:r>
        <w:t>Não citar nominalmente fontes internas não transversais quando uma referência genérica à fonte específica aplicável for suficiente.</w:t>
      </w:r>
    </w:p>
    <w:p>
      <w:pPr>
        <w:pStyle w:val="ListBullet"/>
        <w:spacing w:after="90" w:line="276" w:lineRule="auto"/>
        <w:ind w:left="482" w:hanging="227"/>
        <w:jc w:val="left"/>
      </w:pPr>
      <w:r>
        <w:t>Quando um requisito específico for necessário, aplicá-lo a partir de sua fonte própria sem reproduzi-lo nesta diretriz.</w:t>
      </w:r>
    </w:p>
    <w:p>
      <w:pPr>
        <w:pStyle w:val="Heading1"/>
      </w:pPr>
      <w:r>
        <w:t>4 Finalidade, público e resultado esperado</w:t>
      </w:r>
    </w:p>
    <w:p>
      <w:pPr>
        <w:jc w:val="left"/>
      </w:pPr>
      <w:r>
        <w:t>A qualidade do conteúdo deve ser avaliada em função do uso pretendido, e não da quantidade de seções ou do volume textual. Antes de estruturar o documento, determine quem o utilizará, para quê, qual decisão, ação ou entendimento ele deve apoiar e quais fontes já contêm detalhes que não precisam ser reproduzidos.</w:t>
      </w:r>
    </w:p>
    <w:p>
      <w:pPr>
        <w:pStyle w:val="Heading2"/>
      </w:pPr>
      <w:r>
        <w:t>4.1 Contexto mínimo antes da elaboração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16"/>
        <w:gridCol w:w="4816"/>
      </w:tblGrid>
      <w:tr>
        <w:trPr>
          <w:tblHeader w:val="true"/>
          <w:cantSplit/>
        </w:trPr>
        <w:tc>
          <w:tcPr>
            <w:tcW w:type="dxa" w:w="2600"/>
            <w:shd w:fill="17365D" w:val="clear"/>
            <w:vAlign w:val="center"/>
            <w:tcMar>
              <w:top w:w="79" w:type="dxa"/>
              <w:start w:w="79" w:type="dxa"/>
              <w:bottom w:w="79" w:type="dxa"/>
              <w:end w:w="79" w:type="dxa"/>
            </w:tcMar>
          </w:tcPr>
          <w:p>
            <w:pPr>
              <w:spacing w:before="0" w:after="0" w:line="240" w:lineRule="auto"/>
              <w:jc w:val="left"/>
            </w:pPr>
            <w:r>
              <w:rPr>
                <w:rFonts w:ascii="Arial" w:hAnsi="Arial" w:eastAsia="Arial"/>
                <w:b/>
                <w:color w:val="FFFFFF"/>
                <w:sz w:val="18"/>
              </w:rPr>
            </w:r>
            <w:r>
              <w:rPr>
                <w:rFonts w:ascii="Arial" w:hAnsi="Arial" w:eastAsia="Arial" w:cs="Arial"/>
                <w:b/>
                <w:color w:val="FFFFFF"/>
                <w:sz w:val="18"/>
              </w:rPr>
              <w:t>Aspecto</w:t>
            </w:r>
          </w:p>
        </w:tc>
        <w:tc>
          <w:tcPr>
            <w:tcW w:type="dxa" w:w="7032"/>
            <w:shd w:fill="17365D" w:val="clear"/>
            <w:vAlign w:val="center"/>
            <w:tcMar>
              <w:top w:w="79" w:type="dxa"/>
              <w:start w:w="79" w:type="dxa"/>
              <w:bottom w:w="79" w:type="dxa"/>
              <w:end w:w="79" w:type="dxa"/>
            </w:tcMar>
          </w:tcPr>
          <w:p>
            <w:pPr>
              <w:spacing w:before="0" w:after="0" w:line="240" w:lineRule="auto"/>
              <w:jc w:val="left"/>
            </w:pPr>
            <w:r>
              <w:rPr>
                <w:rFonts w:ascii="Arial" w:hAnsi="Arial" w:eastAsia="Arial"/>
                <w:b/>
                <w:color w:val="FFFFFF"/>
                <w:sz w:val="18"/>
              </w:rPr>
            </w:r>
            <w:r>
              <w:rPr>
                <w:rFonts w:ascii="Arial" w:hAnsi="Arial" w:eastAsia="Arial" w:cs="Arial"/>
                <w:b/>
                <w:color w:val="FFFFFF"/>
                <w:sz w:val="18"/>
              </w:rPr>
              <w:t>Pergunta de construção</w:t>
            </w:r>
          </w:p>
        </w:tc>
      </w:tr>
      <w:tr>
        <w:trPr>
          <w:cantSplit/>
        </w:trPr>
        <w:tc>
          <w:tcPr>
            <w:tcW w:type="dxa" w:w="4816"/>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Finalidade</w:t>
            </w:r>
          </w:p>
        </w:tc>
        <w:tc>
          <w:tcPr>
            <w:tcW w:type="dxa" w:w="4816"/>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Que problema documental o artefato resolve e qual resultado deve produzir.</w:t>
            </w:r>
          </w:p>
        </w:tc>
      </w:tr>
      <w:tr>
        <w:trPr>
          <w:cantSplit/>
        </w:trPr>
        <w:tc>
          <w:tcPr>
            <w:tcW w:type="dxa" w:w="4816"/>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Público previsto</w:t>
            </w:r>
          </w:p>
        </w:tc>
        <w:tc>
          <w:tcPr>
            <w:tcW w:type="dxa" w:w="4816"/>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Quem precisa compreender, consultar, decidir ou executar algo a partir do conteúdo.</w:t>
            </w:r>
          </w:p>
        </w:tc>
      </w:tr>
      <w:tr>
        <w:trPr>
          <w:cantSplit/>
        </w:trPr>
        <w:tc>
          <w:tcPr>
            <w:tcW w:type="dxa" w:w="4816"/>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Resultado esperado</w:t>
            </w:r>
          </w:p>
        </w:tc>
        <w:tc>
          <w:tcPr>
            <w:tcW w:type="dxa" w:w="4816"/>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Qual entendimento, decisão, ação, controle ou referência o documento deve viabilizar.</w:t>
            </w:r>
          </w:p>
        </w:tc>
      </w:tr>
      <w:tr>
        <w:trPr>
          <w:cantSplit/>
        </w:trPr>
        <w:tc>
          <w:tcPr>
            <w:tcW w:type="dxa" w:w="4816"/>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Escopo e limites</w:t>
            </w:r>
          </w:p>
        </w:tc>
        <w:tc>
          <w:tcPr>
            <w:tcW w:type="dxa" w:w="4816"/>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O que pertence ao artefato e o que deve permanecer em outra fonte.</w:t>
            </w:r>
          </w:p>
        </w:tc>
      </w:tr>
      <w:tr>
        <w:trPr>
          <w:cantSplit/>
        </w:trPr>
        <w:tc>
          <w:tcPr>
            <w:tcW w:type="dxa" w:w="4816"/>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Fontes aplicáveis</w:t>
            </w:r>
          </w:p>
        </w:tc>
        <w:tc>
          <w:tcPr>
            <w:tcW w:type="dxa" w:w="4816"/>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Normas, decisões, dados, registros, templates e artefatos autoritativos que condicionam o conteúdo.</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2"/>
      </w:tblGrid>
      <w:tr>
        <w:trPr>
          <w:cantSplit/>
        </w:trPr>
        <w:tc>
          <w:tcPr>
            <w:tcW w:type="dxa" w:w="9632"/>
            <w:shd w:fill="F2F2F2" w:val="clear"/>
            <w:tcMar>
              <w:top w:w="79" w:type="dxa"/>
              <w:start w:w="79" w:type="dxa"/>
              <w:bottom w:w="79" w:type="dxa"/>
              <w:end w:w="79" w:type="dxa"/>
            </w:tcMar>
            <w:vAlign w:val="center"/>
          </w:tcPr>
          <w:p>
            <w:pPr>
              <w:spacing w:before="0" w:after="0" w:line="276" w:lineRule="auto"/>
            </w:pPr>
            <w:r>
              <w:rPr>
                <w:rFonts w:ascii="Arial" w:hAnsi="Arial" w:eastAsia="Arial"/>
                <w:b/>
                <w:color w:val="17365D"/>
                <w:sz w:val="18"/>
              </w:rPr>
              <w:t>Critério institucional</w:t>
            </w:r>
          </w:p>
          <w:p>
            <w:pPr>
              <w:spacing w:before="40" w:after="0" w:line="276" w:lineRule="auto"/>
            </w:pPr>
            <w:r>
              <w:rPr>
                <w:rFonts w:ascii="Arial" w:hAnsi="Arial" w:eastAsia="Arial"/>
                <w:b w:val="0"/>
                <w:color w:val="202020"/>
                <w:sz w:val="17"/>
              </w:rPr>
              <w:t>A estrutura deve servir à finalidade e ao leitor. Não reproduza uma arquitetura documental por hábito, nem aumente o documento para aparentar completude.</w:t>
            </w:r>
          </w:p>
        </w:tc>
      </w:tr>
    </w:tbl>
    <w:p>
      <w:pPr>
        <w:pStyle w:val="Heading1"/>
      </w:pPr>
      <w:r>
        <w:t>5 Critérios gerais de qualidade documental</w:t>
      </w:r>
    </w:p>
    <w:p>
      <w:pPr>
        <w:jc w:val="left"/>
      </w:pPr>
      <w:r>
        <w:t>Os critérios abaixo se complementam e devem ser aplicados proporcionalmente à finalidade e ao público. Eles definem resultados de qualidade, não uma estrutura obrigatória de seções.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1"/>
        <w:gridCol w:w="3211"/>
        <w:gridCol w:w="3211"/>
      </w:tblGrid>
      <w:tr>
        <w:trPr>
          <w:tblHeader w:val="true"/>
          <w:cantSplit/>
        </w:trPr>
        <w:tc>
          <w:tcPr>
            <w:tcW w:type="dxa" w:w="1900"/>
            <w:shd w:fill="17365D" w:val="clear"/>
            <w:vAlign w:val="center"/>
            <w:tcMar>
              <w:top w:w="79" w:type="dxa"/>
              <w:start w:w="79" w:type="dxa"/>
              <w:bottom w:w="79" w:type="dxa"/>
              <w:end w:w="79" w:type="dxa"/>
            </w:tcMar>
          </w:tcPr>
          <w:p>
            <w:pPr>
              <w:spacing w:before="0" w:after="0" w:line="240" w:lineRule="auto"/>
              <w:jc w:val="left"/>
            </w:pPr>
            <w:r>
              <w:rPr>
                <w:rFonts w:ascii="Arial" w:hAnsi="Arial" w:eastAsia="Arial"/>
                <w:b/>
                <w:color w:val="FFFFFF"/>
                <w:sz w:val="18"/>
              </w:rPr>
            </w:r>
            <w:r>
              <w:rPr>
                <w:rFonts w:ascii="Arial" w:hAnsi="Arial" w:eastAsia="Arial" w:cs="Arial"/>
                <w:b/>
                <w:color w:val="FFFFFF"/>
                <w:sz w:val="18"/>
              </w:rPr>
              <w:t>Critério</w:t>
            </w:r>
          </w:p>
        </w:tc>
        <w:tc>
          <w:tcPr>
            <w:tcW w:type="dxa" w:w="3900"/>
            <w:shd w:fill="17365D" w:val="clear"/>
            <w:vAlign w:val="center"/>
            <w:tcMar>
              <w:top w:w="79" w:type="dxa"/>
              <w:start w:w="79" w:type="dxa"/>
              <w:bottom w:w="79" w:type="dxa"/>
              <w:end w:w="79" w:type="dxa"/>
            </w:tcMar>
          </w:tcPr>
          <w:p>
            <w:pPr>
              <w:spacing w:before="0" w:after="0" w:line="240" w:lineRule="auto"/>
              <w:jc w:val="left"/>
            </w:pPr>
            <w:r>
              <w:rPr>
                <w:rFonts w:ascii="Arial" w:hAnsi="Arial" w:eastAsia="Arial"/>
                <w:b/>
                <w:color w:val="FFFFFF"/>
                <w:sz w:val="18"/>
              </w:rPr>
            </w:r>
            <w:r>
              <w:rPr>
                <w:rFonts w:ascii="Arial" w:hAnsi="Arial" w:eastAsia="Arial" w:cs="Arial"/>
                <w:b/>
                <w:color w:val="FFFFFF"/>
                <w:sz w:val="18"/>
              </w:rPr>
              <w:t>Resultado esperado</w:t>
            </w:r>
          </w:p>
        </w:tc>
        <w:tc>
          <w:tcPr>
            <w:tcW w:type="dxa" w:w="3832"/>
            <w:shd w:fill="17365D" w:val="clear"/>
            <w:vAlign w:val="center"/>
            <w:tcMar>
              <w:top w:w="79" w:type="dxa"/>
              <w:start w:w="79" w:type="dxa"/>
              <w:bottom w:w="79" w:type="dxa"/>
              <w:end w:w="79" w:type="dxa"/>
            </w:tcMar>
          </w:tcPr>
          <w:p>
            <w:pPr>
              <w:spacing w:before="0" w:after="0" w:line="240" w:lineRule="auto"/>
              <w:jc w:val="left"/>
            </w:pPr>
            <w:r>
              <w:rPr>
                <w:rFonts w:ascii="Arial" w:hAnsi="Arial" w:eastAsia="Arial"/>
                <w:b/>
                <w:color w:val="FFFFFF"/>
                <w:sz w:val="18"/>
              </w:rPr>
            </w:r>
            <w:r>
              <w:rPr>
                <w:rFonts w:ascii="Arial" w:hAnsi="Arial" w:eastAsia="Arial" w:cs="Arial"/>
                <w:b/>
                <w:color w:val="FFFFFF"/>
                <w:sz w:val="18"/>
              </w:rPr>
              <w:t>Evitar</w:t>
            </w:r>
          </w:p>
        </w:tc>
      </w:tr>
      <w:tr>
        <w:trPr>
          <w:cantSplit/>
        </w:trPr>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Clareza</w:t>
            </w:r>
          </w:p>
        </w:tc>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Finalidade, significado, regra, decisão ou argumento são comunicados de forma direta e precisa.</w:t>
            </w:r>
          </w:p>
        </w:tc>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Ambiguidade evitável, redundância, jargão sem necessidade e complexidade linguística sem benefício.</w:t>
            </w:r>
          </w:p>
        </w:tc>
      </w:tr>
      <w:tr>
        <w:trPr>
          <w:cantSplit/>
        </w:trPr>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Compreensibilidade e adequação ao público</w:t>
            </w:r>
          </w:p>
        </w:tc>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Linguagem, contexto, profundidade e progressão são compatíveis com o público previsto.</w:t>
            </w:r>
          </w:p>
        </w:tc>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Pressupor conhecimento prévio desnecessário ou simplificar a ponto de perder precisão técnica ou normativa.</w:t>
            </w:r>
          </w:p>
        </w:tc>
      </w:tr>
      <w:tr>
        <w:trPr>
          <w:cantSplit/>
        </w:trPr>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Navegabilidade semântica</w:t>
            </w:r>
          </w:p>
        </w:tc>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A organização permite compreender a lógica do conteúdo e localizar informações relevantes sem leitura integral quando a natureza do documento permitir.</w:t>
            </w:r>
          </w:p>
        </w:tc>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Estrutura baseada na ordem de descoberta, títulos genéricos, dispersão do mesmo assunto e dependência de explicações do autor para localizar informação.</w:t>
            </w:r>
          </w:p>
        </w:tc>
      </w:tr>
      <w:tr>
        <w:trPr>
          <w:cantSplit/>
        </w:trPr>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Correção e coerência</w:t>
            </w:r>
          </w:p>
        </w:tc>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Afirmações, conceitos, decisões e referências são internamente consistentes e compatíveis com as fontes aplicáveis.</w:t>
            </w:r>
          </w:p>
        </w:tc>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Contradições, mistura opaca entre fato e opinião, terminologia inconsistente ou conclusão incompatível com a evidência apresentada.</w:t>
            </w:r>
          </w:p>
        </w:tc>
      </w:tr>
      <w:tr>
        <w:trPr>
          <w:cantSplit/>
        </w:trPr>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Relevância e proporcionalidade</w:t>
            </w:r>
          </w:p>
        </w:tc>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O documento contém o necessário para seu propósito, com profundidade compatível com risco, complexidade e necessidade do leitor.</w:t>
            </w:r>
          </w:p>
        </w:tc>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Omissão material ou excesso de contexto, seções e detalhes que não melhoram compreensão, decisão ou manutenção.</w:t>
            </w:r>
          </w:p>
        </w:tc>
      </w:tr>
      <w:tr>
        <w:trPr>
          <w:cantSplit/>
        </w:trPr>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Autossuficiência contextual</w:t>
            </w:r>
          </w:p>
        </w:tc>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O público previsto consegue compreender e utilizar o documento sem depender de explicações recorrentes de seu autor.</w:t>
            </w:r>
          </w:p>
        </w:tc>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Contexto crítico apenas implícito, referências externas sem indicação de função ou dependência pessoal para interpretar intenção e estrutura.</w:t>
            </w:r>
          </w:p>
        </w:tc>
      </w:tr>
      <w:tr>
        <w:trPr>
          <w:cantSplit/>
        </w:trPr>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t>Coesão textual e paragrafação</w:t>
            </w:r>
          </w:p>
        </w:tc>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t>Parágrafos funcionam como unidades coerentes de raciocínio, agrupando frases que desenvolvem a mesma ideia e separando mudanças reais de foco ou progressão.</w:t>
            </w:r>
          </w:p>
        </w:tc>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t>Quebra mecânica após cada frase, fragmentação excessiva, parágrafos sem unidade de ideia ou blocos densos que misturam raciocínios distintos.</w:t>
            </w:r>
          </w:p>
        </w:tc>
      </w:tr>
    </w:tbl>
    <w:p>
      <w:pPr>
        <w:pStyle w:val="Heading2"/>
      </w:pPr>
      <w:r>
        <w:t>5.1 Clareza</w:t>
      </w:r>
    </w:p>
    <w:p>
      <w:pPr>
        <w:jc w:val="left"/>
      </w:pPr>
      <w:r>
        <w:t>Prefira formulações diretas e específicas. Defina o sujeito da regra ou decisão, explicite condicionantes relevantes e elimine repetições que não acrescentem significado. Termos técnicos necessários devem ser preservados; clareza não autoriza substituir precisão por linguagem vaga ou excessivamente simplificada.</w:t>
      </w:r>
    </w:p>
    <w:p>
      <w:pPr>
        <w:pStyle w:val="Heading2"/>
      </w:pPr>
      <w:r>
        <w:t>5.2 Compreensibilidade e adequação ao público</w:t>
      </w:r>
    </w:p>
    <w:p>
      <w:pPr>
        <w:jc w:val="left"/>
      </w:pPr>
      <w:r>
        <w:t>A explicação necessária depende do público. Conceitos especializados, siglas, premissas e contexto devem ser definidos ou contextualizados quando sua ausência prejudicar o uso do documento. Na primeira ocorrência relevante de uma sigla no corpo do documento, apresente preferencialmente sua denominação por extenso seguida da sigla entre parênteses, por exemplo: Dead Letter Topic (DLT). Nas ocorrências subsequentes, utilize somente a sigla quando não houver risco de ambiguidade. A expansão pode ser dispensada quando a sigla constituir identificador, nome próprio, denominação consolidada cuja forma extensa seja inadequada ao contexto ou quando fonte específica determinar tratamento diferente. A expansão da sigla não substitui a contextualização ou definição do conceito quando sua interpretação não for segura para o público previsto. Não é necessário explicar o que integra legitimamente o repertório do público previsto; é necessário evitar conhecimento prévio desnecessário como condição oculta de leitura.</w:t>
      </w:r>
    </w:p>
    <w:p>
      <w:pPr>
        <w:pStyle w:val="Heading2"/>
      </w:pPr>
      <w:r>
        <w:t>5.3 Navegabilidade semântica</w:t>
      </w:r>
    </w:p>
    <w:p>
      <w:pPr>
        <w:jc w:val="left"/>
      </w:pPr>
      <w:r>
        <w:t>Organize o conteúdo para consulta, não apenas para leitura sequencial. Use títulos informativos, agrupe assuntos conexos e mantenha regras, decisões, critérios e justificativas em posições previsíveis. Sumário, hyperlinks e outros mecanismos técnicos de navegação pertencem à Diretriz de Padronização Documental Institucional vigente; esta diretriz governa a arquitetura semântica que esses mecanismos representam.</w:t>
      </w:r>
    </w:p>
    <w:p>
      <w:pPr>
        <w:pStyle w:val="Heading2"/>
      </w:pPr>
      <w:r>
        <w:t>5.4 Correção e coerência</w:t>
      </w:r>
    </w:p>
    <w:p>
      <w:pPr>
        <w:jc w:val="left"/>
      </w:pPr>
      <w:r>
        <w:t>O conteúdo deve preservar coerência entre definições, regras, dados, decisões e conclusões. Quando existirem limitações ou incertezas materiais, elas devem ser explicitadas. Não apresentar como fato aquilo que é hipótese, inferência, recomendação ou decisão ainda não aprovada.</w:t>
      </w:r>
    </w:p>
    <w:p>
      <w:pPr>
        <w:pStyle w:val="Heading2"/>
      </w:pPr>
      <w:r>
        <w:t>5.5 Relevância e proporcionalidade</w:t>
      </w:r>
    </w:p>
    <w:p>
      <w:pPr>
        <w:jc w:val="left"/>
      </w:pPr>
      <w:r>
        <w:t>Inclua apenas informação que contribua para compreensão, decisão, execução, rastreabilidade ou manutenção. O nível de detalhamento deve crescer quando risco, complexidade, irreversibilidade ou necessidade de auditoria justificarem; documentos simples não devem receber estrutura pesada apenas por conformidade estética ou ritual.</w:t>
      </w:r>
    </w:p>
    <w:p>
      <w:pPr>
        <w:pStyle w:val="Heading2"/>
      </w:pPr>
      <w:r>
        <w:t>5.6 Autossuficiência contextual</w:t>
      </w:r>
    </w:p>
    <w:p>
      <w:pPr>
        <w:jc w:val="left"/>
      </w:pPr>
      <w:r>
        <w:t>Autossuficiência não significa autocontenção. O documento pode e deve apontar para fontes autoritativas em vez de duplicá-las. O requisito é que o leitor entenda por que a dependência externa existe, qual papel ela desempenha e onde buscar o detalhe necessário, sem depender da presença constante do autor para explicar intenção, terminologia ou estrutura.</w:t>
      </w:r>
    </w:p>
    <w:p>
      <w:pPr>
        <w:pStyle w:val="Heading2"/>
      </w:pPr>
      <w:r>
        <w:t>5.7 Coesão textual e construção de parágrafos</w:t>
      </w:r>
    </w:p>
    <w:p>
      <w:pPr>
        <w:jc w:val="left"/>
      </w:pPr>
      <w:r>
        <w:t>O parágrafo deve representar uma unidade coerente de raciocínio. Frases que desenvolvem, explicam, qualificam, exemplificam ou concluem a mesma ideia devem permanecer agrupadas quando essa composição favorecer a leitura. A quebra de parágrafo deve corresponder a mudança de foco, nova unidade de ideia, avanço argumentativo relevante, transição lógica ou necessidade real de destaque. Não inicie novo parágrafo mecanicamente após cada frase nem utilize quantidade fixa de frases como critério de composição; parágrafos de uma única frase são legítimos quando sua função semântica justificar a separação.</w:t>
      </w:r>
    </w:p>
    <w:p>
      <w:pPr>
        <w:pStyle w:val="Heading1"/>
      </w:pPr>
      <w:r>
        <w:t>6 Estrutura e progressão do conteúdo</w:t>
      </w:r>
    </w:p>
    <w:p>
      <w:pPr>
        <w:jc w:val="left"/>
      </w:pPr>
      <w:r>
        <w:t>A estrutura deve reduzir esforço de leitura e manutenção. O documento deve organizar informação segundo relações lógicas e necessidades do leitor, e não segundo a ordem em que fatos, ideias ou decisões foram descobertos durante sua elaboração.</w:t>
      </w:r>
    </w:p>
    <w:p>
      <w:pPr>
        <w:pStyle w:val="Heading2"/>
      </w:pPr>
      <w:r>
        <w:t>6.1 Agrupamento, sequência e localização da informação</w:t>
      </w:r>
    </w:p>
    <w:p>
      <w:pPr>
        <w:pStyle w:val="ListBullet"/>
        <w:spacing w:after="90" w:line="276" w:lineRule="auto"/>
        <w:ind w:left="482" w:hanging="227"/>
        <w:jc w:val="left"/>
      </w:pPr>
      <w:r>
        <w:t>Manter informações que participam do mesmo raciocínio próximas entre si.</w:t>
      </w:r>
    </w:p>
    <w:p>
      <w:pPr>
        <w:pStyle w:val="ListBullet"/>
        <w:spacing w:after="90" w:line="276" w:lineRule="auto"/>
        <w:ind w:left="482" w:hanging="227"/>
        <w:jc w:val="left"/>
      </w:pPr>
      <w:r>
        <w:t>Apresentar conclusão, regra ou decisão no início quando o leitor precisar conhecê-la antes da fundamentação; fornecer contexto antes quando sua ausência inviabilizar compreensão.</w:t>
      </w:r>
    </w:p>
    <w:p>
      <w:pPr>
        <w:pStyle w:val="ListBullet"/>
        <w:spacing w:after="90" w:line="276" w:lineRule="auto"/>
        <w:ind w:left="482" w:hanging="227"/>
        <w:jc w:val="left"/>
      </w:pPr>
      <w:r>
        <w:t>Separar histórico da estrutura principal quando a cronologia for relevante, evitando que ela domine a organização do conteúdo.</w:t>
      </w:r>
    </w:p>
    <w:p>
      <w:pPr>
        <w:pStyle w:val="ListBullet"/>
        <w:spacing w:after="90" w:line="276" w:lineRule="auto"/>
        <w:ind w:left="482" w:hanging="227"/>
        <w:jc w:val="left"/>
      </w:pPr>
      <w:r>
        <w:t>Evitar fragmentar o mesmo assunto em seções distantes sem benefício concreto.</w:t>
      </w:r>
    </w:p>
    <w:p>
      <w:pPr>
        <w:pStyle w:val="Heading2"/>
      </w:pPr>
      <w:r>
        <w:t>6.2 Consistência terminológica</w:t>
      </w:r>
    </w:p>
    <w:p>
      <w:pPr>
        <w:jc w:val="left"/>
      </w:pPr>
      <w:r>
        <w:t>Use o mesmo termo para o mesmo conceito ao longo do documento e respeite definições institucionais vigentes. Variações estilísticas que alterem ou confundam significado devem ser evitadas. Depois de apresentada a forma por extenso com a sigla, preserve a mesma sigla nas ocorrências subsequentes quando ela continuar inequívoca. Glossário deve existir somente quando termos, siglas ou conceitos necessários à compreensão justificarem seu uso; sua apresentação visual é regida pela Diretriz de Padronização Documental Institucional vigente.</w:t>
      </w:r>
    </w:p>
    <w:p>
      <w:pPr>
        <w:pStyle w:val="Heading2"/>
      </w:pPr>
      <w:r>
        <w:t>6.3 Escolha proporcional da forma de representação</w:t>
      </w:r>
    </w:p>
    <w:p>
      <w:pPr>
        <w:jc w:val="left"/>
      </w:pPr>
      <w:r>
        <w:t>Escolha a representação que melhor expresse a relação entre informações. Texto corrido é adequado para raciocínio e explicação; listas para itens equivalentes ou sequências; tabelas para relações estruturadas e comparáveis; referências para detalhes mantidos em fonte autoritativa. Quando texto corrido e tabela, matriz, lista ou outro componente estruturado tratarem do mesmo assunto, cada representação deve cumprir função complementar: o componente estruturado deve concentrar relações, comparação, síntese ou dados organizados; o texto deve fornecer contexto, interpretação, implicações, exceções, decisões ou conclusões relevantes. Evite repetir em prosa, linha a linha ou item a item, informação já suficientemente expressa no componente. A repetição somente é adequada quando produzir benefício concreto de compreensão, acessibilidade, ênfase normativa, rastreabilidade ou consumo independente de determinada parte do documento. A aparência desses elementos é regida pela Diretriz de Padronização Documental Institucional vigente.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2"/>
      </w:tblGrid>
      <w:tr>
        <w:trPr>
          <w:cantSplit/>
        </w:trPr>
        <w:tc>
          <w:tcPr>
            <w:tcW w:type="dxa" w:w="9632"/>
            <w:shd w:fill="F2F2F2" w:val="clear"/>
            <w:tcMar>
              <w:top w:w="79" w:type="dxa"/>
              <w:start w:w="79" w:type="dxa"/>
              <w:bottom w:w="79" w:type="dxa"/>
              <w:end w:w="79" w:type="dxa"/>
            </w:tcMar>
            <w:vAlign w:val="center"/>
          </w:tcPr>
          <w:p>
            <w:pPr>
              <w:spacing w:before="0" w:after="0" w:line="276" w:lineRule="auto"/>
            </w:pPr>
            <w:r>
              <w:rPr>
                <w:rFonts w:ascii="Arial" w:hAnsi="Arial" w:eastAsia="Arial"/>
                <w:b/>
                <w:color w:val="17365D"/>
                <w:sz w:val="18"/>
              </w:rPr>
              <w:t>Regra de proporcionalidade</w:t>
            </w:r>
          </w:p>
          <w:p>
            <w:pPr>
              <w:spacing w:before="40" w:after="0" w:line="276" w:lineRule="auto"/>
            </w:pPr>
            <w:r>
              <w:rPr>
                <w:rFonts w:ascii="Arial" w:hAnsi="Arial" w:eastAsia="Arial"/>
                <w:b w:val="0"/>
                <w:color w:val="202020"/>
                <w:sz w:val="17"/>
              </w:rPr>
              <w:t>Não introduza tabela, lista, seção, resumo, glossário, apêndice ou outro elemento apenas porque está disponível. Cada elemento deve produzir benefício verificável de compreensão, consulta, decisão, rastreabilidade ou manutenção.</w:t>
            </w:r>
          </w:p>
        </w:tc>
      </w:tr>
    </w:tbl>
    <w:p>
      <w:pPr>
        <w:pStyle w:val="Heading1"/>
      </w:pPr>
      <w:r>
        <w:t>7 Proveniência, fundamentação e rastreabilidade</w:t>
      </w:r>
    </w:p>
    <w:p>
      <w:pPr>
        <w:jc w:val="left"/>
      </w:pPr>
      <w:r>
        <w:t>Toda afirmação material deve possuir proveniência adequada à sua natureza. Proveniência não significa que toda frase precise de citação bibliográfica: significa que o documento deve permitir distinguir evidência, decisão, hipótese, inferência e recomendação de modo compatível com sua importância e com a necessidade de rastreabilidade.</w:t>
      </w:r>
    </w:p>
    <w:p>
      <w:pPr>
        <w:pStyle w:val="Heading2"/>
      </w:pPr>
      <w:r>
        <w:t>7.1 Tratamento conforme a natureza da afirmação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16"/>
        <w:gridCol w:w="4816"/>
      </w:tblGrid>
      <w:tr>
        <w:trPr>
          <w:tblHeader w:val="true"/>
          <w:cantSplit/>
        </w:trPr>
        <w:tc>
          <w:tcPr>
            <w:tcW w:type="dxa" w:w="2300"/>
            <w:shd w:fill="17365D" w:val="clear"/>
            <w:vAlign w:val="center"/>
            <w:tcMar>
              <w:top w:w="79" w:type="dxa"/>
              <w:start w:w="79" w:type="dxa"/>
              <w:bottom w:w="79" w:type="dxa"/>
              <w:end w:w="79" w:type="dxa"/>
            </w:tcMar>
          </w:tcPr>
          <w:p>
            <w:pPr>
              <w:spacing w:before="0" w:after="0" w:line="240" w:lineRule="auto"/>
              <w:jc w:val="left"/>
            </w:pPr>
            <w:r>
              <w:rPr>
                <w:rFonts w:ascii="Arial" w:hAnsi="Arial" w:eastAsia="Arial"/>
                <w:b/>
                <w:color w:val="FFFFFF"/>
                <w:sz w:val="18"/>
              </w:rPr>
            </w:r>
            <w:r>
              <w:rPr>
                <w:rFonts w:ascii="Arial" w:hAnsi="Arial" w:eastAsia="Arial" w:cs="Arial"/>
                <w:b/>
                <w:color w:val="FFFFFF"/>
                <w:sz w:val="18"/>
              </w:rPr>
              <w:t>Natureza</w:t>
            </w:r>
          </w:p>
        </w:tc>
        <w:tc>
          <w:tcPr>
            <w:tcW w:type="dxa" w:w="7332"/>
            <w:shd w:fill="17365D" w:val="clear"/>
            <w:vAlign w:val="center"/>
            <w:tcMar>
              <w:top w:w="79" w:type="dxa"/>
              <w:start w:w="79" w:type="dxa"/>
              <w:bottom w:w="79" w:type="dxa"/>
              <w:end w:w="79" w:type="dxa"/>
            </w:tcMar>
          </w:tcPr>
          <w:p>
            <w:pPr>
              <w:spacing w:before="0" w:after="0" w:line="240" w:lineRule="auto"/>
              <w:jc w:val="left"/>
            </w:pPr>
            <w:r>
              <w:rPr>
                <w:rFonts w:ascii="Arial" w:hAnsi="Arial" w:eastAsia="Arial"/>
                <w:b/>
                <w:color w:val="FFFFFF"/>
                <w:sz w:val="18"/>
              </w:rPr>
            </w:r>
            <w:r>
              <w:rPr>
                <w:rFonts w:ascii="Arial" w:hAnsi="Arial" w:eastAsia="Arial" w:cs="Arial"/>
                <w:b/>
                <w:color w:val="FFFFFF"/>
                <w:sz w:val="18"/>
              </w:rPr>
              <w:t>Tratamento esperado</w:t>
            </w:r>
          </w:p>
        </w:tc>
      </w:tr>
      <w:tr>
        <w:trPr>
          <w:cantSplit/>
        </w:trPr>
        <w:tc>
          <w:tcPr>
            <w:tcW w:type="dxa" w:w="4816"/>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Fato externo</w:t>
            </w:r>
          </w:p>
        </w:tc>
        <w:tc>
          <w:tcPr>
            <w:tcW w:type="dxa" w:w="4816"/>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Sustentar por fonte atual, verificável e adequada ao domínio.</w:t>
            </w:r>
          </w:p>
        </w:tc>
      </w:tr>
      <w:tr>
        <w:trPr>
          <w:cantSplit/>
        </w:trPr>
        <w:tc>
          <w:tcPr>
            <w:tcW w:type="dxa" w:w="4816"/>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Fato interno</w:t>
            </w:r>
          </w:p>
        </w:tc>
        <w:tc>
          <w:tcPr>
            <w:tcW w:type="dxa" w:w="4816"/>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Apontar para dado, documento, sistema, registro ou evidência interna quando a rastreabilidade for relevante.</w:t>
            </w:r>
          </w:p>
        </w:tc>
      </w:tr>
      <w:tr>
        <w:trPr>
          <w:cantSplit/>
        </w:trPr>
        <w:tc>
          <w:tcPr>
            <w:tcW w:type="dxa" w:w="4816"/>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Decisão</w:t>
            </w:r>
          </w:p>
        </w:tc>
        <w:tc>
          <w:tcPr>
            <w:tcW w:type="dxa" w:w="4816"/>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Identificar como decisão vigente e, quando necessário, indicar onde foi registrada ou aprovada.</w:t>
            </w:r>
          </w:p>
        </w:tc>
      </w:tr>
      <w:tr>
        <w:trPr>
          <w:cantSplit/>
        </w:trPr>
        <w:tc>
          <w:tcPr>
            <w:tcW w:type="dxa" w:w="4816"/>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Hipótese</w:t>
            </w:r>
          </w:p>
        </w:tc>
        <w:tc>
          <w:tcPr>
            <w:tcW w:type="dxa" w:w="4816"/>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Declarar que ainda não foi validada e não apresentá-la como fato.</w:t>
            </w:r>
          </w:p>
        </w:tc>
      </w:tr>
      <w:tr>
        <w:trPr>
          <w:cantSplit/>
        </w:trPr>
        <w:tc>
          <w:tcPr>
            <w:tcW w:type="dxa" w:w="4816"/>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Inferência</w:t>
            </w:r>
          </w:p>
        </w:tc>
        <w:tc>
          <w:tcPr>
            <w:tcW w:type="dxa" w:w="4816"/>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Demonstrar sua relação com os fatos e premissas disponíveis.</w:t>
            </w:r>
          </w:p>
        </w:tc>
      </w:tr>
      <w:tr>
        <w:trPr>
          <w:cantSplit/>
        </w:trPr>
        <w:tc>
          <w:tcPr>
            <w:tcW w:type="dxa" w:w="4816"/>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Recomendação</w:t>
            </w:r>
          </w:p>
        </w:tc>
        <w:tc>
          <w:tcPr>
            <w:tcW w:type="dxa" w:w="4816"/>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Apresentar justificativa, impactos e trade-offs relevantes; não disfarçá-la de regra vigente.</w:t>
            </w:r>
          </w:p>
        </w:tc>
      </w:tr>
    </w:tbl>
    <w:p>
      <w:pPr>
        <w:pStyle w:val="Heading2"/>
      </w:pPr>
      <w:r>
        <w:t>7.2 Seleção e uso de fontes</w:t>
      </w:r>
    </w:p>
    <w:p>
      <w:pPr>
        <w:pStyle w:val="ListBullet"/>
        <w:spacing w:after="90" w:line="276" w:lineRule="auto"/>
        <w:ind w:left="482" w:hanging="227"/>
        <w:jc w:val="left"/>
      </w:pPr>
      <w:r>
        <w:t>Selecionar a fonte conforme a natureza da afirmação e a autoridade necessária ao tema.</w:t>
      </w:r>
    </w:p>
    <w:p>
      <w:pPr>
        <w:pStyle w:val="ListBullet"/>
        <w:spacing w:after="90" w:line="276" w:lineRule="auto"/>
        <w:ind w:left="482" w:hanging="227"/>
        <w:jc w:val="left"/>
      </w:pPr>
      <w:r>
        <w:t>Para conteúdo dependente de versão, data, legislação, norma, produto, framework, serviço ou comportamento vigente, verificar fonte atual antes de consolidar a conclusão.</w:t>
      </w:r>
    </w:p>
    <w:p>
      <w:pPr>
        <w:pStyle w:val="ListBullet"/>
        <w:spacing w:after="90" w:line="276" w:lineRule="auto"/>
        <w:ind w:left="482" w:hanging="227"/>
        <w:jc w:val="left"/>
      </w:pPr>
      <w:r>
        <w:t>Priorizar fontes primárias, oficiais ou dos responsáveis pelo objeto quando disponíveis e adequadas.</w:t>
      </w:r>
    </w:p>
    <w:p>
      <w:pPr>
        <w:pStyle w:val="ListBullet"/>
        <w:spacing w:after="90" w:line="276" w:lineRule="auto"/>
        <w:ind w:left="482" w:hanging="227"/>
        <w:jc w:val="left"/>
      </w:pPr>
      <w:r>
        <w:t>Verificar se a fonte sustenta efetivamente a afirmação pretendida; título, reputação ou referência indireta não substituem leitura suficiente do conteúdo relevante.</w:t>
      </w:r>
    </w:p>
    <w:p>
      <w:pPr>
        <w:pStyle w:val="ListBullet"/>
        <w:spacing w:after="90" w:line="276" w:lineRule="auto"/>
        <w:ind w:left="482" w:hanging="227"/>
        <w:jc w:val="left"/>
      </w:pPr>
      <w:r>
        <w:t>Quando um conceito for aplicado por analogia fora de seu domínio original, registrar a adaptação quando ela puder afetar interpretação ou validade.</w:t>
      </w:r>
    </w:p>
    <w:p>
      <w:pPr>
        <w:pStyle w:val="ListBullet"/>
        <w:spacing w:after="90" w:line="276" w:lineRule="auto"/>
        <w:ind w:left="482" w:hanging="227"/>
        <w:jc w:val="left"/>
      </w:pPr>
      <w:r>
        <w:t>Distinguir fundamento externo de decisão institucional: uma regra interna pode existir por decisão legítima sem ser artificialmente apresentada como “best practice” externa.</w:t>
      </w:r>
    </w:p>
    <w:p>
      <w:pPr>
        <w:pStyle w:val="Heading1"/>
      </w:pPr>
      <w:r>
        <w:t>8 Fonte autoritativa, dependências e redução de duplicação</w:t>
      </w:r>
    </w:p>
    <w:p>
      <w:pPr>
        <w:jc w:val="left"/>
      </w:pPr>
      <w:r>
        <w:t>Quando uma informação já possuir fonte oficial adequada e mantida, documentos consumidores devem preferencialmente referenciá-la em vez de criar cópias independentes. A duplicação só se justifica quando existir necessidade concreta de consumo, preservação, síntese ou autonomia e não deve criar fontes concorrentes de manutenção.</w:t>
      </w:r>
    </w:p>
    <w:p>
      <w:pPr>
        <w:jc w:val="left"/>
      </w:pPr>
      <w:r>
        <w:t>Dependências externas legítimas não reduzem a autossuficiência contextual quando estão identificadas, possuem função compreensível e podem ser localizadas pelo público previsto. O documento deve consolidar o que precisa ser entendido ou decidido em seu próprio escopo e apontar para a fonte autoritativa dos detalhes que pertencem a outro artefato.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2"/>
      </w:tblGrid>
      <w:tr>
        <w:trPr>
          <w:cantSplit/>
        </w:trPr>
        <w:tc>
          <w:tcPr>
            <w:tcW w:type="dxa" w:w="9632"/>
            <w:shd w:fill="F2F2F2" w:val="clear"/>
            <w:tcMar>
              <w:top w:w="79" w:type="dxa"/>
              <w:start w:w="79" w:type="dxa"/>
              <w:bottom w:w="79" w:type="dxa"/>
              <w:end w:w="79" w:type="dxa"/>
            </w:tcMar>
            <w:vAlign w:val="center"/>
          </w:tcPr>
          <w:p>
            <w:pPr>
              <w:spacing w:before="0" w:after="0" w:line="276" w:lineRule="auto"/>
            </w:pPr>
            <w:r>
              <w:rPr>
                <w:rFonts w:ascii="Arial" w:hAnsi="Arial" w:eastAsia="Arial"/>
                <w:b/>
                <w:color w:val="17365D"/>
                <w:sz w:val="18"/>
              </w:rPr>
              <w:t>Fonte autoritativa</w:t>
            </w:r>
          </w:p>
          <w:p>
            <w:pPr>
              <w:spacing w:before="40" w:after="0" w:line="276" w:lineRule="auto"/>
            </w:pPr>
            <w:r>
              <w:rPr>
                <w:rFonts w:ascii="Arial" w:hAnsi="Arial" w:eastAsia="Arial"/>
                <w:b w:val="0"/>
                <w:color w:val="202020"/>
                <w:sz w:val="17"/>
              </w:rPr>
              <w:t>O documento deve ser suficiente para cumprir sua finalidade, mas não deve copiar catálogos, contratos, regras ou detalhes mantidos adequadamente em outra fonte apenas para parecer completo.</w:t>
            </w:r>
          </w:p>
        </w:tc>
      </w:tr>
    </w:tbl>
    <w:p>
      <w:pPr>
        <w:pStyle w:val="Heading1"/>
      </w:pPr>
      <w:r>
        <w:t>9 Requisitos específicos fora desta diretriz</w:t>
      </w:r>
    </w:p>
    <w:p>
      <w:pPr>
        <w:jc w:val="left"/>
      </w:pPr>
      <w:r>
        <w:t>Regras próprias de uma família documental, área, processo, obrigação regulatória ou domínio técnico devem permanecer em sua fonte normativa ou template específico. Esta diretriz não incorpora estruturas, campos, sequências, técnicas ou gates particulares desses contextos; tais obrigações devem existir e ser mantidas na fonte que governa o contexto correspondente.</w:t>
      </w:r>
    </w:p>
    <w:p>
      <w:pPr>
        <w:jc w:val="left"/>
      </w:pPr>
      <w:r>
        <w:t>Quando uma fonte específica exigir estrutura ou conteúdo adicional, aplique-a em conjunto com estes critérios transversais. Se houver conflito material, trate-o conforme a seção 2; se houver apenas trade-off de construção, escolha a solução que melhor preserve finalidade, precisão, compreensão, rastreabilidade e proporcionalidade.</w:t>
      </w:r>
    </w:p>
    <w:p>
      <w:pPr>
        <w:pStyle w:val="Heading1"/>
      </w:pPr>
      <w:r>
        <w:t>10 Processo de construção e validação do conteúdo</w:t>
      </w:r>
    </w:p>
    <w:p>
      <w:pPr>
        <w:jc w:val="left"/>
      </w:pPr>
      <w:r>
        <w:t>A construção do conteúdo deve seguir um fluxo proporcional. As etapas podem ser operacionalizadas de maneiras diferentes, mas o resultado deve preservar as verificações essenciais abaixo.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1"/>
        <w:gridCol w:w="3211"/>
        <w:gridCol w:w="3211"/>
      </w:tblGrid>
      <w:tr>
        <w:trPr>
          <w:tblHeader w:val="true"/>
          <w:cantSplit/>
        </w:trPr>
        <w:tc>
          <w:tcPr>
            <w:tcW w:type="dxa" w:w="1700"/>
            <w:shd w:fill="17365D" w:val="clear"/>
            <w:vAlign w:val="center"/>
            <w:tcMar>
              <w:top w:w="79" w:type="dxa"/>
              <w:start w:w="79" w:type="dxa"/>
              <w:bottom w:w="79" w:type="dxa"/>
              <w:end w:w="79" w:type="dxa"/>
            </w:tcMar>
          </w:tcPr>
          <w:p>
            <w:pPr>
              <w:spacing w:before="0" w:after="0" w:line="240" w:lineRule="auto"/>
              <w:jc w:val="left"/>
            </w:pPr>
            <w:r>
              <w:rPr>
                <w:rFonts w:ascii="Arial" w:hAnsi="Arial" w:eastAsia="Arial"/>
                <w:b/>
                <w:color w:val="FFFFFF"/>
                <w:sz w:val="18"/>
              </w:rPr>
            </w:r>
            <w:r>
              <w:rPr>
                <w:rFonts w:ascii="Arial" w:hAnsi="Arial" w:eastAsia="Arial" w:cs="Arial"/>
                <w:b/>
                <w:color w:val="FFFFFF"/>
                <w:sz w:val="18"/>
              </w:rPr>
              <w:t>Etapa</w:t>
            </w:r>
          </w:p>
        </w:tc>
        <w:tc>
          <w:tcPr>
            <w:tcW w:type="dxa" w:w="4200"/>
            <w:shd w:fill="17365D" w:val="clear"/>
            <w:vAlign w:val="center"/>
            <w:tcMar>
              <w:top w:w="79" w:type="dxa"/>
              <w:start w:w="79" w:type="dxa"/>
              <w:bottom w:w="79" w:type="dxa"/>
              <w:end w:w="79" w:type="dxa"/>
            </w:tcMar>
          </w:tcPr>
          <w:p>
            <w:pPr>
              <w:spacing w:before="0" w:after="0" w:line="240" w:lineRule="auto"/>
              <w:jc w:val="left"/>
            </w:pPr>
            <w:r>
              <w:rPr>
                <w:rFonts w:ascii="Arial" w:hAnsi="Arial" w:eastAsia="Arial"/>
                <w:b/>
                <w:color w:val="FFFFFF"/>
                <w:sz w:val="18"/>
              </w:rPr>
            </w:r>
            <w:r>
              <w:rPr>
                <w:rFonts w:ascii="Arial" w:hAnsi="Arial" w:eastAsia="Arial" w:cs="Arial"/>
                <w:b/>
                <w:color w:val="FFFFFF"/>
                <w:sz w:val="18"/>
              </w:rPr>
              <w:t>Ação</w:t>
            </w:r>
          </w:p>
        </w:tc>
        <w:tc>
          <w:tcPr>
            <w:tcW w:type="dxa" w:w="3732"/>
            <w:shd w:fill="17365D" w:val="clear"/>
            <w:vAlign w:val="center"/>
            <w:tcMar>
              <w:top w:w="79" w:type="dxa"/>
              <w:start w:w="79" w:type="dxa"/>
              <w:bottom w:w="79" w:type="dxa"/>
              <w:end w:w="79" w:type="dxa"/>
            </w:tcMar>
          </w:tcPr>
          <w:p>
            <w:pPr>
              <w:spacing w:before="0" w:after="0" w:line="240" w:lineRule="auto"/>
              <w:jc w:val="left"/>
            </w:pPr>
            <w:r>
              <w:rPr>
                <w:rFonts w:ascii="Arial" w:hAnsi="Arial" w:eastAsia="Arial"/>
                <w:b/>
                <w:color w:val="FFFFFF"/>
                <w:sz w:val="18"/>
              </w:rPr>
            </w:r>
            <w:r>
              <w:rPr>
                <w:rFonts w:ascii="Arial" w:hAnsi="Arial" w:eastAsia="Arial" w:cs="Arial"/>
                <w:b/>
                <w:color w:val="FFFFFF"/>
                <w:sz w:val="18"/>
              </w:rPr>
              <w:t>Resultado</w:t>
            </w:r>
          </w:p>
        </w:tc>
      </w:tr>
      <w:tr>
        <w:trPr>
          <w:cantSplit/>
        </w:trPr>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1. Contextualizar</w:t>
            </w:r>
          </w:p>
        </w:tc>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Identificar finalidade, público, resultado esperado, escopo e fontes aplicáveis.</w:t>
            </w:r>
          </w:p>
        </w:tc>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Fronteiras e objetivo de uso compreendidos.</w:t>
            </w:r>
          </w:p>
        </w:tc>
      </w:tr>
      <w:tr>
        <w:trPr>
          <w:cantSplit/>
        </w:trPr>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2. Estruturar</w:t>
            </w:r>
          </w:p>
        </w:tc>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Organizar assuntos, sequência e nível de detalhe segundo a necessidade do leitor.</w:t>
            </w:r>
          </w:p>
        </w:tc>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Arquitetura semântica coerente e navegável.</w:t>
            </w:r>
          </w:p>
        </w:tc>
      </w:tr>
      <w:tr>
        <w:trPr>
          <w:cantSplit/>
        </w:trPr>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3. Fundamentar</w:t>
            </w:r>
          </w:p>
        </w:tc>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Distinguir fatos, decisões, hipóteses, inferências e recomendações; associar proveniência adequada.</w:t>
            </w:r>
          </w:p>
        </w:tc>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Afirmações materiais rastreáveis e corretamente qualificadas.</w:t>
            </w:r>
          </w:p>
        </w:tc>
      </w:tr>
      <w:tr>
        <w:trPr>
          <w:cantSplit/>
        </w:trPr>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4. Redigir</w:t>
            </w:r>
          </w:p>
        </w:tc>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t>Produzir conteúdo claro, preciso, terminologicamente consistente e proporcional; construir parágrafos como unidades coerentes de raciocínio; contextualizar siglas conforme o público; e evitar duplicação entre prosa e componentes estruturados.</w:t>
            </w:r>
          </w:p>
        </w:tc>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t>Conteúdo fluido, compreensível e coeso, com paragrafação orientada pela estrutura do raciocínio e complementaridade entre formas de representação, sem perda de rigor.</w:t>
            </w:r>
          </w:p>
        </w:tc>
      </w:tr>
      <w:tr>
        <w:trPr>
          <w:cantSplit/>
        </w:trPr>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5. Revisar dependências</w:t>
            </w:r>
          </w:p>
        </w:tc>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Eliminar duplicações desnecessárias e tornar explícitas as fontes autoritativas externas.</w:t>
            </w:r>
          </w:p>
        </w:tc>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Autossuficiência contextual sem cópias concorrentes.</w:t>
            </w:r>
          </w:p>
        </w:tc>
      </w:tr>
      <w:tr>
        <w:trPr>
          <w:cantSplit/>
        </w:trPr>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6. Validar conteúdo</w:t>
            </w:r>
          </w:p>
        </w:tc>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Revisar os critérios da seção 5 e requisitos específicos aplicáveis.</w:t>
            </w:r>
          </w:p>
        </w:tc>
        <w:tc>
          <w:tcPr>
            <w:tcW w:type="dxa" w:w="3211"/>
            <w:shd w:fill="F7F9FB"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Conteúdo apto à materialização e ao uso institucional.</w:t>
            </w:r>
          </w:p>
        </w:tc>
      </w:tr>
      <w:tr>
        <w:trPr>
          <w:cantSplit/>
        </w:trPr>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7. Materializar</w:t>
            </w:r>
          </w:p>
        </w:tc>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Aplicar a Diretriz de Padronização Documental Institucional vigente e os templates aplicáveis.</w:t>
            </w:r>
          </w:p>
        </w:tc>
        <w:tc>
          <w:tcPr>
            <w:tcW w:type="dxa" w:w="3211"/>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val="0"/>
                <w:color w:val="202020"/>
                <w:sz w:val="16"/>
              </w:rPr>
            </w:r>
            <w:r>
              <w:rPr>
                <w:rFonts w:ascii="Arial" w:hAnsi="Arial" w:eastAsia="Arial" w:cs="Arial"/>
                <w:b w:val="0"/>
                <w:color w:val="202020"/>
                <w:sz w:val="16"/>
              </w:rPr>
              <w:t>Artefato final aderente ao padrão institucional.</w:t>
            </w:r>
          </w:p>
        </w:tc>
      </w:tr>
    </w:tbl>
    <w:p>
      <w:pPr>
        <w:pStyle w:val="Heading2"/>
      </w:pPr>
      <w:r>
        <w:t>10.1 Gate de qualidade de conteúdo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2"/>
      </w:tblGrid>
      <w:tr>
        <w:trPr>
          <w:cantSplit/>
        </w:trPr>
        <w:tc>
          <w:tcPr>
            <w:tcW w:type="dxa" w:w="9632"/>
            <w:shd w:fill="F2F2F2" w:val="clear"/>
            <w:tcMar>
              <w:top w:w="79" w:type="dxa"/>
              <w:start w:w="79" w:type="dxa"/>
              <w:bottom w:w="79" w:type="dxa"/>
              <w:end w:w="79" w:type="dxa"/>
            </w:tcMar>
            <w:vAlign w:val="center"/>
          </w:tcPr>
          <w:p>
            <w:pPr>
              <w:spacing w:before="0" w:after="0" w:line="276" w:lineRule="auto"/>
            </w:pPr>
            <w:r>
              <w:rPr>
                <w:rFonts w:ascii="Arial" w:hAnsi="Arial" w:eastAsia="Arial"/>
                <w:b/>
                <w:color w:val="17365D"/>
                <w:sz w:val="18"/>
              </w:rPr>
              <w:t>Gate de qualidade</w:t>
              <w:br/>
              <w:t>O conteúdo somente deve ser considerado pronto quando sua finalidade e público estiverem claros; informações materiais possuírem tratamento e proveniência adequados; a estrutura permitir compreensão e consulta; siglas e conceitos necessários estiverem contextualizados de forma compatível com o público; termos e decisões forem coerentes; os parágrafos funcionarem como unidades coerentes de raciocínio, sem fragmentação mecânica por sentença; texto e componentes estruturados forem complementares sem repetição desnecessária; o nível de detalhe for proporcional; dependências externas estiverem identificadas; e o público previsto puder utilizar o documento sem depender de explicações recorrentes do autor. A conformidade visual do artefato é validada separadamente pela Diretriz de Padronização Documental Institucional vigente.</w:t>
            </w:r>
          </w:p>
        </w:tc>
      </w:tr>
    </w:tbl>
    <w:p>
      <w:pPr>
        <w:pStyle w:val="Heading1"/>
      </w:pPr>
      <w:r>
        <w:t>11 Instrução operacional consolidada</w:t>
      </w:r>
    </w:p>
    <w:p>
      <w:pPr>
        <w:jc w:val="left"/>
      </w:pPr>
      <w:r>
        <w:t>Ao construir ou revisar conteúdo documental institucional, identifique primeiro finalidade, público, resultado esperado e fontes aplicáveis. Estruture o conteúdo segundo a lógica de uso do leitor; redija com clareza e precisão; agrupe em um mesmo parágrafo as frases que desenvolvem a mesma unidade de raciocínio e quebre o parágrafo somente quando houver mudança semântica ou progressão relevante; forneça contexto suficiente sem explicar o que o público legitimamente já domina; apresente siglas por extenso na primeira ocorrência relevante quando necessário à compreensão e preserve seu uso consistente; organize assuntos conexos de forma navegável; use texto e componentes estruturados de forma complementar, evitando repetição meramente narrativa; diferencie fatos, decisões, hipóteses, inferências e recomendações quando relevante; utilize fontes adequadas e atuais para afirmações materiais; prefira fontes autoritativas a duplicações; mantenha terminologia consistente; dimensione profundidade e estrutura de forma proporcional; e verifique se o documento permanece utilizável sem dependência recorrente de seu autor. A operacionalização pode ser humana, automatizada, assistida por IA ou híbrida e não altera estes critérios. Requisitos específicos continuam em suas fontes próprias; a apresentação e a validação formal do artefato seguem a Diretriz de Padronização Documental Institucional vigente.</w:t>
      </w:r>
    </w:p>
    <w:p>
      <w:pPr>
        <w:pStyle w:val="Heading1"/>
      </w:pPr>
      <w:r>
        <w:t>12 Controle de Revisão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1"/>
        <w:gridCol w:w="3211"/>
        <w:gridCol w:w="3211"/>
      </w:tblGrid>
      <w:tr>
        <w:trPr>
          <w:tblHeader w:val="true"/>
          <w:cantSplit/>
        </w:trPr>
        <w:tc>
          <w:tcPr>
            <w:tcW w:type="dxa" w:w="1200"/>
            <w:shd w:fill="17365D" w:val="clear"/>
            <w:vAlign w:val="center"/>
            <w:tcMar>
              <w:top w:w="79" w:type="dxa"/>
              <w:start w:w="79" w:type="dxa"/>
              <w:bottom w:w="79" w:type="dxa"/>
              <w:end w:w="79" w:type="dxa"/>
            </w:tcMar>
          </w:tcPr>
          <w:p>
            <w:pPr>
              <w:spacing w:before="0" w:after="0" w:line="240" w:lineRule="auto"/>
              <w:jc w:val="left"/>
            </w:pPr>
            <w:r>
              <w:rPr>
                <w:rFonts w:ascii="Arial" w:hAnsi="Arial" w:eastAsia="Arial"/>
                <w:b/>
                <w:color w:val="FFFFFF"/>
                <w:sz w:val="18"/>
              </w:rPr>
            </w:r>
            <w:r>
              <w:rPr>
                <w:rFonts w:ascii="Arial" w:hAnsi="Arial" w:eastAsia="Arial" w:cs="Arial"/>
                <w:b/>
                <w:color w:val="FFFFFF"/>
                <w:sz w:val="18"/>
              </w:rPr>
              <w:t>Versão</w:t>
            </w:r>
          </w:p>
        </w:tc>
        <w:tc>
          <w:tcPr>
            <w:tcW w:type="dxa" w:w="1600"/>
            <w:shd w:fill="17365D" w:val="clear"/>
            <w:vAlign w:val="center"/>
            <w:tcMar>
              <w:top w:w="79" w:type="dxa"/>
              <w:start w:w="79" w:type="dxa"/>
              <w:bottom w:w="79" w:type="dxa"/>
              <w:end w:w="79" w:type="dxa"/>
            </w:tcMar>
          </w:tcPr>
          <w:p>
            <w:pPr>
              <w:spacing w:before="0" w:after="0" w:line="240" w:lineRule="auto"/>
              <w:jc w:val="left"/>
            </w:pPr>
            <w:r>
              <w:rPr>
                <w:rFonts w:ascii="Arial" w:hAnsi="Arial" w:eastAsia="Arial"/>
                <w:b/>
                <w:color w:val="FFFFFF"/>
                <w:sz w:val="18"/>
              </w:rPr>
            </w:r>
            <w:r>
              <w:rPr>
                <w:rFonts w:ascii="Arial" w:hAnsi="Arial" w:eastAsia="Arial" w:cs="Arial"/>
                <w:b/>
                <w:color w:val="FFFFFF"/>
                <w:sz w:val="18"/>
              </w:rPr>
              <w:t>Data</w:t>
            </w:r>
          </w:p>
        </w:tc>
        <w:tc>
          <w:tcPr>
            <w:tcW w:type="dxa" w:w="6832"/>
            <w:shd w:fill="17365D" w:val="clear"/>
            <w:vAlign w:val="center"/>
            <w:tcMar>
              <w:top w:w="79" w:type="dxa"/>
              <w:start w:w="79" w:type="dxa"/>
              <w:bottom w:w="79" w:type="dxa"/>
              <w:end w:w="79" w:type="dxa"/>
            </w:tcMar>
          </w:tcPr>
          <w:p>
            <w:pPr>
              <w:spacing w:before="0" w:after="0" w:line="240" w:lineRule="auto"/>
              <w:jc w:val="left"/>
            </w:pPr>
            <w:r>
              <w:rPr>
                <w:rFonts w:ascii="Arial" w:hAnsi="Arial" w:eastAsia="Arial"/>
                <w:b/>
                <w:color w:val="FFFFFF"/>
                <w:sz w:val="18"/>
              </w:rPr>
            </w:r>
            <w:r>
              <w:rPr>
                <w:rFonts w:ascii="Arial" w:hAnsi="Arial" w:eastAsia="Arial" w:cs="Arial"/>
                <w:b/>
                <w:color w:val="FFFFFF"/>
                <w:sz w:val="18"/>
              </w:rPr>
              <w:t>Descrição</w:t>
            </w:r>
          </w:p>
        </w:tc>
      </w:tr>
      <w:tr>
        <w:trPr>
          <w:cantSplit/>
        </w:trPr>
        <w:tc>
          <w:tcPr>
            <w:tcW w:type="dxa" w:w="1200"/>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r>
            <w:r>
              <w:rPr>
                <w:rFonts w:ascii="Arial" w:hAnsi="Arial" w:eastAsia="Arial" w:cs="Arial"/>
                <w:b/>
                <w:color w:val="202020"/>
                <w:sz w:val="16"/>
              </w:rPr>
              <w:t>1.0</w:t>
            </w:r>
          </w:p>
        </w:tc>
        <w:tc>
          <w:tcPr>
            <w:tcW w:type="dxa" w:w="1600"/>
            <w:shd w:fill="FFFFFF" w:val="clear"/>
            <w:vAlign w:val="center"/>
            <w:tcMar>
              <w:top w:w="79" w:type="dxa"/>
              <w:start w:w="79" w:type="dxa"/>
              <w:bottom w:w="79" w:type="dxa"/>
              <w:end w:w="79" w:type="dxa"/>
            </w:tcMar>
          </w:tcPr>
          <w:p>
            <w:pPr>
              <w:spacing w:before="0" w:after="0" w:line="240" w:lineRule="auto"/>
            </w:pPr>
            <w:r>
              <w:rPr>
                <w:rFonts w:ascii="Arial" w:hAnsi="Arial" w:eastAsia="Arial"/>
                <w:b w:val="0"/>
                <w:color w:val="202020"/>
                <w:sz w:val="16"/>
              </w:rPr>
              <w:t>21/09/2026</w:t>
            </w:r>
          </w:p>
        </w:tc>
        <w:tc>
          <w:tcPr>
            <w:tcW w:type="dxa" w:w="6832"/>
            <w:shd w:fill="FFFFFF" w:val="clear"/>
            <w:vAlign w:val="center"/>
            <w:tcMar>
              <w:top w:w="79" w:type="dxa"/>
              <w:start w:w="79" w:type="dxa"/>
              <w:bottom w:w="79" w:type="dxa"/>
              <w:end w:w="79" w:type="dxa"/>
            </w:tcMar>
          </w:tcPr>
          <w:p>
            <w:pPr>
              <w:spacing w:before="0" w:after="0" w:line="240" w:lineRule="auto"/>
            </w:pPr>
            <w:r>
              <w:rPr>
                <w:rFonts w:ascii="Arial" w:hAnsi="Arial" w:eastAsia="Arial"/>
                <w:b w:val="0"/>
                <w:color w:val="202020"/>
                <w:sz w:val="16"/>
              </w:rPr>
              <w:t>Criação da diretriz transversal de qualidade e construção de conteúdo; formalização dos critérios de clareza, adequação ao público, navegabilidade, coerência, proporcionalidade, autossuficiência contextual, proveniência e fonte autoritativa; adequação formal à Diretriz de Padronização Documental Institucional v3.0.</w:t>
            </w:r>
          </w:p>
        </w:tc>
      </w:tr>
      <w:tr>
        <w:tc>
          <w:tcPr>
            <w:tcW w:type="dxa" w:w="1200"/>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t>1.1</w:t>
            </w:r>
          </w:p>
        </w:tc>
        <w:tc>
          <w:tcPr>
            <w:tcW w:type="dxa" w:w="1600"/>
            <w:shd w:fill="FFFFFF" w:val="clear"/>
            <w:vAlign w:val="center"/>
            <w:tcMar>
              <w:top w:w="79" w:type="dxa"/>
              <w:start w:w="79" w:type="dxa"/>
              <w:bottom w:w="79" w:type="dxa"/>
              <w:end w:w="79" w:type="dxa"/>
            </w:tcMar>
          </w:tcPr>
          <w:p>
            <w:pPr>
              <w:spacing w:before="0" w:after="0" w:line="240" w:lineRule="auto"/>
            </w:pPr>
            <w:r>
              <w:rPr>
                <w:rFonts w:ascii="Arial" w:hAnsi="Arial" w:eastAsia="Arial"/>
                <w:b w:val="0"/>
                <w:color w:val="202020"/>
                <w:sz w:val="16"/>
              </w:rPr>
              <w:t>25/09/2026</w:t>
            </w:r>
          </w:p>
        </w:tc>
        <w:tc>
          <w:tcPr>
            <w:tcW w:type="dxa" w:w="6832"/>
            <w:shd w:fill="FFFFFF" w:val="clear"/>
            <w:vAlign w:val="center"/>
            <w:tcMar>
              <w:top w:w="79" w:type="dxa"/>
              <w:start w:w="79" w:type="dxa"/>
              <w:bottom w:w="79" w:type="dxa"/>
              <w:end w:w="79" w:type="dxa"/>
            </w:tcMar>
          </w:tcPr>
          <w:p>
            <w:pPr>
              <w:spacing w:before="0" w:after="0" w:line="240" w:lineRule="auto"/>
            </w:pPr>
            <w:r>
              <w:rPr>
                <w:rFonts w:ascii="Arial" w:hAnsi="Arial" w:eastAsia="Arial"/>
                <w:b w:val="0"/>
                <w:color w:val="202020"/>
                <w:sz w:val="16"/>
              </w:rPr>
              <w:t>Explicitação do tratamento de siglas na primeira ocorrência relevante, com exceções proporcionais ao público e ao domínio; reforço da consistência terminológica; inclusão da regra de complementaridade entre prosa e componentes estruturados, evitando repetição meramente narrativa; atualização do gate, do processo de redação e da referência à Diretriz de Padronização v3.1.</w:t>
            </w:r>
          </w:p>
        </w:tc>
      </w:tr>
      <w:tr>
        <w:tc>
          <w:tcPr>
            <w:tcW w:type="dxa" w:w="1200"/>
            <w:shd w:fill="FFFFFF" w:val="clear"/>
            <w:vAlign w:val="center"/>
            <w:tcMar>
              <w:top w:w="79" w:type="dxa"/>
              <w:start w:w="79" w:type="dxa"/>
              <w:bottom w:w="79" w:type="dxa"/>
              <w:end w:w="79" w:type="dxa"/>
            </w:tcMar>
          </w:tcPr>
          <w:p>
            <w:pPr>
              <w:spacing w:before="0" w:after="0" w:line="240" w:lineRule="auto"/>
              <w:jc w:val="left"/>
            </w:pPr>
            <w:r>
              <w:rPr>
                <w:rFonts w:ascii="Arial" w:hAnsi="Arial" w:eastAsia="Arial"/>
                <w:b/>
                <w:color w:val="202020"/>
                <w:sz w:val="16"/>
              </w:rPr>
              <w:t>1.2</w:t>
            </w:r>
          </w:p>
        </w:tc>
        <w:tc>
          <w:tcPr>
            <w:tcW w:type="dxa" w:w="1600"/>
            <w:shd w:fill="FFFFFF" w:val="clear"/>
            <w:vAlign w:val="center"/>
            <w:tcMar>
              <w:top w:w="79" w:type="dxa"/>
              <w:start w:w="79" w:type="dxa"/>
              <w:bottom w:w="79" w:type="dxa"/>
              <w:end w:w="79" w:type="dxa"/>
            </w:tcMar>
          </w:tcPr>
          <w:p>
            <w:pPr>
              <w:spacing w:before="0" w:after="0" w:line="240" w:lineRule="auto"/>
            </w:pPr>
            <w:r>
              <w:rPr>
                <w:rFonts w:ascii="Arial" w:hAnsi="Arial" w:eastAsia="Arial"/>
                <w:b w:val="0"/>
                <w:color w:val="202020"/>
                <w:sz w:val="16"/>
              </w:rPr>
              <w:t>21/10/2026</w:t>
            </w:r>
          </w:p>
        </w:tc>
        <w:tc>
          <w:tcPr>
            <w:tcW w:type="dxa" w:w="6832"/>
            <w:shd w:fill="FFFFFF" w:val="clear"/>
            <w:vAlign w:val="center"/>
            <w:tcMar>
              <w:top w:w="79" w:type="dxa"/>
              <w:start w:w="79" w:type="dxa"/>
              <w:bottom w:w="79" w:type="dxa"/>
              <w:end w:w="79" w:type="dxa"/>
            </w:tcMar>
          </w:tcPr>
          <w:p>
            <w:pPr>
              <w:spacing w:before="0" w:after="0" w:line="240" w:lineRule="auto"/>
            </w:pPr>
            <w:r>
              <w:rPr>
                <w:rFonts w:ascii="Arial" w:hAnsi="Arial" w:eastAsia="Arial"/>
                <w:b w:val="0"/>
                <w:color w:val="202020"/>
                <w:sz w:val="16"/>
              </w:rPr>
              <w:t>Inclusão do critério de coesão textual e paragrafação; formalização do parágrafo como unidade coerente de raciocínio; vedação à quebra mecânica por sentença; atualização do processo de redação, do gate de qualidade e da instrução operacional a partir de feedback de uso; validação dirigida dos comportamentos de coesão e promoção como diretriz institucional vigente após revisão cruzada final.</w:t>
            </w:r>
          </w:p>
        </w:tc>
      </w:tr>
    </w:tbl>
    <w:p>
      <w:pPr>
        <w:spacing w:before="300" w:after="120" w:line="240" w:lineRule="auto"/>
        <w:ind w:left="0" w:firstLine="0"/>
        <w:jc w:val="center"/>
        <w:keepNext/>
      </w:pPr>
      <w:r>
        <w:rPr>
          <w:rFonts w:ascii="Calibri" w:hAnsi="Calibri" w:eastAsia="Calibri" w:cs="Calibri"/>
          <w:b/>
          <w:i w:val="0"/>
          <w:color w:val="17365D"/>
          <w:sz w:val="31"/>
        </w:rPr>
        <w:t>Referências</w:t>
      </w:r>
    </w:p>
    <w:p>
      <w:pPr>
        <w:jc w:val="left"/>
      </w:pPr>
      <w:r>
        <w:rPr>
          <w:rFonts w:ascii="Arial" w:hAnsi="Arial" w:eastAsia="Arial" w:cs="Arial"/>
          <w:b w:val="0"/>
          <w:i w:val="0"/>
          <w:color w:val="202020"/>
          <w:sz w:val="20"/>
        </w:rPr>
        <w:t>ASSOCIAÇÃO BRASILEIRA DE NORMAS TÉCNICAS. ABNT NBR ISO 10013:2021: Sistemas de gestão da qualidade - Orientação para informação documentada. Rio de Janeiro: ABNT, 2021.</w:t>
      </w:r>
    </w:p>
    <w:p>
      <w:pPr>
        <w:jc w:val="left"/>
      </w:pPr>
      <w:r>
        <w:rPr>
          <w:rFonts w:ascii="Arial" w:hAnsi="Arial" w:eastAsia="Arial" w:cs="Arial"/>
          <w:b w:val="0"/>
          <w:i w:val="0"/>
          <w:color w:val="202020"/>
          <w:sz w:val="20"/>
        </w:rPr>
        <w:t>ASSOCIAÇÃO BRASILEIRA DE NORMAS TÉCNICAS. ABNT NBR 10520:2023: Informação e documentação - Citações em documentos - Apresentação. Rio de Janeiro: ABNT, 2023.</w:t>
      </w:r>
    </w:p>
    <w:p>
      <w:pPr>
        <w:jc w:val="left"/>
      </w:pPr>
      <w:r>
        <w:rPr>
          <w:rFonts w:ascii="Arial" w:hAnsi="Arial" w:eastAsia="Arial" w:cs="Arial"/>
          <w:b w:val="0"/>
          <w:i w:val="0"/>
          <w:color w:val="202020"/>
          <w:sz w:val="20"/>
        </w:rPr>
        <w:t>ASSOCIAÇÃO BRASILEIRA DE NORMAS TÉCNICAS. ABNT NBR 6023:2025: Informação e documentação - Referências - Elaboração. Rio de Janeiro: ABNT, 2025.</w:t>
      </w:r>
    </w:p>
    <w:p>
      <w:pPr>
        <w:jc w:val="left"/>
      </w:pPr>
      <w:r>
        <w:rPr>
          <w:rFonts w:ascii="Arial" w:hAnsi="Arial" w:eastAsia="Arial" w:cs="Arial"/>
          <w:b w:val="0"/>
          <w:i w:val="0"/>
          <w:color w:val="202020"/>
          <w:sz w:val="20"/>
        </w:rPr>
        <w:t>INTERNATIONAL ORGANIZATION FOR STANDARDIZATION. ISO 24495-1:2023: Plain language - Part 1: Governing principles and guidelines. Geneva: ISO, 2023.</w:t>
      </w:r>
    </w:p>
    <w:p>
      <w:pPr>
        <w:jc w:val="left"/>
      </w:pPr>
      <w:r>
        <w:rPr>
          <w:rFonts w:ascii="Arial" w:hAnsi="Arial" w:eastAsia="Arial" w:cs="Arial"/>
          <w:b w:val="0"/>
          <w:i w:val="0"/>
          <w:color w:val="202020"/>
          <w:sz w:val="20"/>
        </w:rPr>
        <w:t>MUNZLINGER, Johann. Diretriz de Padronização Documental Institucional. Versão 3.3. Diretriz institucional vigente, 2026.</w:t>
      </w:r>
    </w:p>
    <w:sectPr>
      <w:headerReference w:type="default" r:id="rId11"/>
      <w:footerReference w:type="default" r:id="rId12"/>
      <w:pgSz w:w="12240" w:h="15840"/>
      <w:pgMar w:left="1361" w:right="1247" w:gutter="0" w:header="510" w:top="1247" w:footer="51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before="0" w:after="0" w:line="240" w:lineRule="auto"/>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al" w:hAnsi="Arial" w:eastAsia="Arial" w:cs="Arial"/>
        <w:b w:val="0"/>
        <w:color w:val="7A7A7A"/>
        <w:sz w:val="14"/>
      </w:rPr>
      <w:t xml:space="preserve">Página </w:t>
    </w:r>
    <w:r>
      <w:rPr>
        <w:rFonts w:ascii="Arial" w:hAnsi="Arial" w:eastAsia="Arial" w:cs="Arial"/>
        <w:b w:val="0"/>
        <w:color w:val="7A7A7A"/>
        <w:sz w:val="14"/>
      </w:rPr>
      <w:fldChar w:fldCharType="begin"/>
    </w:r>
    <w:r>
      <w:rPr>
        <w:rFonts w:ascii="Arial" w:hAnsi="Arial" w:eastAsia="Arial" w:cs="Arial"/>
        <w:b w:val="0"/>
        <w:color w:val="7A7A7A"/>
        <w:sz w:val="14"/>
      </w:rPr>
      <w:instrText xml:space="preserve"> PAGE </w:instrText>
    </w:r>
    <w:r>
      <w:rPr>
        <w:rFonts w:ascii="Arial" w:hAnsi="Arial" w:eastAsia="Arial" w:cs="Arial"/>
        <w:b w:val="0"/>
        <w:color w:val="7A7A7A"/>
        <w:sz w:val="14"/>
      </w:rPr>
      <w:fldChar w:fldCharType="separate"/>
    </w:r>
    <w:r>
      <w:rPr>
        <w:rFonts w:ascii="Arial" w:hAnsi="Arial" w:eastAsia="Arial" w:cs="Arial"/>
        <w:b w:val="0"/>
        <w:color w:val="7A7A7A"/>
        <w:sz w:val="14"/>
      </w:rPr>
      <w:t>1</w:t>
    </w:r>
    <w:r>
      <w:rPr>
        <w:rFonts w:ascii="Arial" w:hAnsi="Arial" w:eastAsia="Arial" w:cs="Arial"/>
        <w:b w:val="0"/>
        <w:color w:val="7A7A7A"/>
        <w:sz w:val="14"/>
      </w:rPr>
      <w:fldChar w:fldCharType="end"/>
    </w:r>
    <w:r>
      <w:rPr>
        <w:rFonts w:ascii="Arial" w:hAnsi="Arial" w:eastAsia="Arial" w:cs="Arial"/>
        <w:b w:val="0"/>
        <w:color w:val="7A7A7A"/>
        <w:sz w:val="14"/>
      </w:rPr>
      <w:t xml:space="preserve"> de </w:t>
    </w:r>
    <w:r>
      <w:rPr>
        <w:rFonts w:ascii="Arial" w:hAnsi="Arial" w:eastAsia="Arial" w:cs="Arial"/>
        <w:b w:val="0"/>
        <w:color w:val="7A7A7A"/>
        <w:sz w:val="14"/>
      </w:rPr>
      <w:fldChar w:fldCharType="begin"/>
    </w:r>
    <w:r>
      <w:rPr>
        <w:rFonts w:ascii="Arial" w:hAnsi="Arial" w:eastAsia="Arial" w:cs="Arial"/>
        <w:b w:val="0"/>
        <w:color w:val="7A7A7A"/>
        <w:sz w:val="14"/>
      </w:rPr>
      <w:instrText xml:space="preserve"> NUMPAGES </w:instrText>
    </w:r>
    <w:r>
      <w:rPr>
        <w:rFonts w:ascii="Arial" w:hAnsi="Arial" w:eastAsia="Arial" w:cs="Arial"/>
        <w:b w:val="0"/>
        <w:color w:val="7A7A7A"/>
        <w:sz w:val="14"/>
      </w:rPr>
      <w:fldChar w:fldCharType="separate"/>
    </w:r>
    <w:r>
      <w:rPr>
        <w:rFonts w:ascii="Arial" w:hAnsi="Arial" w:eastAsia="Arial" w:cs="Arial"/>
        <w:b w:val="0"/>
        <w:color w:val="7A7A7A"/>
        <w:sz w:val="14"/>
      </w:rPr>
      <w:t>1</w:t>
    </w:r>
    <w:r>
      <w:rPr>
        <w:rFonts w:ascii="Arial" w:hAnsi="Arial" w:eastAsia="Arial" w:cs="Arial"/>
        <w:b w:val="0"/>
        <w:color w:val="7A7A7A"/>
        <w:sz w:val="1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before="0" w:after="0" w:line="240" w:lineRule="aut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3" w:color="D9E2F3"/>
      </w:pBdr>
    </w:pPr>
    <w:r>
      <w:rPr>
        <w:rFonts w:ascii="Arial" w:hAnsi="Arial" w:eastAsia="Arial" w:cs="Arial"/>
        <w:b w:val="0"/>
        <w:color w:val="7A7A7A"/>
        <w:sz w:val="14"/>
      </w:rPr>
      <w:t>Governança Documental | Qualidade de Conteúdo  •  Diretriz Interna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480"/>
        </w:tabs>
        <w:ind w:left="480" w:hanging="48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0"/>
    <w:qFormat/>
    <w:rsid w:val="2c35f738"/>
    <w:pPr>
      <w:widowControl/>
      <w:bidi w:val="0"/>
      <w:spacing w:lineRule="auto" w:line="276" w:before="0" w:after="90"/>
      <w:jc w:val="left"/>
    </w:pPr>
    <w:rPr>
      <w:rFonts w:ascii="Arial" w:hAnsi="Arial" w:eastAsia="Arial" w:cs="Arial"/>
      <w:color w:val="202020"/>
      <w:kern w:val="0"/>
      <w:sz w:val="20"/>
      <w:szCs w:val="20"/>
      <w:lang w:val="pt-BR" w:eastAsia="en-US" w:bidi="ar-SA"/>
    </w:rPr>
  </w:style>
  <w:style w:type="paragraph" w:styleId="Heading1">
    <w:name w:val="Heading 1"/>
    <w:basedOn w:val="Normal"/>
    <w:next w:val="Normal"/>
    <w:link w:val="Heading1Char"/>
    <w:uiPriority w:val="9"/>
    <w:qFormat/>
    <w:rsid w:val="2c35f738"/>
    <w:pPr>
      <w:keepNext/>
      <w:keepLines/>
      <w:pageBreakBefore w:val="0"/>
      <w:spacing w:before="300" w:after="120" w:line="240" w:lineRule="auto"/>
      <w:outlineLvl w:val="0"/>
    </w:pPr>
    <w:rPr>
      <w:rFonts w:ascii="Calibri" w:hAnsi="Calibri" w:eastAsia="ＭＳ ゴシック" w:cs="" w:asciiTheme="majorAscii" w:cstheme="majorBidi" w:eastAsiaTheme="majorEastAsia" w:hAnsiTheme="majorAscii"/>
      <w:b/>
      <w:bCs/>
      <w:color w:themeColor="text2" w:themeShade="bf" w:val="17365D"/>
      <w:sz w:val="31"/>
      <w:szCs w:val="31"/>
    </w:rPr>
  </w:style>
  <w:style w:type="paragraph" w:styleId="Heading2">
    <w:name w:val="Heading 2"/>
    <w:basedOn w:val="Normal"/>
    <w:next w:val="Normal"/>
    <w:link w:val="Heading2Char"/>
    <w:uiPriority w:val="9"/>
    <w:unhideWhenUsed/>
    <w:qFormat/>
    <w:rsid w:val="2c35f738"/>
    <w:pPr>
      <w:keepNext/>
      <w:keepLines/>
      <w:pageBreakBefore w:val="0"/>
      <w:spacing w:before="220" w:after="80" w:line="240" w:lineRule="auto"/>
      <w:outlineLvl w:val="1"/>
    </w:pPr>
    <w:rPr>
      <w:rFonts w:ascii="Calibri" w:hAnsi="Calibri" w:eastAsia="ＭＳ ゴシック" w:cs="" w:asciiTheme="majorAscii" w:cstheme="majorBidi" w:eastAsiaTheme="majorEastAsia" w:hAnsiTheme="majorAscii"/>
      <w:b/>
      <w:bCs/>
      <w:color w:val="2F5597"/>
      <w:sz w:val="24"/>
      <w:szCs w:val="24"/>
    </w:rPr>
  </w:style>
  <w:style w:type="paragraph" w:styleId="Heading3">
    <w:name w:val="Heading 3"/>
    <w:basedOn w:val="Normal"/>
    <w:next w:val="Normal"/>
    <w:link w:val="Heading3Char"/>
    <w:uiPriority w:val="9"/>
    <w:unhideWhenUsed/>
    <w:qFormat/>
    <w:rsid w:val="2c35f738"/>
    <w:pPr>
      <w:keepNext/>
      <w:keepLines/>
      <w:pageBreakBefore w:val="0"/>
      <w:spacing w:before="160" w:after="50"/>
      <w:outlineLvl w:val="2"/>
    </w:pPr>
    <w:rPr>
      <w:rFonts w:ascii="Calibri" w:hAnsi="Calibri" w:eastAsia="ＭＳ ゴシック" w:cs="" w:asciiTheme="majorAscii" w:cstheme="majorBidi" w:eastAsiaTheme="majorEastAsia" w:hAnsiTheme="majorAscii"/>
      <w:b/>
      <w:bCs/>
      <w:color w:themeColor="text2" w:themeShade="bf" w:val="17365D"/>
      <w:sz w:val="21"/>
      <w:szCs w:val="21"/>
    </w:rPr>
  </w:style>
  <w:style w:type="paragraph" w:styleId="Heading4">
    <w:name w:val="Heading 4"/>
    <w:basedOn w:val="Normal"/>
    <w:next w:val="Normal"/>
    <w:link w:val="Heading4Char"/>
    <w:uiPriority w:val="9"/>
    <w:semiHidden/>
    <w:unhideWhenUsed/>
    <w:qFormat/>
    <w:rsid w:val="2c35f738"/>
    <w:pPr>
      <w:keepNext w:val="true"/>
      <w:keepLines/>
      <w:spacing w:before="200" w:after="0"/>
      <w:outlineLvl w:val="3"/>
    </w:pPr>
    <w:rPr>
      <w:rFonts w:ascii="Calibri" w:hAnsi="Calibri" w:eastAsia="ＭＳ ゴシック" w:cs="" w:asciiTheme="majorAscii" w:cstheme="majorBidi" w:eastAsiaTheme="majorEastAsia" w:hAnsiTheme="majorAscii"/>
      <w:b/>
      <w:bCs/>
      <w:i/>
      <w:iCs/>
      <w:color w:themeColor="accent1" w:val="4F81BD"/>
    </w:rPr>
  </w:style>
  <w:style w:type="paragraph" w:styleId="Heading5">
    <w:name w:val="Heading 5"/>
    <w:basedOn w:val="Normal"/>
    <w:next w:val="Normal"/>
    <w:link w:val="Heading5Char"/>
    <w:uiPriority w:val="9"/>
    <w:semiHidden/>
    <w:unhideWhenUsed/>
    <w:qFormat/>
    <w:rsid w:val="2c35f738"/>
    <w:pPr>
      <w:keepNext w:val="true"/>
      <w:keepLines/>
      <w:spacing w:before="200" w:after="0"/>
      <w:outlineLvl w:val="4"/>
    </w:pPr>
    <w:rPr>
      <w:rFonts w:ascii="Calibri" w:hAnsi="Calibri" w:eastAsia="ＭＳ ゴシック" w:cs="" w:asciiTheme="majorAscii" w:cstheme="majorBidi" w:eastAsiaTheme="majorEastAsia" w:hAnsiTheme="majorAscii"/>
      <w:color w:val="243F60"/>
    </w:rPr>
  </w:style>
  <w:style w:type="paragraph" w:styleId="Heading6">
    <w:name w:val="Heading 6"/>
    <w:basedOn w:val="Normal"/>
    <w:next w:val="Normal"/>
    <w:link w:val="Heading6Char"/>
    <w:uiPriority w:val="9"/>
    <w:semiHidden/>
    <w:unhideWhenUsed/>
    <w:qFormat/>
    <w:rsid w:val="2c35f738"/>
    <w:pPr>
      <w:keepNext w:val="true"/>
      <w:keepLines/>
      <w:spacing w:before="200" w:after="0"/>
      <w:outlineLvl w:val="5"/>
    </w:pPr>
    <w:rPr>
      <w:rFonts w:ascii="Calibri" w:hAnsi="Calibri" w:eastAsia="ＭＳ ゴシック" w:cs="" w:asciiTheme="majorAscii" w:cstheme="majorBidi" w:eastAsiaTheme="majorEastAsia" w:hAnsiTheme="majorAscii"/>
      <w:i/>
      <w:iCs/>
      <w:color w:val="243F60"/>
    </w:rPr>
  </w:style>
  <w:style w:type="paragraph" w:styleId="Heading7">
    <w:name w:val="Heading 7"/>
    <w:basedOn w:val="Normal"/>
    <w:next w:val="Normal"/>
    <w:link w:val="Heading7Char"/>
    <w:uiPriority w:val="9"/>
    <w:semiHidden/>
    <w:unhideWhenUsed/>
    <w:qFormat/>
    <w:rsid w:val="2c35f738"/>
    <w:pPr>
      <w:keepNext w:val="true"/>
      <w:keepLines/>
      <w:spacing w:before="200" w:after="0"/>
      <w:outlineLvl w:val="6"/>
    </w:pPr>
    <w:rPr>
      <w:rFonts w:ascii="Calibri" w:hAnsi="Calibri" w:eastAsia="ＭＳ ゴシック" w:cs="" w:asciiTheme="majorAscii" w:cstheme="majorBidi" w:eastAsiaTheme="majorEastAsia" w:hAnsiTheme="majorAscii"/>
      <w:i/>
      <w:iCs/>
      <w:color w:themeColor="text1" w:themeTint="bf" w:val="404040"/>
    </w:rPr>
  </w:style>
  <w:style w:type="paragraph" w:styleId="Heading8">
    <w:name w:val="Heading 8"/>
    <w:basedOn w:val="Normal"/>
    <w:next w:val="Normal"/>
    <w:link w:val="Heading8Char"/>
    <w:uiPriority w:val="9"/>
    <w:semiHidden/>
    <w:unhideWhenUsed/>
    <w:qFormat/>
    <w:rsid w:val="2c35f738"/>
    <w:pPr>
      <w:keepNext w:val="true"/>
      <w:keepLines/>
      <w:spacing w:before="200" w:after="0"/>
      <w:outlineLvl w:val="7"/>
    </w:pPr>
    <w:rPr>
      <w:rFonts w:ascii="Calibri" w:hAnsi="Calibri" w:eastAsia="ＭＳ ゴシック" w:cs="" w:asciiTheme="majorAscii" w:cstheme="majorBidi" w:eastAsiaTheme="majorEastAsia" w:hAnsiTheme="majorAscii"/>
      <w:color w:themeColor="accent1" w:val="4F81BD"/>
    </w:rPr>
  </w:style>
  <w:style w:type="paragraph" w:styleId="Heading9">
    <w:name w:val="Heading 9"/>
    <w:basedOn w:val="Normal"/>
    <w:next w:val="Normal"/>
    <w:link w:val="Heading9Char"/>
    <w:uiPriority w:val="9"/>
    <w:semiHidden/>
    <w:unhideWhenUsed/>
    <w:qFormat/>
    <w:rsid w:val="2c35f738"/>
    <w:pPr>
      <w:keepNext w:val="true"/>
      <w:keepLines/>
      <w:spacing w:before="200" w:after="0"/>
      <w:outlineLvl w:val="8"/>
    </w:pPr>
    <w:rPr>
      <w:rFonts w:ascii="Calibri" w:hAnsi="Calibri" w:eastAsia="ＭＳ ゴシック" w:cs="" w:asciiTheme="majorAscii" w:cstheme="majorBidi" w:eastAsiaTheme="majorEastAsia" w:hAnsiTheme="majorAscii"/>
      <w:i/>
      <w:iCs/>
      <w:color w:themeColor="text1" w:themeTint="bf" w:val="40404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2c35f738"/>
    <w:pPr>
      <w:spacing w:before="0" w:after="120"/>
    </w:pPr>
    <w:rPr/>
  </w:style>
  <w:style w:type="paragraph" w:styleId="List">
    <w:name w:val="List"/>
    <w:basedOn w:val="Normal"/>
    <w:uiPriority w:val="99"/>
    <w:unhideWhenUsed/>
    <w:rsid w:val="2c35f738"/>
    <w:pPr>
      <w:spacing w:before="0" w:after="90"/>
      <w:ind w:hanging="360" w:left="360"/>
      <w:contextualSpacing/>
    </w:pPr>
    <w:rPr/>
  </w:style>
  <w:style w:type="paragraph" w:styleId="Caption">
    <w:name w:val="Caption"/>
    <w:basedOn w:val="Normal"/>
    <w:next w:val="Normal"/>
    <w:uiPriority w:val="35"/>
    <w:semiHidden/>
    <w:unhideWhenUsed/>
    <w:qFormat/>
    <w:rsid w:val="2c35f738"/>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alhoerodap">
    <w:name w:val="Cabeçalho e rodapé"/>
    <w:basedOn w:val="Normal"/>
    <w:qFormat/>
    <w:pPr/>
    <w:rPr/>
  </w:style>
  <w:style w:type="paragraph" w:styleId="Header">
    <w:name w:val="Header"/>
    <w:basedOn w:val="Normal"/>
    <w:link w:val="HeaderChar"/>
    <w:uiPriority w:val="99"/>
    <w:unhideWhenUsed/>
    <w:rsid w:val="2c35f738"/>
    <w:pPr>
      <w:tabs>
        <w:tab w:val="clear" w:pos="720"/>
        <w:tab w:val="center" w:pos="4680" w:leader="none"/>
        <w:tab w:val="right" w:pos="9360" w:leader="none"/>
      </w:tabs>
      <w:spacing w:before="0" w:after="0"/>
    </w:pPr>
    <w:rPr/>
  </w:style>
  <w:style w:type="paragraph" w:styleId="Footer">
    <w:name w:val="Footer"/>
    <w:basedOn w:val="Normal"/>
    <w:link w:val="FooterChar"/>
    <w:uiPriority w:val="99"/>
    <w:unhideWhenUsed/>
    <w:rsid w:val="2c35f738"/>
    <w:pPr>
      <w:tabs>
        <w:tab w:val="clear" w:pos="720"/>
        <w:tab w:val="center" w:pos="4680" w:leader="none"/>
        <w:tab w:val="right" w:pos="9360" w:leader="none"/>
      </w:tabs>
      <w:spacing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2c35f738"/>
    <w:pPr>
      <w:keepNext w:val="true"/>
      <w:pBdr>
        <w:bottom w:val="single" w:sz="8" w:space="4" w:color="4F81BD" w:themeColor="accent1"/>
      </w:pBdr>
      <w:spacing w:before="0" w:after="180"/>
      <w:contextualSpacing/>
    </w:pPr>
    <w:rPr>
      <w:rFonts w:ascii="Calibri" w:hAnsi="Calibri" w:eastAsia="ＭＳ ゴシック" w:cs="" w:asciiTheme="majorAscii" w:cstheme="majorBidi" w:eastAsiaTheme="majorEastAsia" w:hAnsiTheme="majorAscii"/>
      <w:b/>
      <w:bCs/>
      <w:color w:themeColor="text2" w:themeShade="bf" w:val="17365D"/>
      <w:sz w:val="48"/>
      <w:szCs w:val="48"/>
    </w:rPr>
  </w:style>
  <w:style w:type="paragraph" w:styleId="Subtitle">
    <w:name w:val="Subtitle"/>
    <w:basedOn w:val="Normal"/>
    <w:next w:val="Normal"/>
    <w:link w:val="SubtitleChar"/>
    <w:uiPriority w:val="11"/>
    <w:qFormat/>
    <w:rsid w:val="2c35f738"/>
    <w:pPr>
      <w:keepNext w:val="true"/>
      <w:spacing w:before="0" w:after="200"/>
    </w:pPr>
    <w:rPr>
      <w:rFonts w:ascii="Calibri" w:hAnsi="Calibri" w:eastAsia="ＭＳ ゴシック" w:cs="" w:asciiTheme="majorAscii" w:cstheme="majorBidi" w:eastAsiaTheme="majorEastAsia" w:hAnsiTheme="majorAscii"/>
      <w:b w:val="false"/>
      <w:bCs w:val="false"/>
      <w:i w:val="false"/>
      <w:iCs w:val="false"/>
      <w:color w:val="4A4A4A"/>
      <w:sz w:val="22"/>
      <w:szCs w:val="22"/>
    </w:rPr>
  </w:style>
  <w:style w:type="paragraph" w:styleId="ListParagraph">
    <w:name w:val="List Paragraph"/>
    <w:basedOn w:val="Normal"/>
    <w:uiPriority w:val="34"/>
    <w:qFormat/>
    <w:rsid w:val="2c35f738"/>
    <w:pPr>
      <w:spacing w:before="0" w:after="90"/>
      <w:ind w:left="720"/>
      <w:contextualSpacing/>
    </w:pPr>
    <w:rPr/>
  </w:style>
  <w:style w:type="paragraph" w:styleId="BodyText2">
    <w:name w:val="Body Text 2"/>
    <w:basedOn w:val="Normal"/>
    <w:link w:val="BodyText2Char"/>
    <w:uiPriority w:val="99"/>
    <w:unhideWhenUsed/>
    <w:qFormat/>
    <w:rsid w:val="2c35f738"/>
    <w:pPr>
      <w:spacing w:before="0" w:after="120"/>
    </w:pPr>
    <w:rPr/>
  </w:style>
  <w:style w:type="paragraph" w:styleId="BodyText3">
    <w:name w:val="Body Text 3"/>
    <w:basedOn w:val="Normal"/>
    <w:link w:val="BodyText3Char"/>
    <w:uiPriority w:val="99"/>
    <w:unhideWhenUsed/>
    <w:qFormat/>
    <w:rsid w:val="2c35f738"/>
    <w:pPr>
      <w:spacing w:before="0" w:after="120"/>
    </w:pPr>
    <w:rPr>
      <w:sz w:val="16"/>
      <w:szCs w:val="16"/>
    </w:rPr>
  </w:style>
  <w:style w:type="paragraph" w:styleId="List2">
    <w:name w:val="List 2"/>
    <w:basedOn w:val="Normal"/>
    <w:uiPriority w:val="99"/>
    <w:unhideWhenUsed/>
    <w:qFormat/>
    <w:rsid w:val="2c35f738"/>
    <w:pPr>
      <w:spacing w:before="0" w:after="90"/>
      <w:ind w:hanging="360" w:left="720"/>
      <w:contextualSpacing/>
    </w:pPr>
    <w:rPr/>
  </w:style>
  <w:style w:type="paragraph" w:styleId="List3">
    <w:name w:val="List 3"/>
    <w:basedOn w:val="Normal"/>
    <w:uiPriority w:val="99"/>
    <w:unhideWhenUsed/>
    <w:qFormat/>
    <w:rsid w:val="2c35f738"/>
    <w:pPr>
      <w:spacing w:before="0" w:after="90"/>
      <w:ind w:hanging="360" w:left="1080"/>
      <w:contextualSpacing/>
    </w:pPr>
    <w:rPr/>
  </w:style>
  <w:style w:type="paragraph" w:styleId="ListBullet">
    <w:name w:val="List Bullet"/>
    <w:basedOn w:val="Normal"/>
    <w:uiPriority w:val="99"/>
    <w:unhideWhenUsed/>
    <w:rsid w:val="2c35f738"/>
    <w:pPr>
      <w:numPr>
        <w:ilvl w:val="0"/>
        <w:numId w:val="1"/>
      </w:numPr>
      <w:spacing w:before="0" w:after="90" w:line="276" w:lineRule="auto"/>
      <w:ind w:hanging="125" w:left="272"/>
      <w:contextualSpacing/>
    </w:pPr>
    <w:rPr>
      <w:rFonts w:ascii="Arial" w:hAnsi="Arial"/>
      <w:color w:val="202020"/>
      <w:sz w:val="20"/>
      <w:szCs w:val="19"/>
    </w:rPr>
  </w:style>
  <w:style w:type="paragraph" w:styleId="ListBullet2">
    <w:name w:val="List Bullet 2"/>
    <w:basedOn w:val="Normal"/>
    <w:uiPriority w:val="99"/>
    <w:unhideWhenUsed/>
    <w:rsid w:val="2c35f738"/>
    <w:pPr>
      <w:numPr>
        <w:ilvl w:val="0"/>
        <w:numId w:val="2"/>
      </w:numPr>
      <w:spacing w:before="0" w:after="90"/>
      <w:contextualSpacing/>
    </w:pPr>
    <w:rPr/>
  </w:style>
  <w:style w:type="paragraph" w:styleId="ListBullet3">
    <w:name w:val="List Bullet 3"/>
    <w:basedOn w:val="Normal"/>
    <w:uiPriority w:val="99"/>
    <w:unhideWhenUsed/>
    <w:rsid w:val="2c35f738"/>
    <w:pPr>
      <w:numPr>
        <w:ilvl w:val="0"/>
        <w:numId w:val="3"/>
      </w:numPr>
      <w:spacing w:before="0" w:after="90"/>
      <w:contextualSpacing/>
    </w:pPr>
    <w:rPr/>
  </w:style>
  <w:style w:type="paragraph" w:styleId="ListNumber">
    <w:name w:val="List Number"/>
    <w:basedOn w:val="Normal"/>
    <w:uiPriority w:val="99"/>
    <w:unhideWhenUsed/>
    <w:rsid w:val="2c35f738"/>
    <w:pPr>
      <w:numPr>
        <w:ilvl w:val="0"/>
        <w:numId w:val="4"/>
      </w:numPr>
      <w:spacing w:before="0" w:after="90"/>
      <w:contextualSpacing/>
    </w:pPr>
    <w:rPr/>
  </w:style>
  <w:style w:type="paragraph" w:styleId="ListNumber2">
    <w:name w:val="List Number 2"/>
    <w:basedOn w:val="Normal"/>
    <w:uiPriority w:val="99"/>
    <w:unhideWhenUsed/>
    <w:rsid w:val="2c35f738"/>
    <w:pPr>
      <w:numPr>
        <w:ilvl w:val="0"/>
        <w:numId w:val="5"/>
      </w:numPr>
      <w:spacing w:before="0" w:after="90"/>
      <w:contextualSpacing/>
    </w:pPr>
    <w:rPr/>
  </w:style>
  <w:style w:type="paragraph" w:styleId="ListNumber3">
    <w:name w:val="List Number 3"/>
    <w:basedOn w:val="Normal"/>
    <w:uiPriority w:val="99"/>
    <w:unhideWhenUsed/>
    <w:rsid w:val="2c35f738"/>
    <w:pPr>
      <w:numPr>
        <w:ilvl w:val="0"/>
        <w:numId w:val="6"/>
      </w:numPr>
      <w:spacing w:before="0" w:after="90"/>
      <w:contextualSpacing/>
    </w:pPr>
    <w:rPr/>
  </w:style>
  <w:style w:type="paragraph" w:styleId="ListContinue">
    <w:name w:val="List Continue"/>
    <w:basedOn w:val="Normal"/>
    <w:uiPriority w:val="99"/>
    <w:unhideWhenUsed/>
    <w:rsid w:val="2c35f738"/>
    <w:pPr>
      <w:spacing w:before="0" w:after="120"/>
      <w:ind w:left="360"/>
      <w:contextualSpacing/>
    </w:pPr>
    <w:rPr/>
  </w:style>
  <w:style w:type="paragraph" w:styleId="ListContinue2">
    <w:name w:val="List Continue 2"/>
    <w:basedOn w:val="Normal"/>
    <w:uiPriority w:val="99"/>
    <w:unhideWhenUsed/>
    <w:rsid w:val="2c35f738"/>
    <w:pPr>
      <w:spacing w:before="0" w:after="120"/>
      <w:ind w:left="720"/>
      <w:contextualSpacing/>
    </w:pPr>
    <w:rPr/>
  </w:style>
  <w:style w:type="paragraph" w:styleId="ListContinue3">
    <w:name w:val="List Continue 3"/>
    <w:basedOn w:val="Normal"/>
    <w:uiPriority w:val="99"/>
    <w:unhideWhenUsed/>
    <w:rsid w:val="2c35f738"/>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2c35f738"/>
    <w:pPr/>
    <w:rPr>
      <w:i/>
      <w:iCs/>
      <w:color w:themeColor="text1" w:val="000000"/>
    </w:rPr>
  </w:style>
  <w:style w:type="paragraph" w:styleId="IntenseQuote">
    <w:name w:val="Intense Quote"/>
    <w:basedOn w:val="Normal"/>
    <w:next w:val="Normal"/>
    <w:link w:val="IntenseQuoteChar"/>
    <w:uiPriority w:val="30"/>
    <w:qFormat/>
    <w:rsid w:val="2c35f738"/>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paragraph" w:styleId="SectionLabel" w:customStyle="1">
    <w:name w:val="Section Label"/>
    <w:qFormat/>
    <w:pPr>
      <w:keepNext w:val="true"/>
      <w:widowControl/>
      <w:bidi w:val="0"/>
      <w:spacing w:lineRule="auto" w:line="276" w:before="0" w:after="80"/>
      <w:jc w:val="left"/>
    </w:pPr>
    <w:rPr>
      <w:rFonts w:ascii="Arial" w:hAnsi="Arial" w:eastAsia="Arial" w:cs="Arial"/>
      <w:b/>
      <w:color w:val="2F5597"/>
      <w:kern w:val="0"/>
      <w:sz w:val="17"/>
      <w:szCs w:val="22"/>
      <w:lang w:val="en-US" w:eastAsia="en-US" w:bidi="ar-SA"/>
    </w:rPr>
  </w:style>
  <w:style w:type="paragraph" w:styleId="SmallText" w:customStyle="1">
    <w:name w:val="Small Text"/>
    <w:qFormat/>
    <w:pPr>
      <w:widowControl/>
      <w:bidi w:val="0"/>
      <w:spacing w:lineRule="auto" w:line="276" w:before="0" w:after="0"/>
      <w:jc w:val="left"/>
    </w:pPr>
    <w:rPr>
      <w:rFonts w:ascii="Arial" w:hAnsi="Arial" w:eastAsia="Arial" w:cs="Arial"/>
      <w:color w:val="666666"/>
      <w:kern w:val="0"/>
      <w:sz w:val="16"/>
      <w:szCs w:val="22"/>
      <w:lang w:val="en-US" w:eastAsia="en-US" w:bidi="ar-SA"/>
    </w:rPr>
  </w:style>
  <w:style w:type="paragraph" w:styleId="SubsectionLabel" w:customStyle="1">
    <w:name w:val="Subsection Label"/>
    <w:basedOn w:val="Normal"/>
    <w:uiPriority w:val="1"/>
    <w:qFormat/>
    <w:rsid w:val="2c35f738"/>
    <w:pPr>
      <w:keepNext w:val="true"/>
      <w:spacing w:before="100" w:after="30"/>
    </w:pPr>
    <w:rPr>
      <w:b/>
      <w:bCs/>
      <w:color w:themeColor="text2" w:themeShade="bf" w:val="17365D"/>
    </w:rPr>
  </w:style>
  <w:style w:type="paragraph" w:styleId="TOCHeadingCustom" w:customStyle="1">
    <w:name w:val="TOC Heading Custom"/>
    <w:basedOn w:val="Normal"/>
    <w:uiPriority w:val="1"/>
    <w:qFormat/>
    <w:rsid w:val="2c35f738"/>
    <w:pPr>
      <w:keepNext w:val="true"/>
      <w:spacing w:before="0" w:after="240" w:line="240" w:lineRule="auto"/>
    </w:pPr>
    <w:rPr>
      <w:rFonts w:ascii="Calibri" w:hAnsi="Calibri"/>
      <w:b/>
      <w:bCs/>
      <w:color w:val="17365D"/>
      <w:sz w:val="31"/>
      <w:szCs w:val="31"/>
    </w:rPr>
  </w:style>
  <w:style w:type="paragraph" w:styleId="TOCEntry1Custom" w:customStyle="1">
    <w:name w:val="TOC Entry 1 Custom"/>
    <w:basedOn w:val="Normal"/>
    <w:uiPriority w:val="1"/>
    <w:qFormat/>
    <w:rsid w:val="2c35f738"/>
    <w:pPr>
      <w:keepLines/>
      <w:tabs>
        <w:tab w:pos="9632" w:val="right" w:leader="dot"/>
      </w:tabs>
      <w:spacing w:before="0" w:after="30" w:line="240" w:lineRule="auto"/>
      <w:ind w:hanging="0" w:left="0"/>
    </w:pPr>
    <w:rPr>
      <w:rFonts w:ascii="Arial" w:hAnsi="Arial"/>
      <w:b/>
      <w:bCs/>
      <w:color w:val="202020"/>
      <w:sz w:val="19"/>
      <w:szCs w:val="19"/>
    </w:rPr>
  </w:style>
  <w:style w:type="paragraph" w:styleId="TOCEntry2Custom" w:customStyle="1">
    <w:name w:val="TOC Entry 2 Custom"/>
    <w:basedOn w:val="Normal"/>
    <w:uiPriority w:val="1"/>
    <w:qFormat/>
    <w:rsid w:val="2c35f738"/>
    <w:pPr>
      <w:keepLines/>
      <w:tabs>
        <w:tab w:val="clear" w:pos="720"/>
        <w:tab w:val="right" w:pos="9144" w:leader="dot"/>
      </w:tabs>
      <w:spacing w:before="0" w:after="10"/>
      <w:ind w:hanging="0" w:left="238"/>
    </w:pPr>
    <w:rPr>
      <w:b w:val="false"/>
      <w:bCs w:val="false"/>
      <w:sz w:val="18"/>
      <w:szCs w:val="18"/>
    </w:rPr>
  </w:style>
  <w:style w:type="numbering" w:styleId="Semlista" w:default="1">
    <w:name w:val="Sem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11</Pages>
  <Words>3342</Words>
  <Characters>20120</Characters>
  <CharactersWithSpaces>23173</CharactersWithSpaces>
  <Paragraphs>273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Johann Munzlinger</dc:creator>
  <dc:description>Documento institucional v1.0</dc:description>
  <cp:keywords>governança documental; qualidade documental; clareza; navegabilidade; conteúdo; rastreabilidade</cp:keywords>
  <dc:language>pt-BR</dc:language>
  <cp:lastModifiedBy/>
  <dcterms:modified xsi:type="dcterms:W3CDTF">2026-10-21T10:00:00Z</dcterms:modified>
  <cp:revision>4</cp:revision>
  <dc:subject>Critérios transversais para construção, revisão e validação de conteúdo documental institucional</dc:subject>
  <dc:title>Diretriz de Qualidade e Construção de Conteúdo Documental Institucional</dc:title>
</cp:coreProperties>
</file>

<file path=docProps/custom.xml><?xml version="1.0" encoding="utf-8"?>
<Properties xmlns="http://schemas.openxmlformats.org/officeDocument/2006/custom-properties" xmlns:vt="http://schemas.openxmlformats.org/officeDocument/2006/docPropsVTypes"/>
</file>