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i w:val="0"/>
          <w:color w:val="2F5597"/>
          <w:sz w:val="17"/>
        </w:rPr>
        <w:t>GOVERNANÇA DOCUMENTAL</w:t>
      </w:r>
    </w:p>
    <w:p>
      <w:pPr>
        <w:spacing w:after="180"/>
        <w:jc w:val="center"/>
        <w:pBdr>
          <w:bottom w:val="single" w:sz="8" w:space="4" w:color="2F5597"/>
        </w:pBdr>
      </w:pPr>
      <w:r>
        <w:rPr>
          <w:rFonts w:ascii="Calibri" w:hAnsi="Calibri"/>
          <w:b/>
          <w:i w:val="0"/>
          <w:color w:val="17365D"/>
          <w:sz w:val="48"/>
        </w:rPr>
        <w:t>Modelo Formal do Workflow de</w:t>
        <w:br/>
        <w:t>Execução Documental por IA</w:t>
      </w:r>
    </w:p>
    <w:p>
      <w:pPr>
        <w:spacing w:before="0" w:after="360"/>
        <w:jc w:val="center"/>
      </w:pPr>
      <w:r>
        <w:rPr>
          <w:rFonts w:ascii="Calibri" w:hAnsi="Calibri"/>
          <w:b w:val="0"/>
          <w:i w:val="0"/>
          <w:color w:val="4A4A4A"/>
          <w:sz w:val="22"/>
        </w:rPr>
        <w:t>Especificação formal do lifecycle de Solicitações, Resultados e Unidades de Execução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6"/>
        <w:gridCol w:w="4816"/>
      </w:tblGrid>
      <w:tr>
        <w:trPr>
          <w:cantSplit/>
        </w:trPr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Finalidade</w:t>
            </w:r>
          </w:p>
        </w:tc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Formalizar estados, transições, gates, retornos, checkpoints, cancelamentos e condições de liberação do workflow de execução documental por IA.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Escopo</w:t>
            </w:r>
          </w:p>
        </w:tc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Decomposição de Solicitações em Resultados e UEs; integração; validação de conteúdo e artefato; preservação de escopo; suspensão, cancelamento e liberação.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Versão</w:t>
            </w:r>
          </w:p>
        </w:tc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0.4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Data de referência</w:t>
            </w:r>
          </w:p>
        </w:tc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24 de setembro de 2026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Situação</w:t>
            </w:r>
          </w:p>
        </w:tc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Especificação institucional estabilizada após validação estrutural e reteste dirigido.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Responsável pelo documento</w:t>
            </w:r>
          </w:p>
        </w:tc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Johann Munzlinger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Autoria</w:t>
            </w:r>
          </w:p>
        </w:tc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Johann Munzlinger</w:t>
            </w:r>
          </w:p>
        </w:tc>
      </w:tr>
      <w:tr>
        <w:trPr>
          <w:cantSplit/>
        </w:trPr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Auxílio de IA generativa</w:t>
            </w:r>
          </w:p>
        </w:tc>
        <w:tc>
          <w:tcPr>
            <w:tcW w:type="dxa" w:w="48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Documento estruturado e materializado com auxílio de IA generativa; validação institucional permanece sob responsabilidade humana.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rPr>
          <w:cantSplit/>
        </w:trPr>
        <w:tc>
          <w:tcPr>
            <w:tcW w:type="dxa" w:w="9632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240"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Natureza do material</w:t>
            </w:r>
          </w:p>
        </w:tc>
      </w:tr>
      <w:tr>
        <w:trPr>
          <w:cantSplit/>
        </w:trPr>
        <w:tc>
          <w:tcPr>
            <w:tcW w:type="dxa" w:w="9632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Especificação institucional de workflow. Define o modelo formal de estados e transições que operacionaliza o Contrato Operacional vigente sem amarrá-lo a uma ferramenta, arquitetura de agentes ou mecanismo específico de execução.</w:t>
            </w:r>
          </w:p>
        </w:tc>
      </w:tr>
    </w:tbl>
    <w:p>
      <w:pPr>
        <w:spacing w:before="240" w:after="0"/>
        <w:jc w:val="center"/>
      </w:pPr>
      <w:r>
        <w:rPr>
          <w:rFonts w:ascii="Arial" w:hAnsi="Arial"/>
          <w:b w:val="0"/>
          <w:i w:val="0"/>
          <w:color w:val="666666"/>
          <w:sz w:val="16"/>
        </w:rPr>
        <w:t>Governança Documental • Workflow por IA • Especificação formal</w:t>
      </w:r>
    </w:p>
    <w:p>
      <w:pPr>
        <w:sectPr>
          <w:pgSz w:w="12240" w:h="15840"/>
          <w:pgMar w:top="1247" w:right="1247" w:bottom="1134" w:left="1361" w:header="510" w:footer="510" w:gutter="0"/>
          <w:cols w:space="720"/>
          <w:docGrid w:linePitch="360"/>
        </w:sectPr>
      </w:pPr>
    </w:p>
    <w:p>
      <w:pPr>
        <w:spacing w:after="240"/>
        <w:jc w:val="center"/>
      </w:pPr>
      <w:r>
        <w:rPr>
          <w:rFonts w:ascii="Calibri" w:hAnsi="Calibri"/>
          <w:b/>
          <w:i w:val="0"/>
          <w:color w:val="17365D"/>
          <w:sz w:val="31"/>
        </w:rPr>
        <w:t>Sumário</w:t>
      </w:r>
    </w:p>
    <w:p>
      <w:pPr>
        <w:tabs>
          <w:tab w:pos="9071" w:val="right" w:leader="dot"/>
        </w:tabs>
        <w:spacing w:after="30" w:line="240" w:lineRule="auto"/>
        <w:ind w:left="0"/>
      </w:pPr>
      <w:r>
        <w:rPr>
          <w:rFonts w:ascii="Arial" w:hAnsi="Arial"/>
          <w:b/>
          <w:i w:val="0"/>
          <w:color w:val="202020"/>
          <w:sz w:val="19"/>
        </w:rPr>
        <w:t>1 Finalidade, escopo e posição do modelo</w:t>
        <w:tab/>
        <w:t>3</w:t>
      </w:r>
      <w:r>
        <w:rPr>
          <w:rFonts w:ascii="Arial" w:hAnsi="Arial"/>
          <w:b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340"/>
      </w:pPr>
      <w:r>
        <w:rPr>
          <w:rFonts w:ascii="Arial" w:hAnsi="Arial"/>
          <w:b w:val="0"/>
          <w:i w:val="0"/>
          <w:color w:val="202020"/>
          <w:sz w:val="19"/>
        </w:rPr>
        <w:t>1.1 Relação com as fontes e independência de implementação</w:t>
        <w:tab/>
        <w:t>3</w:t>
      </w:r>
      <w:r>
        <w:rPr>
          <w:rFonts w:ascii="Arial" w:hAnsi="Arial"/>
          <w:b w:val="0"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0"/>
      </w:pPr>
      <w:r>
        <w:rPr>
          <w:rFonts w:ascii="Arial" w:hAnsi="Arial"/>
          <w:b/>
          <w:i w:val="0"/>
          <w:color w:val="202020"/>
          <w:sz w:val="19"/>
        </w:rPr>
        <w:t>2 Modelo conceitual</w:t>
        <w:tab/>
        <w:t>3</w:t>
      </w:r>
      <w:r>
        <w:rPr>
          <w:rFonts w:ascii="Arial" w:hAnsi="Arial"/>
          <w:b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340"/>
      </w:pPr>
      <w:r>
        <w:rPr>
          <w:rFonts w:ascii="Arial" w:hAnsi="Arial"/>
          <w:b w:val="0"/>
          <w:i w:val="0"/>
          <w:color w:val="202020"/>
          <w:sz w:val="19"/>
        </w:rPr>
        <w:t>2.1 Solicitação</w:t>
        <w:tab/>
        <w:t>3</w:t>
      </w:r>
      <w:r>
        <w:rPr>
          <w:rFonts w:ascii="Arial" w:hAnsi="Arial"/>
          <w:b w:val="0"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340"/>
      </w:pPr>
      <w:r>
        <w:rPr>
          <w:rFonts w:ascii="Arial" w:hAnsi="Arial"/>
          <w:b w:val="0"/>
          <w:i w:val="0"/>
          <w:color w:val="202020"/>
          <w:sz w:val="19"/>
        </w:rPr>
        <w:t>2.2 Resultado</w:t>
        <w:tab/>
        <w:t>3</w:t>
      </w:r>
      <w:r>
        <w:rPr>
          <w:rFonts w:ascii="Arial" w:hAnsi="Arial"/>
          <w:b w:val="0"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340"/>
      </w:pPr>
      <w:r>
        <w:rPr>
          <w:rFonts w:ascii="Arial" w:hAnsi="Arial"/>
          <w:b w:val="0"/>
          <w:i w:val="0"/>
          <w:color w:val="202020"/>
          <w:sz w:val="19"/>
        </w:rPr>
        <w:t>2.3 Unidade de Execução — UE</w:t>
        <w:tab/>
        <w:t>3</w:t>
      </w:r>
      <w:r>
        <w:rPr>
          <w:rFonts w:ascii="Arial" w:hAnsi="Arial"/>
          <w:b w:val="0"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0"/>
      </w:pPr>
      <w:r>
        <w:rPr>
          <w:rFonts w:ascii="Arial" w:hAnsi="Arial"/>
          <w:b/>
          <w:i w:val="0"/>
          <w:color w:val="202020"/>
          <w:sz w:val="19"/>
        </w:rPr>
        <w:t>3 Regras de concorrência e composição</w:t>
        <w:tab/>
        <w:t>4</w:t>
      </w:r>
      <w:r>
        <w:rPr>
          <w:rFonts w:ascii="Arial" w:hAnsi="Arial"/>
          <w:b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0"/>
      </w:pPr>
      <w:r>
        <w:rPr>
          <w:rFonts w:ascii="Arial" w:hAnsi="Arial"/>
          <w:b/>
          <w:i w:val="0"/>
          <w:color w:val="202020"/>
          <w:sz w:val="19"/>
        </w:rPr>
        <w:t>4 Estados da Unidade de Execução</w:t>
        <w:tab/>
        <w:t>4</w:t>
      </w:r>
      <w:r>
        <w:rPr>
          <w:rFonts w:ascii="Arial" w:hAnsi="Arial"/>
          <w:b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340"/>
      </w:pPr>
      <w:r>
        <w:rPr>
          <w:rFonts w:ascii="Arial" w:hAnsi="Arial"/>
          <w:b w:val="0"/>
          <w:i w:val="0"/>
          <w:color w:val="202020"/>
          <w:sz w:val="19"/>
        </w:rPr>
        <w:t>4.1 Gate de premissa</w:t>
        <w:tab/>
        <w:t>5</w:t>
      </w:r>
      <w:r>
        <w:rPr>
          <w:rFonts w:ascii="Arial" w:hAnsi="Arial"/>
          <w:b w:val="0"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340"/>
      </w:pPr>
      <w:r>
        <w:rPr>
          <w:rFonts w:ascii="Arial" w:hAnsi="Arial"/>
          <w:b w:val="0"/>
          <w:i w:val="0"/>
          <w:color w:val="202020"/>
          <w:sz w:val="19"/>
        </w:rPr>
        <w:t>4.2 Transições da UE</w:t>
        <w:tab/>
        <w:t>5</w:t>
      </w:r>
      <w:r>
        <w:rPr>
          <w:rFonts w:ascii="Arial" w:hAnsi="Arial"/>
          <w:b w:val="0"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340"/>
      </w:pPr>
      <w:r>
        <w:rPr>
          <w:rFonts w:ascii="Arial" w:hAnsi="Arial"/>
          <w:b w:val="0"/>
          <w:i w:val="0"/>
          <w:color w:val="202020"/>
          <w:sz w:val="19"/>
        </w:rPr>
        <w:t>4.3 Clarificações de percurso da UE</w:t>
        <w:tab/>
        <w:t>6</w:t>
      </w:r>
      <w:r>
        <w:rPr>
          <w:rFonts w:ascii="Arial" w:hAnsi="Arial"/>
          <w:b w:val="0"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0"/>
      </w:pPr>
      <w:r>
        <w:rPr>
          <w:rFonts w:ascii="Arial" w:hAnsi="Arial"/>
          <w:b/>
          <w:i w:val="0"/>
          <w:color w:val="202020"/>
          <w:sz w:val="19"/>
        </w:rPr>
        <w:t>5 Dependências do Resultado</w:t>
        <w:tab/>
        <w:t>6</w:t>
      </w:r>
      <w:r>
        <w:rPr>
          <w:rFonts w:ascii="Arial" w:hAnsi="Arial"/>
          <w:b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0"/>
      </w:pPr>
      <w:r>
        <w:rPr>
          <w:rFonts w:ascii="Arial" w:hAnsi="Arial"/>
          <w:b/>
          <w:i w:val="0"/>
          <w:color w:val="202020"/>
          <w:sz w:val="19"/>
        </w:rPr>
        <w:t>6 Estados do Resultado</w:t>
        <w:tab/>
        <w:t>6</w:t>
      </w:r>
      <w:r>
        <w:rPr>
          <w:rFonts w:ascii="Arial" w:hAnsi="Arial"/>
          <w:b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340"/>
      </w:pPr>
      <w:r>
        <w:rPr>
          <w:rFonts w:ascii="Arial" w:hAnsi="Arial"/>
          <w:b w:val="0"/>
          <w:i w:val="0"/>
          <w:color w:val="202020"/>
          <w:sz w:val="19"/>
        </w:rPr>
        <w:t>6.1 Transições do Resultado</w:t>
        <w:tab/>
        <w:t>7</w:t>
      </w:r>
      <w:r>
        <w:rPr>
          <w:rFonts w:ascii="Arial" w:hAnsi="Arial"/>
          <w:b w:val="0"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340"/>
      </w:pPr>
      <w:r>
        <w:rPr>
          <w:rFonts w:ascii="Arial" w:hAnsi="Arial"/>
          <w:b w:val="0"/>
          <w:i w:val="0"/>
          <w:color w:val="202020"/>
          <w:sz w:val="19"/>
        </w:rPr>
        <w:t>6.2 Clarificações de escolha e retorno</w:t>
        <w:tab/>
        <w:t>8</w:t>
      </w:r>
      <w:r>
        <w:rPr>
          <w:rFonts w:ascii="Arial" w:hAnsi="Arial"/>
          <w:b w:val="0"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0"/>
      </w:pPr>
      <w:r>
        <w:rPr>
          <w:rFonts w:ascii="Arial" w:hAnsi="Arial"/>
          <w:b/>
          <w:i w:val="0"/>
          <w:color w:val="202020"/>
          <w:sz w:val="19"/>
        </w:rPr>
        <w:t>7 Fluxos principais</w:t>
        <w:tab/>
        <w:t>8</w:t>
      </w:r>
      <w:r>
        <w:rPr>
          <w:rFonts w:ascii="Arial" w:hAnsi="Arial"/>
          <w:b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340"/>
      </w:pPr>
      <w:r>
        <w:rPr>
          <w:rFonts w:ascii="Arial" w:hAnsi="Arial"/>
          <w:b w:val="0"/>
          <w:i w:val="0"/>
          <w:color w:val="202020"/>
          <w:sz w:val="19"/>
        </w:rPr>
        <w:t>7.1 Criação documental</w:t>
        <w:tab/>
        <w:t>8</w:t>
      </w:r>
      <w:r>
        <w:rPr>
          <w:rFonts w:ascii="Arial" w:hAnsi="Arial"/>
          <w:b w:val="0"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340"/>
      </w:pPr>
      <w:r>
        <w:rPr>
          <w:rFonts w:ascii="Arial" w:hAnsi="Arial"/>
          <w:b w:val="0"/>
          <w:i w:val="0"/>
          <w:color w:val="202020"/>
          <w:sz w:val="19"/>
        </w:rPr>
        <w:t>7.2 Resultado exclusivamente textual</w:t>
        <w:tab/>
        <w:t>8</w:t>
      </w:r>
      <w:r>
        <w:rPr>
          <w:rFonts w:ascii="Arial" w:hAnsi="Arial"/>
          <w:b w:val="0"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340"/>
      </w:pPr>
      <w:r>
        <w:rPr>
          <w:rFonts w:ascii="Arial" w:hAnsi="Arial"/>
          <w:b w:val="0"/>
          <w:i w:val="0"/>
          <w:color w:val="202020"/>
          <w:sz w:val="19"/>
        </w:rPr>
        <w:t>7.3 Intervenção exclusivamente formal</w:t>
        <w:tab/>
        <w:t>8</w:t>
      </w:r>
      <w:r>
        <w:rPr>
          <w:rFonts w:ascii="Arial" w:hAnsi="Arial"/>
          <w:b w:val="0"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340"/>
      </w:pPr>
      <w:r>
        <w:rPr>
          <w:rFonts w:ascii="Arial" w:hAnsi="Arial"/>
          <w:b w:val="0"/>
          <w:i w:val="0"/>
          <w:color w:val="202020"/>
          <w:sz w:val="19"/>
        </w:rPr>
        <w:t>7.4 Encerramento legítimo sem alteração</w:t>
        <w:tab/>
        <w:t>8</w:t>
      </w:r>
      <w:r>
        <w:rPr>
          <w:rFonts w:ascii="Arial" w:hAnsi="Arial"/>
          <w:b w:val="0"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340"/>
      </w:pPr>
      <w:r>
        <w:rPr>
          <w:rFonts w:ascii="Arial" w:hAnsi="Arial"/>
          <w:b w:val="0"/>
          <w:i w:val="0"/>
          <w:color w:val="202020"/>
          <w:sz w:val="19"/>
        </w:rPr>
        <w:t>7.5 Checkpoint humano</w:t>
        <w:tab/>
        <w:t>9</w:t>
      </w:r>
      <w:r>
        <w:rPr>
          <w:rFonts w:ascii="Arial" w:hAnsi="Arial"/>
          <w:b w:val="0"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340"/>
      </w:pPr>
      <w:r>
        <w:rPr>
          <w:rFonts w:ascii="Arial" w:hAnsi="Arial"/>
          <w:b w:val="0"/>
          <w:i w:val="0"/>
          <w:color w:val="202020"/>
          <w:sz w:val="19"/>
        </w:rPr>
        <w:t>7.6 Cancelamento</w:t>
        <w:tab/>
        <w:t>9</w:t>
      </w:r>
      <w:r>
        <w:rPr>
          <w:rFonts w:ascii="Arial" w:hAnsi="Arial"/>
          <w:b w:val="0"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0"/>
      </w:pPr>
      <w:r>
        <w:rPr>
          <w:rFonts w:ascii="Arial" w:hAnsi="Arial"/>
          <w:b/>
          <w:i w:val="0"/>
          <w:color w:val="202020"/>
          <w:sz w:val="19"/>
        </w:rPr>
        <w:t>8 Integração e gate global de conteúdo</w:t>
        <w:tab/>
        <w:t>9</w:t>
      </w:r>
      <w:r>
        <w:rPr>
          <w:rFonts w:ascii="Arial" w:hAnsi="Arial"/>
          <w:b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0"/>
      </w:pPr>
      <w:r>
        <w:rPr>
          <w:rFonts w:ascii="Arial" w:hAnsi="Arial"/>
          <w:b/>
          <w:i w:val="0"/>
          <w:color w:val="202020"/>
          <w:sz w:val="19"/>
        </w:rPr>
        <w:t>9 Paralelismo lógico e regra de entrega</w:t>
        <w:tab/>
        <w:t>9</w:t>
      </w:r>
      <w:r>
        <w:rPr>
          <w:rFonts w:ascii="Arial" w:hAnsi="Arial"/>
          <w:b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0"/>
      </w:pPr>
      <w:r>
        <w:rPr>
          <w:rFonts w:ascii="Arial" w:hAnsi="Arial"/>
          <w:b/>
          <w:i w:val="0"/>
          <w:color w:val="202020"/>
          <w:sz w:val="19"/>
        </w:rPr>
        <w:t>10 Checkpoint humano</w:t>
        <w:tab/>
        <w:t>10</w:t>
      </w:r>
      <w:r>
        <w:rPr>
          <w:rFonts w:ascii="Arial" w:hAnsi="Arial"/>
          <w:b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0"/>
      </w:pPr>
      <w:r>
        <w:rPr>
          <w:rFonts w:ascii="Arial" w:hAnsi="Arial"/>
          <w:b/>
          <w:i w:val="0"/>
          <w:color w:val="202020"/>
          <w:sz w:val="19"/>
        </w:rPr>
        <w:t>11 Cancelamento e terminalidade</w:t>
        <w:tab/>
        <w:t>10</w:t>
      </w:r>
      <w:r>
        <w:rPr>
          <w:rFonts w:ascii="Arial" w:hAnsi="Arial"/>
          <w:b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0"/>
      </w:pPr>
      <w:r>
        <w:rPr>
          <w:rFonts w:ascii="Arial" w:hAnsi="Arial"/>
          <w:b/>
          <w:i w:val="0"/>
          <w:color w:val="202020"/>
          <w:sz w:val="19"/>
        </w:rPr>
        <w:t>12 Invariantes do modelo</w:t>
        <w:tab/>
        <w:t>10</w:t>
      </w:r>
      <w:r>
        <w:rPr>
          <w:rFonts w:ascii="Arial" w:hAnsi="Arial"/>
          <w:b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0"/>
      </w:pPr>
      <w:r>
        <w:rPr>
          <w:rFonts w:ascii="Arial" w:hAnsi="Arial"/>
          <w:b/>
          <w:i w:val="0"/>
          <w:color w:val="202020"/>
          <w:sz w:val="19"/>
        </w:rPr>
        <w:t>13 Evidências de validação do modelo</w:t>
        <w:tab/>
        <w:t>11</w:t>
      </w:r>
      <w:r>
        <w:rPr>
          <w:rFonts w:ascii="Arial" w:hAnsi="Arial"/>
          <w:b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0"/>
      </w:pPr>
      <w:r>
        <w:rPr>
          <w:rFonts w:ascii="Arial" w:hAnsi="Arial"/>
          <w:b/>
          <w:i w:val="0"/>
          <w:color w:val="202020"/>
          <w:sz w:val="19"/>
        </w:rPr>
        <w:t>14 Instrução operacional consolidada</w:t>
        <w:tab/>
        <w:t>11</w:t>
      </w:r>
      <w:r>
        <w:rPr>
          <w:rFonts w:ascii="Arial" w:hAnsi="Arial"/>
          <w:b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0"/>
      </w:pPr>
      <w:r>
        <w:rPr>
          <w:rFonts w:ascii="Arial" w:hAnsi="Arial"/>
          <w:b/>
          <w:i w:val="0"/>
          <w:color w:val="202020"/>
          <w:sz w:val="19"/>
        </w:rPr>
        <w:t>15 Controle de Revisão</w:t>
        <w:tab/>
        <w:t>12</w:t>
      </w:r>
      <w:r>
        <w:rPr>
          <w:rFonts w:ascii="Arial" w:hAnsi="Arial"/>
          <w:b/>
          <w:i w:val="0"/>
          <w:color w:val="202020"/>
          <w:sz w:val="19"/>
        </w:rPr>
      </w:r>
    </w:p>
    <w:p>
      <w:pPr>
        <w:tabs>
          <w:tab w:pos="9071" w:val="right" w:leader="dot"/>
        </w:tabs>
        <w:spacing w:after="30" w:line="240" w:lineRule="auto"/>
        <w:ind w:left="0"/>
      </w:pPr>
      <w:r>
        <w:rPr>
          <w:rFonts w:ascii="Arial" w:hAnsi="Arial"/>
          <w:b/>
          <w:i w:val="0"/>
          <w:color w:val="202020"/>
          <w:sz w:val="19"/>
        </w:rPr>
        <w:t>Referências</w:t>
        <w:tab/>
        <w:t>12</w:t>
      </w:r>
      <w:r>
        <w:rPr>
          <w:rFonts w:ascii="Arial" w:hAnsi="Arial"/>
          <w:b/>
          <w:i w:val="0"/>
          <w:color w:val="202020"/>
          <w:sz w:val="19"/>
        </w:rPr>
      </w:r>
    </w:p>
    <w:p>
      <w:pPr>
        <w:sectPr>
          <w:headerReference w:type="default" r:id="rId9"/>
          <w:footerReference w:type="default" r:id="rId10"/>
          <w:pgSz w:w="12240" w:h="15840"/>
          <w:pgMar w:top="1247" w:right="1247" w:bottom="1134" w:left="1361" w:header="510" w:footer="510" w:gutter="0"/>
          <w:cols w:space="720"/>
          <w:docGrid w:linePitch="360"/>
        </w:sectPr>
      </w:pPr>
    </w:p>
    <w:p>
      <w:pPr>
        <w:pStyle w:val="Heading1"/>
      </w:pPr>
      <w:r>
        <w:t>1 Finalidade, escopo e posição do modelo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Este documento formaliza o workflow de execução documental por IA em estados, transições, gates, retornos e condições de encerramento. Seu objetivo é tornar executáveis, verificáveis e independentes de ferramenta os comportamentos definidos pelo Contrato Operacional vigente.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O modelo se aplica à criação, revisão, correção, materialização e validação de resultados documentais ou textuais quando essas atividades forem executadas por IA ou por arranjos híbridos que adotem o mesmo lifecycle. Ele não define arquitetura de agentes, concorrência técnica, filas, processos de infraestrutura ou implementação proprietária.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rPr>
          <w:cantSplit/>
        </w:trPr>
        <w:tc>
          <w:tcPr>
            <w:tcW w:type="dxa" w:w="9632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Princípio de modelagem</w:t>
            </w:r>
          </w:p>
        </w:tc>
      </w:tr>
      <w:tr>
        <w:trPr>
          <w:cantSplit/>
        </w:trPr>
        <w:tc>
          <w:tcPr>
            <w:tcW w:type="dxa" w:w="9632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O workflow representa dependências e estados lógicos. A implementação pode ser sequencial, paralela, humana, automatizada, assistida por IA ou híbrida, desde que preserve as condições e invariantes aqui definidos.</w:t>
            </w:r>
          </w:p>
        </w:tc>
      </w:tr>
    </w:tbl>
    <w:p>
      <w:pPr>
        <w:pStyle w:val="Heading2"/>
      </w:pPr>
      <w:r>
        <w:t>1.1 Relação com as fontes e independência de implementação</w:t>
      </w:r>
    </w:p>
    <w:p>
      <w:pPr>
        <w:spacing w:before="12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A qualidade e a construção do conteúdo permanecem sob a Diretriz de Qualidade e Construção de Conteúdo Documental Institucional vigente. A materialização e a validação formal do artefato permanecem sob a Diretriz de Padronização Documental Institucional vigente. O Contrato Operacional de Execução Documental por IA vigente define o comportamento operacional que este modelo representa formalmente.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Este documento não duplica integralmente essas regras. Quando o workflow indicar gate de conteúdo, gate formal, verificação de mudança, pesquisa externa, escalonamento ou preservação de evidência, os critérios substantivos correspondentes devem ser obtidos nas fontes aplicáveis.</w:t>
      </w:r>
    </w:p>
    <w:p>
      <w:pPr>
        <w:pStyle w:val="Heading1"/>
      </w:pPr>
      <w:r>
        <w:t>2 Modelo conceitual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A estrutura possui três conceitos: Solicitação, Resultado e Unidade de Execução (UE). A separação é obrigatória porque unidade de trabalho e unidade de entrega não são equivalentes.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rPr>
          <w:cantSplit/>
        </w:trPr>
        <w:tc>
          <w:tcPr>
            <w:tcW w:type="dxa" w:w="9632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Solicitação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│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├── Resultado A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│      ├── UE-01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│      ├── UE-02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│      └── UE-03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│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└── Resultado B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       └── UE-04</w:t>
            </w:r>
          </w:p>
        </w:tc>
      </w:tr>
    </w:tbl>
    <w:p>
      <w:pPr>
        <w:pStyle w:val="Heading2"/>
      </w:pPr>
      <w:r>
        <w:t>2.1 Solicitação</w:t>
      </w:r>
    </w:p>
    <w:p>
      <w:pPr>
        <w:spacing w:before="12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Representa a necessidade apresentada pelo solicitante. Pode originar um ou mais Resultados independentes.</w:t>
      </w:r>
    </w:p>
    <w:p>
      <w:pPr>
        <w:pStyle w:val="Heading2"/>
      </w:pPr>
      <w:r>
        <w:t>2.2 Resultado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É a unidade de entrega. Pode ser um DOCX institucional, uma resposta textual, uma análise, uma revisão ou outro produto solicitado. Um Resultado possui um conjunto explícito de UEs das quais depende.</w:t>
      </w:r>
    </w:p>
    <w:p>
      <w:pPr>
        <w:pStyle w:val="Heading2"/>
      </w:pPr>
      <w:r>
        <w:t>2.3 Unidade de Execução — UE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É a menor unidade de trabalho que pode avançar, bloquear, suspender, encerrar sem alteração ou ser cancelada independentemente dentro de um Resultado.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rPr>
          <w:cantSplit/>
        </w:trPr>
        <w:tc>
          <w:tcPr>
            <w:tcW w:type="dxa" w:w="9632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9632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Conclusão de UE não equivale a liberação de Resultado.</w:t>
            </w:r>
          </w:p>
        </w:tc>
      </w:tr>
    </w:tbl>
    <w:p>
      <w:pPr>
        <w:pStyle w:val="Heading1"/>
      </w:pPr>
      <w:r>
        <w:t>3 Regras de concorrência e composição</w:t>
      </w:r>
    </w:p>
    <w:p>
      <w:pPr>
        <w:spacing w:before="12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UEs independentes podem produzir conteúdo, change sets, decisões, evidências ou diagnósticos, mas não devem competir pela mutação simultânea do mesmo estado final do artefato.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rPr>
          <w:cantSplit/>
        </w:trPr>
        <w:tc>
          <w:tcPr>
            <w:tcW w:type="dxa" w:w="9632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UE-01 — revisão conceitual ─────────┐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                                  │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UE-02 — correção ortográfica ─────────┼──► Integração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                                  │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UE-03 — revisão de referências ───────┘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                                        │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                                        ▼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                             Conteúdo consolidado único</w:t>
            </w:r>
          </w:p>
        </w:tc>
      </w:tr>
    </w:tbl>
    <w:p>
      <w:pPr>
        <w:spacing w:before="12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A alteração do artefato consolidado ocorre depois da integração. Independência lógica não implica execução técnica simultânea.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6"/>
        <w:gridCol w:w="4816"/>
      </w:tblGrid>
      <w:tr>
        <w:trPr>
          <w:tblHeader w:val="true"/>
          <w:cantSplit/>
          <w:cantSplit/>
        </w:trPr>
        <w:tc>
          <w:tcPr>
            <w:tcW w:type="dxa" w:w="283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Tipo de saída</w:t>
            </w:r>
          </w:p>
        </w:tc>
        <w:tc>
          <w:tcPr>
            <w:tcW w:type="dxa" w:w="583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Exemplo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Conteúdo</w:t>
            </w:r>
          </w:p>
        </w:tc>
        <w:tc>
          <w:tcPr>
            <w:tcW w:type="dxa" w:w="583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Nova redação de uma seção.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Change set</w:t>
            </w:r>
          </w:p>
        </w:tc>
        <w:tc>
          <w:tcPr>
            <w:tcW w:type="dxa" w:w="5839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Substituir A por B.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Decisão</w:t>
            </w:r>
          </w:p>
        </w:tc>
        <w:tc>
          <w:tcPr>
            <w:tcW w:type="dxa" w:w="583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Preservar determinado conceito.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Evidência</w:t>
            </w:r>
          </w:p>
        </w:tc>
        <w:tc>
          <w:tcPr>
            <w:tcW w:type="dxa" w:w="5839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Fonte que sustenta uma afirmação.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Diagnóstico</w:t>
            </w:r>
          </w:p>
        </w:tc>
        <w:tc>
          <w:tcPr>
            <w:tcW w:type="dxa" w:w="583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Defeito confirmado ou não encontrado.</w:t>
            </w:r>
          </w:p>
        </w:tc>
      </w:tr>
      <w:tr>
        <w:trPr>
          <w:cantSplit/>
          <w:cantSplit/>
        </w:trP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Nenhuma alteração</w:t>
            </w:r>
          </w:p>
        </w:tc>
        <w:tc>
          <w:tcPr>
            <w:tcW w:type="dxa" w:w="5839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Premissa alegada não confirmada.</w:t>
            </w:r>
          </w:p>
        </w:tc>
      </w:tr>
    </w:tbl>
    <w:p>
      <w:pPr>
        <w:pStyle w:val="Heading1"/>
      </w:pPr>
      <w:r>
        <w:t>4 Estados da Unidade de Execução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11"/>
        <w:gridCol w:w="3211"/>
        <w:gridCol w:w="3211"/>
      </w:tblGrid>
      <w:tr>
        <w:trPr>
          <w:tblHeader w:val="true"/>
          <w:cantSplit/>
          <w:cantSplit/>
        </w:trPr>
        <w:tc>
          <w:tcPr>
            <w:tcW w:type="dxa" w:w="73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72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521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Significado</w:t>
            </w:r>
          </w:p>
        </w:tc>
      </w:tr>
      <w:tr>
        <w:trPr>
          <w:cantSplit/>
          <w:cantSplit/>
        </w:trPr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U0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IDENTIFICADA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 unidade foi derivada da solicitação e associada a um Resultado.</w:t>
            </w:r>
          </w:p>
        </w:tc>
      </w:tr>
      <w:tr>
        <w:trPr>
          <w:cantSplit/>
          <w:cantSplit/>
        </w:trPr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U1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QUALIFICADA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Escopo, finalidade local, dependências, fontes e condições da unidade são suficientes para execução.</w:t>
            </w:r>
          </w:p>
        </w:tc>
      </w:tr>
      <w:tr>
        <w:trPr>
          <w:cantSplit/>
          <w:cantSplit/>
        </w:trPr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U2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EM_EXECUÇÃO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 atividade está sendo efetivamente realizada.</w:t>
            </w:r>
          </w:p>
        </w:tc>
      </w:tr>
      <w:tr>
        <w:trPr>
          <w:cantSplit/>
          <w:cantSplit/>
        </w:trPr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U3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PRONTA_PARA_INTEGRAÇÃO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 atividade terminou e seu resultado está apto a participar da composição do Resultado.</w:t>
            </w:r>
          </w:p>
        </w:tc>
      </w:tr>
      <w:tr>
        <w:trPr>
          <w:cantSplit/>
          <w:cantSplit/>
        </w:trPr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U4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AGUARDANDO_DECISÃO_OU_INSUMO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 unidade depende de decisão, informação, evidência ou resolução material externa.</w:t>
            </w:r>
          </w:p>
        </w:tc>
      </w:tr>
      <w:tr>
        <w:trPr>
          <w:cantSplit/>
          <w:cantSplit/>
        </w:trPr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U5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ENCERRADA_SEM_ALTERAÇÃO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 unidade foi legitimamente concluída sem necessidade de mudança.</w:t>
            </w:r>
          </w:p>
        </w:tc>
      </w:tr>
      <w:tr>
        <w:trPr>
          <w:cantSplit/>
          <w:cantSplit/>
        </w:trPr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U6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SUSPENSA_POR_CHECKPOINT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 unidade estava em execução e seu avanço foi deliberadamente suspenso porque o Resultado entrou em RH.</w:t>
            </w:r>
          </w:p>
        </w:tc>
      </w:tr>
      <w:tr>
        <w:trPr>
          <w:cantSplit/>
          <w:cantSplit/>
        </w:trPr>
        <w:tc>
          <w:tcPr>
            <w:tcW w:type="dxa" w:w="73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UC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CANCELADA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 unidade ainda não concluída foi encerrada porque o Resultado correspondente foi cancelado.</w:t>
            </w:r>
          </w:p>
        </w:tc>
      </w:tr>
    </w:tbl>
    <w:p>
      <w:pPr>
        <w:pStyle w:val="Heading2"/>
      </w:pPr>
      <w:r>
        <w:t>4.1 Gate de premissa</w:t>
      </w:r>
    </w:p>
    <w:p>
      <w:pPr>
        <w:spacing w:before="12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Quando a intervenção depender de defeito ou condição alegada, a premissa deve ser verificada antes da modificação. Se não houver premissa a confirmar, U1 segue diretamente a U2 por UT03.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rPr>
          <w:cantSplit/>
        </w:trPr>
        <w:tc>
          <w:tcPr>
            <w:tcW w:type="dxa" w:w="9632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U1 QUALIFICADA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  │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  ▼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Verificar premissa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  │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  ├── confirmada ─────────────► U2 EM_EXECUÇÃO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  ├── não confirmada ─────────► U5 ENCERRADA SEM ALTERAÇÃO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  └── não verificável e indispensável ─► U4 AGUARDANDO</w:t>
            </w:r>
          </w:p>
        </w:tc>
      </w:tr>
    </w:tbl>
    <w:p>
      <w:pPr>
        <w:pStyle w:val="Heading2"/>
      </w:pPr>
      <w:r>
        <w:t>4.2 Transições da UE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  <w:cantSplit/>
          <w:cantSplit/>
        </w:trPr>
        <w:tc>
          <w:tcPr>
            <w:tcW w:type="dxa" w:w="68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Origem</w:t>
            </w:r>
          </w:p>
        </w:tc>
        <w:tc>
          <w:tcPr>
            <w:tcW w:type="dxa" w:w="453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Condição</w:t>
            </w:r>
          </w:p>
        </w:tc>
        <w:tc>
          <w:tcPr>
            <w:tcW w:type="dxa" w:w="226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Destino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UT01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U0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Unidade suficientemente qualificada.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U1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UT02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U0/U1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Informação indispensável já está ausente antes de a execução substantiva começar.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U4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UT03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U1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Não existe premissa prévia a verificar.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U2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UT04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U1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Premissa verificável e confirmada.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U2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UT05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U1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Premissa verificável e não confirmada.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U5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UT06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U1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Premissa indispensável não pode ser verificada.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U4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UT07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U2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Execução concluída e resultado local consistente.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U3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UT08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U2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Necessidade de decisão ou insumo indispensável surge durante a execução.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U4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UT09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U4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Insumo recebido e unidade novamente executável.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U1 ou U2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UT10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U3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Integração posterior invalida resultado da UE.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U1 ou U2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UT11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U2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Resultado entra em RH durante a execução da UE.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U6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UT12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U6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Checkpoint encerrado.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U2 se a qualificação permanecer válida; U1 se houver necessidade de requalificação.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UT13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U0/U1/U2/U4/U6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Resultado correspondente é cancelado antes da liberação.</w:t>
            </w:r>
          </w:p>
        </w:tc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UC</w:t>
            </w:r>
          </w:p>
        </w:tc>
      </w:tr>
    </w:tbl>
    <w:p>
      <w:pPr>
        <w:pStyle w:val="Heading2"/>
      </w:pPr>
      <w:r>
        <w:t>4.3 Clarificações de percurso da UE</w:t>
      </w:r>
    </w:p>
    <w:p>
      <w:pPr>
        <w:spacing w:before="12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UT02 é usado quando a ausência do insumo já é conhecida antes da execução substantiva; UT08 quando a necessidade surge durante U2.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UT10 retorna a U2 quando a UE continua suficientemente qualificada e precisa apenas ser refeita; retorna a U1 quando a informação nova exige requalificação.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UT11 aplica-se apenas a UEs efetivamente em U2. UEs em U3, U4 ou U5 mantêm seus estados durante RH.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UT13 não retroage UEs já concluídas em U3 ou U5; esses estados permanecem como registro histórico do trabalho realizado.</w:t>
      </w:r>
    </w:p>
    <w:p>
      <w:pPr>
        <w:pStyle w:val="Heading1"/>
      </w:pPr>
      <w:r>
        <w:t>5 Dependências do Resultado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Cada Resultado possui um conjunto explícito de UEs obrigatórias. Uma UE é considerada resolvida quando chega a U3 PRONTA_PARA_INTEGRAÇÃO ou U5 ENCERRADA_SEM_ALTERAÇÃO. U4, U6 e UC não satisfazem a dependência de um Resultado que ainda pretenda ser liberado em R7.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rPr>
          <w:cantSplit/>
        </w:trPr>
        <w:tc>
          <w:tcPr>
            <w:tcW w:type="dxa" w:w="9632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required_units = {UE-01, UE-02, UE-03}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UE-01 = U3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UE-02 = U3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UE-03 = U4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Resultado = R0 — AGUARDANDO_UNIDADES</w:t>
            </w:r>
          </w:p>
        </w:tc>
      </w:tr>
    </w:tbl>
    <w:p>
      <w:pPr>
        <w:pStyle w:val="Heading1"/>
      </w:pPr>
      <w:r>
        <w:t>6 Estados do Resultado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11"/>
        <w:gridCol w:w="3211"/>
        <w:gridCol w:w="3211"/>
      </w:tblGrid>
      <w:tr>
        <w:trPr>
          <w:tblHeader w:val="true"/>
          <w:cantSplit/>
          <w:cantSplit/>
        </w:trPr>
        <w:tc>
          <w:tcPr>
            <w:tcW w:type="dxa" w:w="68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Código</w:t>
            </w:r>
          </w:p>
        </w:tc>
        <w:tc>
          <w:tcPr>
            <w:tcW w:type="dxa" w:w="272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521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Significado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R0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AGUARDANDO_UNIDADES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Uma ou mais UEs obrigatórias ainda não foram resolvidas.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R1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PRONTO_PARA_INTEGRAÇÃO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Todas as UEs obrigatórias foram resolvidas.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R2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CONTEÚDO_CONSOLIDADO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Os resultados das UEs foram integrados em uma representação semântica única.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R3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CONTEÚDO_VALIDADO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O gate global de conteúdo foi aprovado ou a validade semântica existente foi legitimamente preservada conforme o percurso aplicável.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R4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ARTEFATO_MATERIALIZADO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O artefato requerido foi produzido ou alterado a partir de base semanticamente válida.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R5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ARTEFATO_VALIDADO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O gate formal foi aprovado.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R6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MUDANÇA_VERIFICADA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Quando aplicável, estado anterior/posterior foi comparado e o escopo foi comprovado.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R7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LIBERADO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O Resultado final está apto e foi disponibilizado ao solicitante.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RH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CHECKPOINT_HUMANO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 execução do Resultado foi deliberadamente suspensa para avaliação humana intermediária.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RC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CANCELADO</w:t>
            </w:r>
          </w:p>
        </w:tc>
        <w:tc>
          <w:tcPr>
            <w:tcW w:type="dxa" w:w="5216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O Resultado foi encerrado por decisão explícita de não prosseguir antes da liberação.</w:t>
            </w:r>
          </w:p>
        </w:tc>
      </w:tr>
    </w:tbl>
    <w:p>
      <w:pPr>
        <w:pStyle w:val="Heading2"/>
      </w:pPr>
      <w:r>
        <w:t>6.1 Transições do Resultado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  <w:cantSplit/>
          <w:cantSplit/>
        </w:trPr>
        <w:tc>
          <w:tcPr>
            <w:tcW w:type="dxa" w:w="68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24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Origem</w:t>
            </w:r>
          </w:p>
        </w:tc>
        <w:tc>
          <w:tcPr>
            <w:tcW w:type="dxa" w:w="436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Condição</w:t>
            </w:r>
          </w:p>
        </w:tc>
        <w:tc>
          <w:tcPr>
            <w:tcW w:type="dxa" w:w="2438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Destino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RT01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R0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Todas as UEs obrigatórias resolvidas.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R1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RT02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R1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Integração realizada sem conflito material.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R2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RT03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R1/R2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Integração identifica incompatibilidade entre UEs.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Reabre UE(s) afetada(s) e retorna a R0.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RT04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R2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Gate de conteúdo aprovado.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R3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RT05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R2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Falha semântica autonomamente corrigível.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R2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RT06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R2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Falha exige decisão ou informação.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Reabre/cria UE obrigatória e retorna a R0.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RT07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R3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 saída final não requer materialização ou alteração de artefato, inclusive encerramento legítimo sem alteração.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R7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RT08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R3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Resultado requer artefato.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R4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RT09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R4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Gate formal aprovado.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R5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RT10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R4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Defeito exclusivamente formal corrigível.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R4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RT11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R4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Materialização revela problema semântico.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R2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RT12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R5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Resultado novo, sem estado anterior cuja preservação precise ser comprovada.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R7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RT13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R5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Resultado altera objeto existente e exige comprovação de preservação de escopo.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R6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RT14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R6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Mudança e preservação comprovadas.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R7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RT15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R6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Alteração colateral formal.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R4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RT16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R6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Alteração colateral semântica.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R2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RT17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Qualquer pré-R7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Checkpoint humano explicitamente solicitado ou exigido.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RH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RT18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RH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Revisão aprovada sem alteração material.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Retorna ao estado suspenso.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RT19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RH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Feedback altera conteúdo.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R2 se nenhuma UE obrigatória for reaberta/criada; R0 se o feedback reabrir ou criar UE obrigatória.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RT20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RH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Feedback altera somente materialização.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R4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RT21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R1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Intervenção exclusivamente formal sobre base semanticamente válida; nenhuma UE introduziu alteração semântica.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R4</w:t>
            </w:r>
          </w:p>
        </w:tc>
      </w:tr>
      <w:tr>
        <w:trPr>
          <w:cantSplit/>
          <w:cantSplit/>
        </w:trPr>
        <w:tc>
          <w:tcPr>
            <w:tcW w:type="dxa" w:w="68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RT22</w:t>
            </w:r>
          </w:p>
        </w:tc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Qualquer pré-R7</w:t>
            </w:r>
          </w:p>
        </w:tc>
        <w:tc>
          <w:tcPr>
            <w:tcW w:type="dxa" w:w="436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Cancelamento válido e definitivo do Resultado.</w:t>
            </w:r>
          </w:p>
        </w:tc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RC</w:t>
            </w:r>
          </w:p>
        </w:tc>
      </w:tr>
    </w:tbl>
    <w:p>
      <w:pPr>
        <w:pStyle w:val="Heading2"/>
      </w:pPr>
      <w:r>
        <w:t>6.2 Clarificações de escolha e retorno</w:t>
      </w:r>
    </w:p>
    <w:p>
      <w:pPr>
        <w:spacing w:before="12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RT12 aplica-se quando não existe estado anterior que precise ser preservado por comparação material; RT13 aplica-se quando o Resultado é uma alteração de objeto existente e a preservação do escopo deve ser comprovada.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RT07 não converte artificialmente um Resultado documental em textual; ele reconhece que, quando nenhuma alteração do artefato é necessária, a saída final válida é a comunicação consolidada e validada dessa conclusão.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RT19 possui dois destinos explicitamente condicionados: R2 quando o feedback puder ser incorporado ao conteúdo consolidado sem reabrir ou criar UE obrigatória; R0 quando o feedback reabrir ou criar UE obrigatória, tornando o Resultado novamente incompleto.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RT21 não equivale a ignorar qualidade semântica. Ele só existe quando a validade semântica prévia permanece aplicável e o escopo atual continua exclusivamente formal. Se impacto semântico for descoberto ainda durante U2, a UE não deve concluir como exclusivamente formal; deve seguir o tratamento de decisão/insumo e, após resolução, o Resultado percorre RT02 até R2.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RT22 só se aplica antes de R7. Depois de R7, eventual revogação, substituição ou desfazimento constitui nova Solicitação.</w:t>
      </w:r>
    </w:p>
    <w:p>
      <w:pPr>
        <w:pStyle w:val="Heading1"/>
      </w:pPr>
      <w:r>
        <w:t>7 Fluxos principais</w:t>
      </w:r>
    </w:p>
    <w:p>
      <w:pPr>
        <w:pStyle w:val="Heading2"/>
      </w:pPr>
      <w:r>
        <w:t>7.1 Criação documental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rPr>
          <w:cantSplit/>
        </w:trPr>
        <w:tc>
          <w:tcPr>
            <w:tcW w:type="dxa" w:w="9632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R0 → R1 → R2 → R3 → R4 → R5 → R7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 xml:space="preserve">                         └─ quando alteração existente exigir comparação: R5 → R6 → R7</w:t>
            </w:r>
          </w:p>
        </w:tc>
      </w:tr>
    </w:tbl>
    <w:p>
      <w:pPr>
        <w:pStyle w:val="Heading2"/>
      </w:pPr>
      <w:r>
        <w:t>7.2 Resultado exclusivamente textual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rPr>
          <w:cantSplit/>
        </w:trPr>
        <w:tc>
          <w:tcPr>
            <w:tcW w:type="dxa" w:w="9632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R0 → R1 → R2 → R3 → R7</w:t>
            </w:r>
          </w:p>
        </w:tc>
      </w:tr>
    </w:tbl>
    <w:p>
      <w:pPr>
        <w:pStyle w:val="Heading2"/>
      </w:pPr>
      <w:r>
        <w:t>7.3 Intervenção exclusivamente formal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rPr>
          <w:cantSplit/>
        </w:trPr>
        <w:tc>
          <w:tcPr>
            <w:tcW w:type="dxa" w:w="9632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R0 → R1 ──RT21──► R4 → R5 → R6 → R7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Pré-condições: base semanticamente válida; escopo exclusivamente formal; nenhuma UE introduziu alteração semântica.</w:t>
            </w:r>
          </w:p>
        </w:tc>
      </w:tr>
    </w:tbl>
    <w:p>
      <w:pPr>
        <w:pStyle w:val="Heading2"/>
      </w:pPr>
      <w:r>
        <w:t>7.4 Encerramento legítimo sem alteração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rPr>
          <w:cantSplit/>
        </w:trPr>
        <w:tc>
          <w:tcPr>
            <w:tcW w:type="dxa" w:w="9632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UE obrigatória → U5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Resultado: R0 → R1 → R2 → R3 → R7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Saída final: comunicação de que a intervenção era desnecessária.</w:t>
            </w:r>
          </w:p>
        </w:tc>
      </w:tr>
    </w:tbl>
    <w:p>
      <w:pPr>
        <w:pStyle w:val="Heading2"/>
      </w:pPr>
      <w:r>
        <w:t>7.5 Checkpoint humano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rPr>
          <w:cantSplit/>
        </w:trPr>
        <w:tc>
          <w:tcPr>
            <w:tcW w:type="dxa" w:w="9632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Resultado pré-R7 ──RT17──► RH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UE em U2 ──UT11──► U6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Retorno sem alteração material: RH → estado suspenso; U6 → U2 ou U1 via UT12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Feedback que altera conteúdo sem reabrir UE obrigatória: RH → R2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Feedback que reabre/cria UE obrigatória: RH → R0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Feedback apenas formal: RH → R4</w:t>
            </w:r>
          </w:p>
        </w:tc>
      </w:tr>
    </w:tbl>
    <w:p>
      <w:pPr>
        <w:pStyle w:val="Heading2"/>
      </w:pPr>
      <w:r>
        <w:t>7.6 Cancelamento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rPr>
          <w:cantSplit/>
        </w:trPr>
        <w:tc>
          <w:tcPr>
            <w:tcW w:type="dxa" w:w="9632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Qualquer Resultado pré-R7 ──RT22──► RC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UEs não concluídas: U0/U1/U2/U4/U6 ──UT13──► UC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UEs já U3/U5 permanecem como registro histórico.</w:t>
            </w:r>
            <w:r>
              <w:br/>
            </w:r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Nenhum gate posterior é executado.</w:t>
            </w:r>
          </w:p>
        </w:tc>
      </w:tr>
    </w:tbl>
    <w:p>
      <w:pPr>
        <w:pStyle w:val="Heading1"/>
      </w:pPr>
      <w:r>
        <w:t>8 Integração e gate global de conteúdo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Duas UEs podem estar localmente corretas e produzir uma combinação incompatível. A integração verifica incompatibilidades entre change sets, alterações sobrepostas, decisões contraditórias, terminologia divergente, perda de conteúdo e precedência indevida.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rPr>
          <w:cantSplit/>
        </w:trPr>
        <w:tc>
          <w:tcPr>
            <w:tcW w:type="dxa" w:w="9632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9632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Resultado local válido não implica composição global válida.</w:t>
            </w:r>
          </w:p>
        </w:tc>
      </w:tr>
    </w:tbl>
    <w:p>
      <w:pPr>
        <w:spacing w:before="12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O gate institucional de conteúdo ocorre sobre o Resultado consolidado, não sobre UEs isoladas. UEs podem executar validação local suficiente para chegar a U3, mas coerência global, progressão, redundância, navegabilidade, proporcionalidade e consistência terminológica são avaliadas após a integração.</w:t>
      </w:r>
    </w:p>
    <w:p>
      <w:pPr>
        <w:pStyle w:val="Heading1"/>
      </w:pPr>
      <w:r>
        <w:t>9 Paralelismo lógico e regra de entrega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Independência de UEs não obriga execução simultânea. A implementação pode executar UEs em paralelo, sequencialmente, em lotes, por agentes diferentes ou pelo mesmo agente. O workflow modela dependência lógica, não infraestrutura concorrente.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rPr>
          <w:cantSplit/>
        </w:trPr>
        <w:tc>
          <w:tcPr>
            <w:tcW w:type="dxa" w:w="9632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Regra de entrega</w:t>
            </w:r>
          </w:p>
        </w:tc>
      </w:tr>
      <w:tr>
        <w:trPr>
          <w:cantSplit/>
        </w:trPr>
        <w:tc>
          <w:tcPr>
            <w:tcW w:type="dxa" w:w="9632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Um Resultado somente é entregue como resultado final quando alcança R7 — LIBERADO.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6"/>
        <w:gridCol w:w="4816"/>
      </w:tblGrid>
      <w:tr>
        <w:trPr>
          <w:tblHeader w:val="true"/>
          <w:cantSplit/>
          <w:cantSplit/>
        </w:trPr>
        <w:tc>
          <w:tcPr>
            <w:tcW w:type="dxa" w:w="5783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Situação</w:t>
            </w:r>
          </w:p>
        </w:tc>
        <w:tc>
          <w:tcPr>
            <w:tcW w:type="dxa" w:w="2835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Entrega final?</w:t>
            </w:r>
          </w:p>
        </w:tc>
      </w:tr>
      <w:tr>
        <w:trPr>
          <w:cantSplit/>
          <w:cantSplit/>
        </w:trPr>
        <w:tc>
          <w:tcPr>
            <w:tcW w:type="dxa" w:w="5783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UE em U3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Não.</w:t>
            </w:r>
          </w:p>
        </w:tc>
      </w:tr>
      <w:tr>
        <w:trPr>
          <w:cantSplit/>
          <w:cantSplit/>
        </w:trPr>
        <w:tc>
          <w:tcPr>
            <w:tcW w:type="dxa" w:w="5783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Várias UEs concluídas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Não.</w:t>
            </w:r>
          </w:p>
        </w:tc>
      </w:tr>
      <w:tr>
        <w:trPr>
          <w:cantSplit/>
          <w:cantSplit/>
        </w:trPr>
        <w:tc>
          <w:tcPr>
            <w:tcW w:type="dxa" w:w="5783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Artefato intermediário de processamento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Não.</w:t>
            </w:r>
          </w:p>
        </w:tc>
      </w:tr>
      <w:tr>
        <w:trPr>
          <w:cantSplit/>
          <w:cantSplit/>
        </w:trPr>
        <w:tc>
          <w:tcPr>
            <w:tcW w:type="dxa" w:w="5783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Resultado em RH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Não.</w:t>
            </w:r>
          </w:p>
        </w:tc>
      </w:tr>
      <w:tr>
        <w:trPr>
          <w:cantSplit/>
          <w:cantSplit/>
        </w:trPr>
        <w:tc>
          <w:tcPr>
            <w:tcW w:type="dxa" w:w="5783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Resultado em RC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Não.</w:t>
            </w:r>
          </w:p>
        </w:tc>
      </w:tr>
      <w:tr>
        <w:trPr>
          <w:cantSplit/>
          <w:cantSplit/>
        </w:trPr>
        <w:tc>
          <w:tcPr>
            <w:tcW w:type="dxa" w:w="5783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Resultado em R7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Sim.</w:t>
            </w:r>
          </w:p>
        </w:tc>
      </w:tr>
    </w:tbl>
    <w:p>
      <w:pPr>
        <w:spacing w:before="12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Resultados independentes podem alcançar R7 em momentos diferentes sem que isso configure liberação parcial de um mesmo Resultado.</w:t>
      </w:r>
    </w:p>
    <w:p>
      <w:pPr>
        <w:pStyle w:val="Heading1"/>
      </w:pPr>
      <w:r>
        <w:t>10 Checkpoint humano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RH é excepcional e deliberado. Ao entrar em RH, o Resultado deixa de avançar. UEs em U2 passam para U6. UEs já concluídas ou já bloqueadas mantêm seus estados.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6"/>
        <w:gridCol w:w="4816"/>
      </w:tblGrid>
      <w:tr>
        <w:trPr>
          <w:tblHeader w:val="true"/>
          <w:cantSplit/>
          <w:cantSplit/>
        </w:trPr>
        <w:tc>
          <w:tcPr>
            <w:tcW w:type="dxa" w:w="396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Estado da UE ao entrar em RH</w:t>
            </w:r>
          </w:p>
        </w:tc>
        <w:tc>
          <w:tcPr>
            <w:tcW w:type="dxa" w:w="470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Tratamento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U2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UT11 → U6.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U3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Permanece U3.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U4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Permanece U4.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U5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Permanece U5.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U0/U1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Não avançam enquanto o Resultado permanecer em RH.</w:t>
            </w:r>
          </w:p>
        </w:tc>
      </w:tr>
    </w:tbl>
    <w:p>
      <w:pPr>
        <w:spacing w:before="12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No retorno do checkpoint, U6 volta a U2 quando pode simplesmente continuar, ou a U1 quando o feedback altera premissas e exige requalificação. Quando feedback reabre ou cria UE obrigatória, o Resultado retorna explicitamente a R0.</w:t>
      </w:r>
    </w:p>
    <w:p>
      <w:pPr>
        <w:pStyle w:val="Heading1"/>
      </w:pPr>
      <w:r>
        <w:t>11 Cancelamento e terminalidade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Cancelamento é semanticamente distinto de conclusão, ausência de alteração e checkpoint. RC representa encerramento definitivo do Resultado antes da liberação.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6"/>
        <w:gridCol w:w="4816"/>
      </w:tblGrid>
      <w:tr>
        <w:trPr>
          <w:tblHeader w:val="true"/>
          <w:cantSplit/>
          <w:cantSplit/>
        </w:trPr>
        <w:tc>
          <w:tcPr>
            <w:tcW w:type="dxa" w:w="3969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Situação</w:t>
            </w:r>
          </w:p>
        </w:tc>
        <w:tc>
          <w:tcPr>
            <w:tcW w:type="dxa" w:w="470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Efeito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Resultado pré-R7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RT22 → RC.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UE em U0/U1/U2/U4/U6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UT13 → UC.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UE em U3/U5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Permanece em seu estado como registro histórico.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Artefato intermediário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Não é liberado como resultado final.</w:t>
            </w:r>
          </w:p>
        </w:tc>
      </w:tr>
      <w:tr>
        <w:trPr>
          <w:cantSplit/>
          <w:cantSplit/>
        </w:trPr>
        <w:tc>
          <w:tcPr>
            <w:tcW w:type="dxa" w:w="3969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Resultado já em R7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Não pode voltar a RC; qualquer desfazimento constitui nova Solicitação.</w:t>
            </w:r>
          </w:p>
        </w:tc>
      </w:tr>
    </w:tbl>
    <w:p>
      <w:pPr>
        <w:pStyle w:val="Heading1"/>
      </w:pPr>
      <w:r>
        <w:t>12 Invariantes do modelo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6"/>
        <w:gridCol w:w="4816"/>
      </w:tblGrid>
      <w:tr>
        <w:trPr>
          <w:tblHeader w:val="true"/>
          <w:cantSplit/>
          <w:cantSplit/>
        </w:trPr>
        <w:tc>
          <w:tcPr>
            <w:tcW w:type="dxa" w:w="1134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7540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Regra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INV-01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Toda UE pertence a exatamente um Resultado.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INV-02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Conclusão de UE não representa, por si só, entrega ao usuário.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INV-03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Paralelismo de UEs não autoriza concorrência descontrolada sobre o estado final do artefato.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INV-04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Resultado só avança para integração quando todas as UEs obrigatórias estiverem resolvidas em U3 ou U5.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INV-05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Resultados das UEs são integrados antes do gate global de conteúdo, salvo o bypass formal explícito de RT21.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INV-06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Validade local de todas as UEs não implica validade da composição.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INV-07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Gate global de conteúdo ocorre sobre o Resultado consolidado.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INV-08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Materialização final parte de conteúdo consolidado e validado, salvo intervenção exclusivamente formal sobre base semanticamente válida via RT21.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INV-09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Artefato não é liberado antes do gate formal quando materialização for aplicável.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INV-10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Alterações restritas não são liberadas sem comprovação de preservação quando aplicável.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INV-11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Uma UE bloqueada impede apenas os Resultados que dependem dela.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INV-12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Resultado incompleto não é entregue como final.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INV-13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Checkpoint humano suspende o avanço do Resultado; UEs em execução assumem U6 enquanto o checkpoint permanecer aberto.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INV-14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Artefatos intermediários não constituem entregas por padrão.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INV-15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Premissa não confirmada pode encerrar uma UE em U5 e produzir Resultado liberável sem alteração de artefato via RT07.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INV-16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Cancelamento pré-R7 encerra o Resultado em RC; não equivale a R7 e não libera artefatos intermediários.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INV-17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Cancelamento não reescreve o histórico de UEs já concluídas em U3 ou U5.</w:t>
            </w:r>
          </w:p>
        </w:tc>
      </w:tr>
      <w:tr>
        <w:trPr>
          <w:cantSplit/>
          <w:cantSplit/>
        </w:trPr>
        <w:tc>
          <w:tcPr>
            <w:tcW w:type="dxa" w:w="1134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INV-18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Depois de R7, cancelamento não é retroativo; desfazimento ou revogação exige nova Solicitação.</w:t>
            </w:r>
          </w:p>
        </w:tc>
      </w:tr>
    </w:tbl>
    <w:p>
      <w:pPr>
        <w:pStyle w:val="Heading1"/>
      </w:pPr>
      <w:r>
        <w:t>13 Evidências de validação do modelo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A arquitetura UE → Resultado → Integração foi submetida a bateria estrutural na proposta v0.2, que identificou lacunas de encerramento sem alteração, bypass formal, suspensão durante checkpoint e cancelamento. A proposta v0.3 incorporou essas correções e foi submetida a bateria de regressão dirigida.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A regressão da v0.3 exercitou U6, UC, RC, RT21, UT11, UT12, UT13, RT22 e a semântica ampliada de RT07. O reteste dirigido do falso bypass formal confirmou que impacto semântico descoberto ainda em U2 impede RT21: a UE segue por UT08 para U4 quando surge decisão ou insumo indispensável; após resolução e eventual requalificação, o Resultado percorre o caminho ordinário por RT02 até R2 e novo gate de conteúdo.</w:t>
      </w:r>
    </w:p>
    <w:p>
      <w:pPr>
        <w:spacing w:before="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A única ambiguidade formal remanescente identificada na bateria dizia respeito ao destino de RT19 quando feedback em RH reabria ou criava UE obrigatória. Esta versão 0.4 torna o destino explícito: R2 sem reabertura/criação de UE obrigatória; R0 quando houver reabertura ou criação de UE obrigatória.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2"/>
      </w:tblGrid>
      <w:tr>
        <w:trPr>
          <w:cantSplit/>
        </w:trPr>
        <w:tc>
          <w:tcPr>
            <w:tcW w:type="dxa" w:w="9632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Critério de estabilização</w:t>
            </w:r>
          </w:p>
        </w:tc>
      </w:tr>
      <w:tr>
        <w:trPr>
          <w:cantSplit/>
        </w:trPr>
        <w:tc>
          <w:tcPr>
            <w:tcW w:type="dxa" w:w="9632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A versão 0.4 não introduz nova capacidade estrutural. Ela consolida o modelo validado e elimina a ambiguidade tabular de RT19.</w:t>
            </w:r>
          </w:p>
        </w:tc>
      </w:tr>
    </w:tbl>
    <w:p>
      <w:pPr>
        <w:pStyle w:val="Heading1"/>
      </w:pPr>
      <w:r>
        <w:t>14 Instrução operacional consolidada</w:t>
      </w:r>
    </w:p>
    <w:p>
      <w:pPr>
        <w:spacing w:before="120" w:after="9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Ao aplicar este workflow, decomponha a Solicitação em Resultados e UEs apenas no grau necessário; qualifique e execute cada UE conforme suas dependências; preserve bloqueios e checkpoints localizados; integre UEs resolvidas antes do gate global de conteúdo; reutilize validade semântica anterior somente quando RT21 for legitimamente aplicável; materialize e valide artefatos conforme a diretriz vigente; verifique preservação de escopo quando aplicável; libere somente Resultados em R7; e encerre cancelamentos pré-R7 em RC sem liberar artefatos intermediários. Não invente estados ou transições para acomodar casos não cobertos: quando houver lacuna material, trate-a como necessidade de evolução do modelo ou como regra específica fora deste workflow.</w:t>
      </w:r>
    </w:p>
    <w:p>
      <w:pPr>
        <w:pStyle w:val="Heading1"/>
      </w:pPr>
      <w:r>
        <w:t>15 Controle de Revisão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11"/>
        <w:gridCol w:w="3211"/>
        <w:gridCol w:w="3211"/>
      </w:tblGrid>
      <w:tr>
        <w:trPr>
          <w:tblHeader w:val="true"/>
          <w:cantSplit/>
          <w:cantSplit/>
        </w:trPr>
        <w:tc>
          <w:tcPr>
            <w:tcW w:type="dxa" w:w="1247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Versão</w:t>
            </w:r>
          </w:p>
        </w:tc>
        <w:tc>
          <w:tcPr>
            <w:tcW w:type="dxa" w:w="1701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5726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Descrição</w:t>
            </w:r>
          </w:p>
        </w:tc>
      </w:tr>
      <w:tr>
        <w:trPr>
          <w:cantSplit/>
          <w:cantSplit/>
        </w:trP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0.2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22/09/2026</w:t>
            </w:r>
          </w:p>
        </w:tc>
        <w:tc>
          <w:tcPr>
            <w:tcW w:type="dxa" w:w="572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Separação entre Unidade de Execução e Resultado; formalização da integração, gates globais, checkpoint humano e regra de entrega.</w:t>
            </w:r>
          </w:p>
        </w:tc>
      </w:tr>
      <w:tr>
        <w:trPr>
          <w:cantSplit/>
          <w:cantSplit/>
        </w:trP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0.3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23/09/2026</w:t>
            </w:r>
          </w:p>
        </w:tc>
        <w:tc>
          <w:tcPr>
            <w:tcW w:type="dxa" w:w="5726"/>
            <w:tcMar>
              <w:top w:w="80" w:type="dxa"/>
              <w:start w:w="80" w:type="dxa"/>
              <w:bottom w:w="8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Inclusão de encerramento sem alteração, bypass formal, suspensão de UE durante checkpoint e cancelamento; clarificações de bifurcações identificadas na bateria estrutural.</w:t>
            </w:r>
          </w:p>
        </w:tc>
      </w:tr>
      <w:tr>
        <w:trPr>
          <w:cantSplit/>
          <w:cantSplit/>
        </w:trPr>
        <w:tc>
          <w:tcPr>
            <w:tcW w:type="dxa" w:w="1247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6"/>
              </w:rPr>
              <w:t>0.4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24/09/2026</w:t>
            </w:r>
          </w:p>
        </w:tc>
        <w:tc>
          <w:tcPr>
            <w:tcW w:type="dxa" w:w="572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Estabilização do modelo após regressão dirigida; explicitação do destino de RT19 para R2 ou R0 conforme reabertura/criação de UE obrigatória; incorporação do reteste do falso bypass formal; institucionalização da especificação.</w:t>
            </w:r>
          </w:p>
        </w:tc>
      </w:tr>
    </w:tbl>
    <w:p>
      <w:pPr>
        <w:keepNext/>
        <w:spacing w:before="300" w:after="120"/>
        <w:jc w:val="center"/>
      </w:pPr>
      <w:r>
        <w:rPr>
          <w:rFonts w:ascii="Calibri" w:hAnsi="Calibri"/>
          <w:b/>
          <w:i w:val="0"/>
          <w:color w:val="17365D"/>
          <w:sz w:val="31"/>
        </w:rPr>
        <w:t>Referências</w:t>
      </w:r>
    </w:p>
    <w:p>
      <w:pPr>
        <w:spacing w:after="14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MUNZLINGER, Johann. Diretriz de Qualidade e Construção de Conteúdo Documental Institucional. Versão 1.0. Documento interno, 2026.</w:t>
      </w:r>
    </w:p>
    <w:p>
      <w:pPr>
        <w:spacing w:after="14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MUNZLINGER, Johann. Diretriz de Padronização Documental Institucional. Versão 3.0. Documento interno, 2026.</w:t>
      </w:r>
    </w:p>
    <w:p>
      <w:pPr>
        <w:spacing w:after="14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MUNZLINGER, Johann. Contrato Operacional de Execução Documental por IA. Versão 0.3. Especificação operacional interna de trabalho, 2026.</w:t>
      </w:r>
    </w:p>
    <w:p>
      <w:pPr>
        <w:spacing w:after="14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MUNZLINGER, Johann. Modelo Formal do Workflow de Execução Documental por IA. Proposta v0.3. Documento auxiliar não institucional para validação e testes, 2026.</w:t>
      </w:r>
    </w:p>
    <w:p>
      <w:pPr>
        <w:spacing w:after="140" w:line="276" w:lineRule="auto"/>
      </w:pPr>
      <w:r>
        <w:rPr>
          <w:rFonts w:ascii="Arial" w:hAnsi="Arial"/>
          <w:b w:val="0"/>
          <w:i w:val="0"/>
          <w:color w:val="202020"/>
          <w:sz w:val="20"/>
        </w:rPr>
        <w:t>MUNZLINGER, Johann. Relatório Consolidado da Bateria de Regressão Estrutural — Modelo Formal v0.3. Versão 1.0. Documento interno, 2026.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247" w:right="1247" w:bottom="1134" w:left="136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center"/>
    </w:pPr>
    <w:r>
      <w:rPr>
        <w:rFonts w:ascii="Arial" w:hAnsi="Arial"/>
        <w:b w:val="0"/>
        <w:i w:val="0"/>
        <w:color w:val="7A7A7A"/>
        <w:sz w:val="14"/>
      </w:rPr>
      <w:t xml:space="preserve">Página </w:t>
    </w:r>
    <w:fldSimple w:instr="PAGE">
      <w:r>
        <w:rPr>
          <w:rFonts w:ascii="Arial" w:hAnsi="Arial"/>
          <w:sz w:val="14"/>
          <w:color w:val="7A7A7A"/>
        </w:rPr>
        <w:t>1</w:t>
      </w:r>
    </w:fldSimple>
    <w:r>
      <w:rPr>
        <w:rFonts w:ascii="Arial" w:hAnsi="Arial"/>
        <w:b w:val="0"/>
        <w:i w:val="0"/>
        <w:color w:val="7A7A7A"/>
        <w:sz w:val="14"/>
      </w:rPr>
      <w:t xml:space="preserve"> de </w:t>
    </w:r>
    <w:fldSimple w:instr="NUMPAGES">
      <w:r>
        <w:rPr>
          <w:rFonts w:ascii="Arial" w:hAnsi="Arial"/>
          <w:sz w:val="14"/>
          <w:color w:val="7A7A7A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center"/>
      <w:pBdr>
        <w:bottom w:val="single" w:sz="4" w:space="3" w:color="D9E2F3"/>
      </w:pBdr>
    </w:pPr>
    <w:r>
      <w:rPr>
        <w:rFonts w:ascii="Arial" w:hAnsi="Arial"/>
        <w:b w:val="0"/>
        <w:i w:val="0"/>
        <w:color w:val="7A7A7A"/>
        <w:sz w:val="14"/>
      </w:rPr>
      <w:t>Governança Documental • Workflow por IA • Especificação formal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6" w:lineRule="auto"/>
    </w:pPr>
    <w:rPr>
      <w:rFonts w:ascii="Arial" w:hAnsi="Arial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5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