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600"/>
        <w:jc w:val="center"/>
      </w:pPr>
      <w:r>
        <w:drawing>
          <wp:inline distT="0" distB="0" distL="0" distR="0">
            <wp:extent cx="2381250" cy="66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300"/>
        <w:jc w:val="center"/>
      </w:pPr>
      <w:r>
        <w:rPr>
          <w:b/>
          <w:bCs/>
          <w:color w:val="1F2937"/>
          <w:sz w:val="56"/>
          <w:szCs w:val="56"/>
        </w:rPr>
        <w:t xml:space="preserve">Tenir une caisse</w:t>
      </w:r>
    </w:p>
    <w:p>
      <w:pPr>
        <w:spacing w:after="600"/>
        <w:jc w:val="center"/>
      </w:pPr>
      <w:r>
        <w:rPr>
          <w:color w:val="B45309"/>
          <w:sz w:val="28"/>
          <w:szCs w:val="28"/>
        </w:rPr>
        <w:t xml:space="preserve">Mode d'emploi — caissier·ère</w:t>
      </w:r>
    </w:p>
    <w:p>
      <w:pPr>
        <w:spacing w:after="80"/>
        <w:jc w:val="center"/>
      </w:pPr>
      <w:r>
        <w:rPr>
          <w:color w:val="6B7280"/>
          <w:sz w:val="20"/>
          <w:szCs w:val="20"/>
        </w:rPr>
        <w:t xml:space="preserve">Ludothèque Nyon Région</w:t>
      </w:r>
    </w:p>
    <w:p>
      <w:pPr>
        <w:spacing w:after="80"/>
        <w:jc w:val="center"/>
      </w:pPr>
      <w:r>
        <w:rPr>
          <w:color w:val="6B7280"/>
          <w:sz w:val="20"/>
          <w:szCs w:val="20"/>
        </w:rPr>
        <w:t xml:space="preserve">Troc de la ludothèque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400"/>
      </w:pPr>
      <w:r>
        <w:rPr>
          <w:b/>
          <w:bCs/>
          <w:color w:val="1F2937"/>
        </w:rPr>
        <w:t xml:space="preserve">Se connecter à sa caisse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Ouvrir la page de connexion (« /gestion ») sur l'appareil de la caisse.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Entrer le code d'accès propre à cette caisse, communiqué par le comité.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écran d'attente s'affiche : la connexion doit être approuvée par le comité (dashboard) avant de donner accès à la caisse.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Une fois approuvée, la caisse s'ouvre automatiquement, sans rien à refaire.</w:t>
      </w:r>
    </w:p>
    <w:p>
      <w:pPr>
        <w:spacing w:after="0" w:before="160"/>
      </w:pPr>
    </w:p>
    <w:tbl>
      <w:tblPr>
        <w:tblW w:type="dxa" w:w="9676"/>
        <w:jc w:val="center"/>
        <w:tblBorders>
          <w:top w:val="single" w:color="D4D4D8" w:sz="4"/>
          <w:left w:val="single" w:color="D4D4D8" w:sz="4"/>
          <w:bottom w:val="single" w:color="D4D4D8" w:sz="4"/>
          <w:right w:val="single" w:color="D4D4D8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5762625" cy="4324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62625" cy="432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 w:before="0"/>
      </w:pP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Écran de connexion — le code propre à cette caisse.</w:t>
      </w:r>
    </w:p>
    <w:p>
      <w:pPr>
        <w:spacing w:after="0" w:before="160"/>
      </w:pPr>
    </w:p>
    <w:tbl>
      <w:tblPr>
        <w:tblW w:type="dxa" w:w="9676"/>
        <w:jc w:val="center"/>
        <w:tblBorders>
          <w:top w:val="single" w:color="D4D4D8" w:sz="4"/>
          <w:left w:val="single" w:color="D4D4D8" w:sz="4"/>
          <w:bottom w:val="single" w:color="D4D4D8" w:sz="4"/>
          <w:right w:val="single" w:color="D4D4D8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5762625" cy="4324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62625" cy="432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 w:before="0"/>
      </w:pP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En attente que le comité approuve la connexion.</w:t>
      </w:r>
    </w:p>
    <w:tbl>
      <w:tblPr>
        <w:tblW w:type="pct" w:w="100%"/>
        <w:tblBorders>
          <w:top w:val="single" w:color="B91C1C" w:sz="6"/>
          <w:left w:val="single" w:color="B91C1C" w:sz="6"/>
          <w:bottom w:val="single" w:color="B91C1C" w:sz="6"/>
          <w:right w:val="single" w:color="B91C1C" w:sz="6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EF2F2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b/>
                <w:bCs/>
                <w:color w:val="B91C1C"/>
              </w:rPr>
              <w:t xml:space="preserve">🔒 Pourquoi une approbation ?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Contrairement à l'accueil, une caisse ne s'ouvre jamais automatiquement sur un simple code correct : le comité doit valider chaque connexion depuis le dashboard. Cela évite qu'une caisse soit ouverte par erreur, ou par quelqu'un qui aurait deviné/intercepté un code.</w:t>
            </w:r>
          </w:p>
        </w:tc>
      </w:tr>
    </w:tbl>
    <w:p>
      <w:pPr>
        <w:pStyle w:val="Heading1"/>
        <w:spacing w:after="200" w:before="400"/>
      </w:pPr>
      <w:r>
        <w:rPr>
          <w:b/>
          <w:bCs/>
          <w:color w:val="1F2937"/>
        </w:rPr>
        <w:t xml:space="preserve">Les instructions s'affichent automatiquement</w:t>
      </w:r>
    </w:p>
    <w:p>
      <w:pPr>
        <w:spacing w:after="160"/>
      </w:pPr>
      <w:r>
        <w:t xml:space="preserve">À la première connexion de la journée, un rappel des instructions s'affiche : le fond de caisse à vérifier, et la marche à suivre pour chaque client. Le bouton « Revoir les instructions » (en haut de la page) permet de les rouvrir à tout moment.</w:t>
      </w:r>
    </w:p>
    <w:p>
      <w:pPr>
        <w:spacing w:after="0" w:before="160"/>
      </w:pPr>
    </w:p>
    <w:tbl>
      <w:tblPr>
        <w:tblW w:type="dxa" w:w="9676"/>
        <w:jc w:val="center"/>
        <w:tblBorders>
          <w:top w:val="single" w:color="D4D4D8" w:sz="4"/>
          <w:left w:val="single" w:color="D4D4D8" w:sz="4"/>
          <w:bottom w:val="single" w:color="D4D4D8" w:sz="4"/>
          <w:right w:val="single" w:color="D4D4D8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5762625" cy="4324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62625" cy="432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 w:before="0"/>
      </w:pP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Rappel des instructions à la connexion.</w:t>
      </w:r>
    </w:p>
    <w:p>
      <w:pPr>
        <w:pStyle w:val="Heading1"/>
        <w:spacing w:after="200" w:before="400"/>
      </w:pPr>
      <w:r>
        <w:rPr>
          <w:b/>
          <w:bCs/>
          <w:color w:val="1F2937"/>
        </w:rPr>
        <w:t xml:space="preserve">Fond de caisse</w:t>
      </w:r>
    </w:p>
    <w:p>
      <w:pPr>
        <w:spacing w:after="160"/>
      </w:pPr>
      <w:r>
        <w:t xml:space="preserve">Dans chaque caisse, un fond de caisse de 250.-- est à vérifier dès l'ouverture :</w:t>
      </w:r>
    </w:p>
    <w:p>
      <w:pPr>
        <w:spacing w:after="160"/>
      </w:pPr>
      <w:r>
        <w:t xml:space="preserve">1× 50.-- , 4× 20.-- , 4× 10.-- , 6× 5.-- , 10× 2.-- , 11× 1.-- , 20× 50 ct, 30× 20 ct, 30× 10 ct</w:t>
      </w:r>
    </w:p>
    <w:p>
      <w:pPr>
        <w:pStyle w:val="Heading1"/>
        <w:spacing w:after="200" w:before="400"/>
      </w:pPr>
      <w:r>
        <w:rPr>
          <w:b/>
          <w:bCs/>
          <w:color w:val="1F2937"/>
        </w:rPr>
        <w:t xml:space="preserve">Pour chaque client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Scanner le QR code sur l'article (ou taper son code manuellement).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l'acheteur est bénévole, cocher la case « Acheteur bénévole » pour ne pas ajouter les 10%.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Contrôler que le panier contient bien le bon nombre d'articles, et les bons.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Indiquer le montant payé, rendre le montant indiqué.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Encaisser.</w:t>
      </w:r>
    </w:p>
    <w:p>
      <w:pPr>
        <w:pStyle w:val="Heading1"/>
        <w:spacing w:after="200" w:before="400"/>
      </w:pPr>
      <w:r>
        <w:rPr>
          <w:b/>
          <w:bCs/>
          <w:color w:val="1F2937"/>
        </w:rPr>
        <w:t xml:space="preserve">Ajouter un article au panier</w:t>
      </w:r>
    </w:p>
    <w:p>
      <w:pPr>
        <w:spacing w:after="160"/>
      </w:pPr>
      <w:r>
        <w:t xml:space="preserve">Le champ en haut de la page accepte aussi bien un scan (douchette ou appareil photo sur mobile) qu'une saisie manuelle du code affiché sur l'étiquette.</w:t>
      </w:r>
    </w:p>
    <w:p>
      <w:pPr>
        <w:spacing w:after="0" w:before="160"/>
      </w:pPr>
    </w:p>
    <w:tbl>
      <w:tblPr>
        <w:tblW w:type="dxa" w:w="9676"/>
        <w:jc w:val="center"/>
        <w:tblBorders>
          <w:top w:val="single" w:color="D4D4D8" w:sz="4"/>
          <w:left w:val="single" w:color="D4D4D8" w:sz="4"/>
          <w:bottom w:val="single" w:color="D4D4D8" w:sz="4"/>
          <w:right w:val="single" w:color="D4D4D8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5762625" cy="4324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62625" cy="432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 w:before="0"/>
      </w:pP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Deux articles ajoutés au panier, avec le nom du vendeur et le prix (majoré de 10% pour l'acheteur).</w:t>
      </w:r>
    </w:p>
    <w:p>
      <w:pPr>
        <w:pStyle w:val="Heading1"/>
        <w:spacing w:after="200" w:before="400"/>
      </w:pPr>
      <w:r>
        <w:rPr>
          <w:b/>
          <w:bCs/>
          <w:color w:val="1F2937"/>
        </w:rPr>
        <w:t xml:space="preserve">Envoyer une quittance par email</w:t>
      </w:r>
    </w:p>
    <w:p>
      <w:pPr>
        <w:spacing w:after="160"/>
      </w:pPr>
      <w:r>
        <w:t xml:space="preserve">Si l'acheteur le souhaite, la case « Envoyer une quittance par email » fait apparaître un champ pour son adresse. La quittance (liste des articles achetés et montant total) part automatiquement dès que la vente est encaissée.</w:t>
      </w:r>
    </w:p>
    <w:p>
      <w:pPr>
        <w:spacing w:after="0" w:before="160"/>
      </w:pPr>
    </w:p>
    <w:tbl>
      <w:tblPr>
        <w:tblW w:type="dxa" w:w="9676"/>
        <w:jc w:val="center"/>
        <w:tblBorders>
          <w:top w:val="single" w:color="D4D4D8" w:sz="4"/>
          <w:left w:val="single" w:color="D4D4D8" w:sz="4"/>
          <w:bottom w:val="single" w:color="D4D4D8" w:sz="4"/>
          <w:right w:val="single" w:color="D4D4D8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5762625" cy="4324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62625" cy="432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 w:before="0"/>
      </w:pP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Case à cocher pour envoyer une quittance par email, avec le champ adresse.</w:t>
      </w:r>
    </w:p>
    <w:p>
      <w:pPr>
        <w:spacing w:after="0" w:before="160"/>
      </w:pPr>
    </w:p>
    <w:tbl>
      <w:tblPr>
        <w:tblW w:type="dxa" w:w="9676"/>
        <w:jc w:val="center"/>
        <w:tblBorders>
          <w:top w:val="single" w:color="D4D4D8" w:sz="4"/>
          <w:left w:val="single" w:color="D4D4D8" w:sz="4"/>
          <w:bottom w:val="single" w:color="D4D4D8" w:sz="4"/>
          <w:right w:val="single" w:color="D4D4D8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4752975" cy="5200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2975" cy="5200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 w:before="0"/>
      </w:pP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Aperçu de la quittance reçue par email.</w:t>
      </w:r>
    </w:p>
    <w:p>
      <w:pPr>
        <w:pStyle w:val="Heading1"/>
        <w:spacing w:after="200" w:before="400"/>
      </w:pPr>
      <w:r>
        <w:rPr>
          <w:b/>
          <w:bCs/>
          <w:color w:val="1F2937"/>
        </w:rPr>
        <w:t xml:space="preserve">Encaisser</w:t>
      </w:r>
    </w:p>
    <w:p>
      <w:pPr>
        <w:spacing w:after="160"/>
      </w:pPr>
      <w:r>
        <w:t xml:space="preserve">Le montant reçu du client, une fois saisi, affiche immédiatement la monnaie à rendre. Le bouton « Encaisser » n'est actif que si le panier n'est pas vide.</w:t>
      </w:r>
    </w:p>
    <w:p>
      <w:pPr>
        <w:spacing w:after="0" w:before="160"/>
      </w:pPr>
    </w:p>
    <w:tbl>
      <w:tblPr>
        <w:tblW w:type="dxa" w:w="9676"/>
        <w:jc w:val="center"/>
        <w:tblBorders>
          <w:top w:val="single" w:color="D4D4D8" w:sz="4"/>
          <w:left w:val="single" w:color="D4D4D8" w:sz="4"/>
          <w:bottom w:val="single" w:color="D4D4D8" w:sz="4"/>
          <w:right w:val="single" w:color="D4D4D8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5762625" cy="4324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62625" cy="432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 w:before="0"/>
      </w:pP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Vente encaissée, panier vidé, prêt pour le client suivant.</w:t>
      </w:r>
    </w:p>
    <w:p>
      <w:pPr>
        <w:spacing w:after="160"/>
      </w:pPr>
      <w:r>
        <w:t xml:space="preserve">Si une erreur est constatée juste après (mauvais article, double-scan…), le bouton « Annuler cette vente », affiché juste après l'encaissement, permet de l'annuler immédiatement — les articles redeviennent disponibles à la vente.</w:t>
      </w:r>
    </w:p>
    <w:p>
      <w:pPr>
        <w:pStyle w:val="Heading1"/>
        <w:spacing w:after="200" w:before="400"/>
      </w:pPr>
      <w:r>
        <w:rPr>
          <w:b/>
          <w:bCs/>
          <w:color w:val="1F2937"/>
        </w:rPr>
        <w:t xml:space="preserve">Sécurité intégrée : impossible de vendre un article deux fois</w:t>
      </w:r>
    </w:p>
    <w:p>
      <w:pPr>
        <w:spacing w:after="160"/>
      </w:pPr>
      <w:r>
        <w:t xml:space="preserve">Si un article a déjà été vendu (par exemple à une autre caisse), toute tentative de le rajouter au panier est bloquée avec un message explicite — aucun risque de double-vente, même avec plusieurs caisses ouvertes en même temps.</w:t>
      </w:r>
    </w:p>
    <w:p>
      <w:pPr>
        <w:spacing w:after="0" w:before="160"/>
      </w:pPr>
    </w:p>
    <w:tbl>
      <w:tblPr>
        <w:tblW w:type="dxa" w:w="9676"/>
        <w:jc w:val="center"/>
        <w:tblBorders>
          <w:top w:val="single" w:color="D4D4D8" w:sz="4"/>
          <w:left w:val="single" w:color="D4D4D8" w:sz="4"/>
          <w:bottom w:val="single" w:color="D4D4D8" w:sz="4"/>
          <w:right w:val="single" w:color="D4D4D8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5762625" cy="4324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62625" cy="432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 w:before="0"/>
      </w:pP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Tentative de revendre un article déjà vendu : bloqué automatiquement.</w:t>
      </w:r>
    </w:p>
    <w:p>
      <w:pPr>
        <w:pStyle w:val="Heading1"/>
        <w:spacing w:after="200" w:before="400"/>
      </w:pPr>
      <w:r>
        <w:rPr>
          <w:b/>
          <w:bCs/>
          <w:color w:val="1F2937"/>
        </w:rPr>
        <w:t xml:space="preserve">Historique de la caisse</w:t>
      </w:r>
    </w:p>
    <w:p>
      <w:pPr>
        <w:spacing w:after="160"/>
      </w:pPr>
      <w:r>
        <w:t xml:space="preserve">Le lien « Historique » (en haut de la page) liste toutes les ventes encaissées à cette caisse, avec l'heure et le montant.</w:t>
      </w:r>
    </w:p>
    <w:p>
      <w:pPr>
        <w:spacing w:after="0" w:before="160"/>
      </w:pPr>
    </w:p>
    <w:tbl>
      <w:tblPr>
        <w:tblW w:type="dxa" w:w="9676"/>
        <w:jc w:val="center"/>
        <w:tblBorders>
          <w:top w:val="single" w:color="D4D4D8" w:sz="4"/>
          <w:left w:val="single" w:color="D4D4D8" w:sz="4"/>
          <w:bottom w:val="single" w:color="D4D4D8" w:sz="4"/>
          <w:right w:val="single" w:color="D4D4D8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5762625" cy="4324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62625" cy="432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 w:before="0"/>
      </w:pP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Historique des ventes de la caisse.</w:t>
      </w:r>
    </w:p>
    <w:p>
      <w:pPr>
        <w:pStyle w:val="Heading1"/>
        <w:spacing w:after="200" w:before="400"/>
      </w:pPr>
      <w:r>
        <w:rPr>
          <w:b/>
          <w:bCs/>
          <w:color w:val="1F2937"/>
        </w:rPr>
        <w:t xml:space="preserve">Clôturer sa caisse en fin de journée</w:t>
      </w:r>
    </w:p>
    <w:p>
      <w:pPr>
        <w:spacing w:after="80"/>
      </w:pPr>
      <w:r>
        <w:t xml:space="preserve">Depuis la page de la caisse, le bouton « Clôturer ma caisse » lance la clôture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Enlever les 250.-- de fond de caisse.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Compter le reste.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Indiquer le montant réel compté (sans les 250.--) dans le formulaire de clôture.</w:t>
      </w:r>
    </w:p>
    <w:tbl>
      <w:tblPr>
        <w:tblW w:type="pct" w:w="100%"/>
        <w:tblBorders>
          <w:top w:val="single" w:color="16A34A" w:sz="6"/>
          <w:left w:val="single" w:color="16A34A" w:sz="6"/>
          <w:bottom w:val="single" w:color="16A34A" w:sz="6"/>
          <w:right w:val="single" w:color="16A34A" w:sz="6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0FDF4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b/>
                <w:bCs/>
                <w:color w:val="15803D"/>
              </w:rPr>
              <w:t xml:space="preserve">💡 Écart de caisse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Le montant compté est comparé automatiquement au montant théorique (ventes moins vidages en cours de journée) sur le dashboard du comité — un écart, s'il y en a un, y est visible immédiatement.</w:t>
            </w:r>
          </w:p>
        </w:tc>
      </w:tr>
    </w:tbl>
    <w:p>
      <w:pPr>
        <w:pStyle w:val="Heading1"/>
        <w:spacing w:after="200" w:before="400"/>
      </w:pPr>
      <w:r>
        <w:rPr>
          <w:b/>
          <w:bCs/>
          <w:color w:val="1F2937"/>
        </w:rPr>
        <w:t xml:space="preserve">La caisse de remboursement</w:t>
      </w:r>
    </w:p>
    <w:p>
      <w:pPr>
        <w:spacing w:after="160"/>
      </w:pPr>
      <w:r>
        <w:t xml:space="preserve">Un poste dédié permet de gérer les retours : un acheteur ramène un article, on recherche sa vente et on la rembourse. L'article redevient disponible à la vente, et la vente est retirée des bilans — sans jamais toucher aux comptes de la caisse qui l'a encaissée à l'origine. La connexion suit le même principe que pour une caisse de vente (code propre, approbation par le comité).</w:t>
      </w:r>
    </w:p>
    <w:p>
      <w:pPr>
        <w:spacing w:after="80"/>
      </w:pPr>
      <w:r>
        <w:t xml:space="preserve">La recherche d'une vente se fait par numéro de vendeur, numéro d'article, nom de l'article, ou une combinaison des trois — avec, sur mobile, un bouton pour scanner directement le QR code de l'étiquette (ou le code affiché au format vendeur-article-prix).</w:t>
      </w:r>
    </w:p>
    <w:p>
      <w:pPr>
        <w:spacing w:after="0" w:before="160"/>
      </w:pPr>
    </w:p>
    <w:tbl>
      <w:tblPr>
        <w:tblW w:type="dxa" w:w="9676"/>
        <w:jc w:val="center"/>
        <w:tblBorders>
          <w:top w:val="single" w:color="D4D4D8" w:sz="4"/>
          <w:left w:val="single" w:color="D4D4D8" w:sz="4"/>
          <w:bottom w:val="single" w:color="D4D4D8" w:sz="4"/>
          <w:right w:val="single" w:color="D4D4D8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5762625" cy="4324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62625" cy="432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 w:before="0"/>
      </w:pP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Recherche d'une vente à rembourser.</w:t>
      </w:r>
    </w:p>
    <w:p>
      <w:pPr>
        <w:spacing w:after="0" w:before="160"/>
      </w:pPr>
    </w:p>
    <w:tbl>
      <w:tblPr>
        <w:tblW w:type="dxa" w:w="9676"/>
        <w:jc w:val="center"/>
        <w:tblBorders>
          <w:top w:val="single" w:color="D4D4D8" w:sz="4"/>
          <w:left w:val="single" w:color="D4D4D8" w:sz="4"/>
          <w:bottom w:val="single" w:color="D4D4D8" w:sz="4"/>
          <w:right w:val="single" w:color="D4D4D8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5762625" cy="4324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62625" cy="432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 w:before="0"/>
      </w:pP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Article remboursé : retiré des bilans, article de nouveau disponible à la vente.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Page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7280"/>
        <w:sz w:val="16"/>
        <w:szCs w:val="16"/>
      </w:rPr>
      <w:t xml:space="preserve"> / </w:t>
    </w:r>
    <w:r>
      <w:rPr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4D4D8" w:sz="4" w:space="4"/>
      </w:pBdr>
      <w:tabs>
        <w:tab w:val="right" w:pos="9026"/>
      </w:tabs>
      <w:spacing w:after="0"/>
    </w:pPr>
    <w:r>
      <w:rPr>
        <w:color w:val="6B7280"/>
        <w:sz w:val="16"/>
        <w:szCs w:val="16"/>
      </w:rPr>
      <w:t xml:space="preserve">Troc de la ludothèque — Ludothèque Nyon Région</w:t>
    </w:r>
    <w:r>
      <w:rPr>
        <w:color w:val="6B7280"/>
        <w:sz w:val="16"/>
        <w:szCs w:val="16"/>
      </w:rPr>
      <w:t xml:space="preserve">	Mode d'emploi caisse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17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17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e38a616886032b747812841c3ddf71d6c0e299a.png"/><Relationship Id="rId10" Type="http://schemas.openxmlformats.org/officeDocument/2006/relationships/image" Target="media/3614bb4a8cf275109edeec12155fb2dcd5ae7df0.png"/><Relationship Id="rId11" Type="http://schemas.openxmlformats.org/officeDocument/2006/relationships/image" Target="media/1f2b3c107c8a52923e8475e59623ce0e6b22daa9.png"/><Relationship Id="rId12" Type="http://schemas.openxmlformats.org/officeDocument/2006/relationships/image" Target="media/093fd427062cc927b76fc5e6227c4a2a5e3669a0.png"/><Relationship Id="rId13" Type="http://schemas.openxmlformats.org/officeDocument/2006/relationships/image" Target="media/071a8b0877af84b89326251e3df5233817522b76.png"/><Relationship Id="rId14" Type="http://schemas.openxmlformats.org/officeDocument/2006/relationships/image" Target="media/3852010b586cb913e86f216d8b59a6db6a435a18.png"/><Relationship Id="rId15" Type="http://schemas.openxmlformats.org/officeDocument/2006/relationships/image" Target="media/b4efcc3887e1bffbcad6f3f893af6d1f7d11fab2.png"/><Relationship Id="rId16" Type="http://schemas.openxmlformats.org/officeDocument/2006/relationships/image" Target="media/6e63598541cea50d9b1d9002550cecaf5229c73e.png"/><Relationship Id="rId17" Type="http://schemas.openxmlformats.org/officeDocument/2006/relationships/image" Target="media/28fe3b7b031b1b8001803c01839c18dfceae797c.png"/><Relationship Id="rId18" Type="http://schemas.openxmlformats.org/officeDocument/2006/relationships/image" Target="media/a6199c82306c2c3d1038686068ca658a0387c052.png"/><Relationship Id="rId19" Type="http://schemas.openxmlformats.org/officeDocument/2006/relationships/image" Target="media/1c2301367bd341903ece054ad710f5fd2d56604a.png"/><Relationship Id="rId20" Type="http://schemas.openxmlformats.org/officeDocument/2006/relationships/image" Target="media/9858582847036dadad466b1ab8ff35f6aa3c9ff1.pn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2026-08-31T14:14:18.161Z</dcterms:created>
  <dcterms:modified xsi:type="dcterms:W3CDTF">2026-08-31T14:14:18.162Z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