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drawing>
          <wp:inline distT="0" distB="0" distL="0" distR="0">
            <wp:extent cx="23812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666750"/>
                    </a:xfrm>
                    <a:prstGeom prst="rect">
                      <a:avLst/>
                    </a:prstGeom>
                  </pic:spPr>
                </pic:pic>
              </a:graphicData>
            </a:graphic>
          </wp:inline>
        </w:drawing>
      </w:r>
    </w:p>
    <w:p>
      <w:pPr>
        <w:spacing w:after="200" w:before="300"/>
        <w:jc w:val="center"/>
      </w:pPr>
      <w:r>
        <w:rPr>
          <w:b/>
          <w:bCs/>
          <w:color w:val="1F2937"/>
          <w:sz w:val="56"/>
          <w:szCs w:val="56"/>
        </w:rPr>
        <w:t xml:space="preserve">Déposer sa liste au troc</w:t>
      </w:r>
    </w:p>
    <w:p>
      <w:pPr>
        <w:spacing w:after="600"/>
        <w:jc w:val="center"/>
      </w:pPr>
      <w:r>
        <w:rPr>
          <w:color w:val="B45309"/>
          <w:sz w:val="28"/>
          <w:szCs w:val="28"/>
        </w:rPr>
        <w:t xml:space="preserve">Mode d'emploi — vendeur</w:t>
      </w:r>
    </w:p>
    <w:p>
      <w:pPr>
        <w:spacing w:after="80"/>
        <w:jc w:val="center"/>
      </w:pPr>
      <w:r>
        <w:rPr>
          <w:color w:val="6B7280"/>
          <w:sz w:val="20"/>
          <w:szCs w:val="20"/>
        </w:rPr>
        <w:t xml:space="preserve">Ludothèque Nyon Région</w:t>
      </w:r>
    </w:p>
    <w:p>
      <w:pPr>
        <w:spacing w:after="80"/>
        <w:jc w:val="center"/>
      </w:pPr>
      <w:r>
        <w:rPr>
          <w:color w:val="6B7280"/>
          <w:sz w:val="20"/>
          <w:szCs w:val="20"/>
        </w:rPr>
        <w:t xml:space="preserve">Troc de la ludothèque</w:t>
      </w:r>
    </w:p>
    <w:p>
      <w:pPr>
        <w:sectPr>
          <w:pgSz w:w="11906" w:h="16838" w:orient="portrait"/>
          <w:pgMar w:top="1440" w:right="1440" w:bottom="1440" w:left="1440" w:header="708" w:footer="708" w:gutter="0"/>
          <w:pgNumType/>
          <w:docGrid w:linePitch="360"/>
        </w:sectPr>
      </w:pPr>
    </w:p>
    <w:p>
      <w:pPr>
        <w:pStyle w:val="Heading1"/>
        <w:spacing w:after="200" w:before="400"/>
      </w:pPr>
      <w:r>
        <w:rPr>
          <w:b/>
          <w:bCs/>
          <w:color w:val="1F2937"/>
        </w:rPr>
        <w:t xml:space="preserve">Avant de commencer</w:t>
      </w:r>
    </w:p>
    <w:p>
      <w:pPr>
        <w:spacing w:after="160"/>
      </w:pPr>
      <w:r>
        <w:t xml:space="preserve">Ce mode d'emploi explique comment déposer sa liste d'articles en ligne avant le troc. Le dépôt en ligne est ouvert pendant une période définie par le comité ; si ce n'est pas le cas, il reste possible de déposer sa liste directement le jour du dépôt, à l'accueil.</w:t>
      </w:r>
    </w:p>
    <w:p>
      <w:pPr>
        <w:spacing w:after="160"/>
      </w:pPr>
      <w:r>
        <w:t xml:space="preserve">Adresse du formulaire : le lien communiqué par la Ludothèque Nyon Région (page « Déposer ma liste »).</w:t>
      </w:r>
    </w:p>
    <w:p>
      <w:pPr>
        <w:pStyle w:val="Heading1"/>
        <w:spacing w:after="200" w:before="400"/>
      </w:pPr>
      <w:r>
        <w:rPr>
          <w:b/>
          <w:bCs/>
          <w:color w:val="1F2937"/>
        </w:rPr>
        <w:t xml:space="preserve">Étape 1 — Mes coordonnées</w:t>
      </w:r>
    </w:p>
    <w:p>
      <w:pPr>
        <w:spacing w:after="80"/>
      </w:pPr>
      <w:r>
        <w:t xml:space="preserve">Trois champs à remplir en haut du formulaire :</w:t>
      </w:r>
    </w:p>
    <w:p>
      <w:pPr>
        <w:pStyle w:val="ListParagraph"/>
        <w:numPr>
          <w:ilvl w:val="0"/>
          <w:numId w:val="2"/>
        </w:numPr>
        <w:spacing w:after="80"/>
      </w:pPr>
      <w:r>
        <w:t xml:space="preserve">Nom — au moins 3 caractères.</w:t>
      </w:r>
    </w:p>
    <w:p>
      <w:pPr>
        <w:pStyle w:val="ListParagraph"/>
        <w:numPr>
          <w:ilvl w:val="0"/>
          <w:numId w:val="2"/>
        </w:numPr>
        <w:spacing w:after="80"/>
      </w:pPr>
      <w:r>
        <w:t xml:space="preserve">Téléphone portable — obligatoire. Un vrai numéro de mobile est demandé (suisse 07x xxx xx xx, ou français +33 6/7 xx xx xx xx), pas un numéro fixe, pour être sûr de pouvoir joindre le vendeur.</w:t>
      </w:r>
    </w:p>
    <w:p>
      <w:pPr>
        <w:pStyle w:val="ListParagraph"/>
        <w:numPr>
          <w:ilvl w:val="0"/>
          <w:numId w:val="2"/>
        </w:numPr>
        <w:spacing w:after="80"/>
      </w:pPr>
      <w:r>
        <w:t xml:space="preserve">Email — facultatif, mais fortement conseillé : c'est ce qui permet de recevoir la confirmation avec le code, le QR code, et le lien pour modifier sa liste plus tard.</w:t>
      </w:r>
    </w:p>
    <w:p>
      <w:pPr>
        <w:spacing w:after="0" w:before="160"/>
      </w:pPr>
    </w:p>
    <w:tbl>
      <w:tblPr>
        <w:tblW w:type="dxa" w:w="9676"/>
        <w:jc w:val="center"/>
        <w:tblBorders>
          <w:top w:val="single" w:color="D4D4D8" w:sz="4"/>
          <w:left w:val="single" w:color="D4D4D8" w:sz="4"/>
          <w:bottom w:val="single" w:color="D4D4D8" w:sz="4"/>
          <w:right w:val="single" w:color="D4D4D8" w:sz="4"/>
          <w:insideH w:val="none" w:color="FFFFFF" w:sz="0"/>
          <w:insideV w:val="none" w:color="FFFFFF" w:sz="0"/>
        </w:tblBorders>
      </w:tblPr>
      <w:tblGrid>
        <w:gridCol w:w="100"/>
      </w:tblGrid>
      <w:tr>
        <w:tc>
          <w:tcPr>
            <w:tcMar>
              <w:top w:type="dxa" w:w="100"/>
              <w:left w:type="dxa" w:w="100"/>
              <w:bottom w:type="dxa" w:w="100"/>
              <w:right w:type="dxa" w:w="100"/>
            </w:tcMar>
          </w:tcPr>
          <w:p>
            <w:pPr>
              <w:jc w:val="center"/>
            </w:pPr>
            <w:r>
              <w:drawing>
                <wp:inline distT="0" distB="0" distL="0" distR="0">
                  <wp:extent cx="576262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324350"/>
                          </a:xfrm>
                          <a:prstGeom prst="rect">
                            <a:avLst/>
                          </a:prstGeom>
                        </pic:spPr>
                      </pic:pic>
                    </a:graphicData>
                  </a:graphic>
                </wp:inline>
              </w:drawing>
            </w:r>
          </w:p>
        </w:tc>
      </w:tr>
    </w:tbl>
    <w:p>
      <w:pPr>
        <w:spacing w:after="60" w:before="0"/>
      </w:pPr>
    </w:p>
    <w:p>
      <w:pPr>
        <w:spacing w:after="200"/>
        <w:jc w:val="center"/>
      </w:pPr>
      <w:r>
        <w:rPr>
          <w:i/>
          <w:iCs/>
          <w:color w:val="6B7280"/>
          <w:sz w:val="18"/>
          <w:szCs w:val="18"/>
        </w:rPr>
        <w:t xml:space="preserve">Le formulaire de dépôt, vide.</w:t>
      </w:r>
    </w:p>
    <w:p>
      <w:pPr>
        <w:pStyle w:val="Heading1"/>
        <w:spacing w:after="200" w:before="400"/>
      </w:pPr>
      <w:r>
        <w:rPr>
          <w:b/>
          <w:bCs/>
          <w:color w:val="1F2937"/>
        </w:rPr>
        <w:t xml:space="preserve">Les contrôles automatiques</w:t>
      </w:r>
    </w:p>
    <w:p>
      <w:pPr>
        <w:spacing w:after="160"/>
      </w:pPr>
      <w:r>
        <w:t xml:space="preserve">Le formulaire signale immédiatement un problème avant même d'essayer d'envoyer :</w:t>
      </w:r>
    </w:p>
    <w:p>
      <w:pPr>
        <w:spacing w:after="0" w:before="160"/>
      </w:pPr>
    </w:p>
    <w:tbl>
      <w:tblPr>
        <w:tblW w:type="dxa" w:w="9676"/>
        <w:jc w:val="center"/>
        <w:tblBorders>
          <w:top w:val="single" w:color="D4D4D8" w:sz="4"/>
          <w:left w:val="single" w:color="D4D4D8" w:sz="4"/>
          <w:bottom w:val="single" w:color="D4D4D8" w:sz="4"/>
          <w:right w:val="single" w:color="D4D4D8" w:sz="4"/>
          <w:insideH w:val="none" w:color="FFFFFF" w:sz="0"/>
          <w:insideV w:val="none" w:color="FFFFFF" w:sz="0"/>
        </w:tblBorders>
      </w:tblPr>
      <w:tblGrid>
        <w:gridCol w:w="100"/>
      </w:tblGrid>
      <w:tr>
        <w:tc>
          <w:tcPr>
            <w:tcMar>
              <w:top w:type="dxa" w:w="100"/>
              <w:left w:type="dxa" w:w="100"/>
              <w:bottom w:type="dxa" w:w="100"/>
              <w:right w:type="dxa" w:w="100"/>
            </w:tcMar>
          </w:tcPr>
          <w:p>
            <w:pPr>
              <w:jc w:val="center"/>
            </w:pPr>
            <w:r>
              <w:drawing>
                <wp:inline distT="0" distB="0" distL="0" distR="0">
                  <wp:extent cx="576262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324350"/>
                          </a:xfrm>
                          <a:prstGeom prst="rect">
                            <a:avLst/>
                          </a:prstGeom>
                        </pic:spPr>
                      </pic:pic>
                    </a:graphicData>
                  </a:graphic>
                </wp:inline>
              </w:drawing>
            </w:r>
          </w:p>
        </w:tc>
      </w:tr>
    </w:tbl>
    <w:p>
      <w:pPr>
        <w:spacing w:after="60" w:before="0"/>
      </w:pPr>
    </w:p>
    <w:p>
      <w:pPr>
        <w:spacing w:after="200"/>
        <w:jc w:val="center"/>
      </w:pPr>
      <w:r>
        <w:rPr>
          <w:i/>
          <w:iCs/>
          <w:color w:val="6B7280"/>
          <w:sz w:val="18"/>
          <w:szCs w:val="18"/>
        </w:rPr>
        <w:t xml:space="preserve">Nom trop court : message d'erreur immédiat.</w:t>
      </w:r>
    </w:p>
    <w:p>
      <w:pPr>
        <w:spacing w:after="0" w:before="160"/>
      </w:pPr>
    </w:p>
    <w:tbl>
      <w:tblPr>
        <w:tblW w:type="dxa" w:w="9676"/>
        <w:jc w:val="center"/>
        <w:tblBorders>
          <w:top w:val="single" w:color="D4D4D8" w:sz="4"/>
          <w:left w:val="single" w:color="D4D4D8" w:sz="4"/>
          <w:bottom w:val="single" w:color="D4D4D8" w:sz="4"/>
          <w:right w:val="single" w:color="D4D4D8" w:sz="4"/>
          <w:insideH w:val="none" w:color="FFFFFF" w:sz="0"/>
          <w:insideV w:val="none" w:color="FFFFFF" w:sz="0"/>
        </w:tblBorders>
      </w:tblPr>
      <w:tblGrid>
        <w:gridCol w:w="100"/>
      </w:tblGrid>
      <w:tr>
        <w:tc>
          <w:tcPr>
            <w:tcMar>
              <w:top w:type="dxa" w:w="100"/>
              <w:left w:type="dxa" w:w="100"/>
              <w:bottom w:type="dxa" w:w="100"/>
              <w:right w:type="dxa" w:w="100"/>
            </w:tcMar>
          </w:tcPr>
          <w:p>
            <w:pPr>
              <w:jc w:val="center"/>
            </w:pPr>
            <w:r>
              <w:drawing>
                <wp:inline distT="0" distB="0" distL="0" distR="0">
                  <wp:extent cx="576262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324350"/>
                          </a:xfrm>
                          <a:prstGeom prst="rect">
                            <a:avLst/>
                          </a:prstGeom>
                        </pic:spPr>
                      </pic:pic>
                    </a:graphicData>
                  </a:graphic>
                </wp:inline>
              </w:drawing>
            </w:r>
          </w:p>
        </w:tc>
      </w:tr>
    </w:tbl>
    <w:p>
      <w:pPr>
        <w:spacing w:after="60" w:before="0"/>
      </w:pPr>
    </w:p>
    <w:p>
      <w:pPr>
        <w:spacing w:after="200"/>
        <w:jc w:val="center"/>
      </w:pPr>
      <w:r>
        <w:rPr>
          <w:i/>
          <w:iCs/>
          <w:color w:val="6B7280"/>
          <w:sz w:val="18"/>
          <w:szCs w:val="18"/>
        </w:rPr>
        <w:t xml:space="preserve">Numéro fixe refusé — seul un vrai portable est accepté.</w:t>
      </w:r>
    </w:p>
    <w:p>
      <w:pPr>
        <w:pStyle w:val="Heading1"/>
        <w:spacing w:after="200" w:before="400"/>
      </w:pPr>
      <w:r>
        <w:rPr>
          <w:b/>
          <w:bCs/>
          <w:color w:val="1F2937"/>
        </w:rPr>
        <w:t xml:space="preserve">Étape 2 — Ma liste d'articles</w:t>
      </w:r>
    </w:p>
    <w:p>
      <w:pPr>
        <w:spacing w:after="160"/>
      </w:pPr>
      <w:r>
        <w:t xml:space="preserve">Un objet par ligne : son nom, et son prix de vente en francs entiers (pas de centimes). 30 articles maximum par liste.</w:t>
      </w:r>
    </w:p>
    <w:p>
      <w:pPr>
        <w:spacing w:after="160"/>
      </w:pPr>
      <w:r>
        <w:t xml:space="preserve">Quelques objets ne sont pas admis au troc (peluches, DVD, CD, VHS) — un message l'indique immédiatement si un nom d'article correspond.</w:t>
      </w:r>
    </w:p>
    <w:tbl>
      <w:tblPr>
        <w:tblW w:type="pct" w:w="100%"/>
        <w:tblBorders>
          <w:top w:val="single" w:color="16A34A" w:sz="6"/>
          <w:left w:val="single" w:color="16A34A" w:sz="6"/>
          <w:bottom w:val="single" w:color="16A34A" w:sz="6"/>
          <w:right w:val="single" w:color="16A34A" w:sz="6"/>
          <w:insideH w:val="none" w:color="FFFFFF" w:sz="0"/>
          <w:insideV w:val="none" w:color="FFFFFF" w:sz="0"/>
        </w:tblBorders>
      </w:tblPr>
      <w:tblGrid>
        <w:gridCol w:w="100"/>
      </w:tblGrid>
      <w:tr>
        <w:tc>
          <w:tcPr>
            <w:shd w:fill="F0FDF4" w:val="clear"/>
            <w:tcMar>
              <w:top w:type="dxa" w:w="160"/>
              <w:left w:type="dxa" w:w="220"/>
              <w:bottom w:type="dxa" w:w="160"/>
              <w:right w:type="dxa" w:w="220"/>
            </w:tcMar>
          </w:tcPr>
          <w:p>
            <w:pPr>
              <w:spacing w:after="80"/>
            </w:pPr>
            <w:r>
              <w:rPr>
                <w:b/>
                <w:bCs/>
                <w:color w:val="15803D"/>
              </w:rPr>
              <w:t xml:space="preserve">💡 Deux articles au même nom ?</w:t>
            </w:r>
          </w:p>
          <w:p>
            <w:pPr>
              <w:spacing w:after="40"/>
            </w:pPr>
            <w:r>
              <w:rPr>
                <w:sz w:val="20"/>
                <w:szCs w:val="20"/>
              </w:rPr>
              <w:t xml:space="preserve">Un avertissement (orange) apparaît si deux articles ont exactement le même nom — ce n'est pas bloquant (ça peut être volontaire, deux exemplaires identiques), mais si ce sont deux objets différents, il vaut mieux ajouter un détail pour les distinguer (couleur, taille, édition...).</w:t>
            </w:r>
          </w:p>
        </w:tc>
      </w:tr>
    </w:tbl>
    <w:p>
      <w:pPr>
        <w:spacing w:after="0" w:before="160"/>
      </w:pPr>
    </w:p>
    <w:tbl>
      <w:tblPr>
        <w:tblW w:type="dxa" w:w="9676"/>
        <w:jc w:val="center"/>
        <w:tblBorders>
          <w:top w:val="single" w:color="D4D4D8" w:sz="4"/>
          <w:left w:val="single" w:color="D4D4D8" w:sz="4"/>
          <w:bottom w:val="single" w:color="D4D4D8" w:sz="4"/>
          <w:right w:val="single" w:color="D4D4D8" w:sz="4"/>
          <w:insideH w:val="none" w:color="FFFFFF" w:sz="0"/>
          <w:insideV w:val="none" w:color="FFFFFF" w:sz="0"/>
        </w:tblBorders>
      </w:tblPr>
      <w:tblGrid>
        <w:gridCol w:w="100"/>
      </w:tblGrid>
      <w:tr>
        <w:tc>
          <w:tcPr>
            <w:tcMar>
              <w:top w:type="dxa" w:w="100"/>
              <w:left w:type="dxa" w:w="100"/>
              <w:bottom w:type="dxa" w:w="100"/>
              <w:right w:type="dxa" w:w="100"/>
            </w:tcMar>
          </w:tcPr>
          <w:p>
            <w:pPr>
              <w:jc w:val="center"/>
            </w:pPr>
            <w:r>
              <w:drawing>
                <wp:inline distT="0" distB="0" distL="0" distR="0">
                  <wp:extent cx="576262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4324350"/>
                          </a:xfrm>
                          <a:prstGeom prst="rect">
                            <a:avLst/>
                          </a:prstGeom>
                        </pic:spPr>
                      </pic:pic>
                    </a:graphicData>
                  </a:graphic>
                </wp:inline>
              </w:drawing>
            </w:r>
          </w:p>
        </w:tc>
      </w:tr>
    </w:tbl>
    <w:p>
      <w:pPr>
        <w:spacing w:after="60" w:before="0"/>
      </w:pPr>
    </w:p>
    <w:p>
      <w:pPr>
        <w:spacing w:after="200"/>
        <w:jc w:val="center"/>
      </w:pPr>
      <w:r>
        <w:rPr>
          <w:i/>
          <w:iCs/>
          <w:color w:val="6B7280"/>
          <w:sz w:val="18"/>
          <w:szCs w:val="18"/>
        </w:rPr>
        <w:t xml:space="preserve">Avertissement de doublon (non bloquant).</w:t>
      </w:r>
    </w:p>
    <w:p>
      <w:pPr>
        <w:pStyle w:val="Heading1"/>
        <w:spacing w:after="200" w:before="400"/>
      </w:pPr>
      <w:r>
        <w:rPr>
          <w:b/>
          <w:bCs/>
          <w:color w:val="1F2937"/>
        </w:rPr>
        <w:t xml:space="preserve">Étape 3 — Conditions et envoi</w:t>
      </w:r>
    </w:p>
    <w:p>
      <w:pPr>
        <w:spacing w:after="160"/>
      </w:pPr>
      <w:r>
        <w:t xml:space="preserve">Une case à cocher obligatoire rappelle les conditions du troc : « Nous déclinons toute responsabilité en cas de perte ou vol, les articles ne sont pas remboursés. » Le bouton d'envoi reste désactivé tant qu'un champ est invalide ou que la case n'est pas cochée.</w:t>
      </w:r>
    </w:p>
    <w:p>
      <w:pPr>
        <w:spacing w:after="0" w:before="160"/>
      </w:pPr>
    </w:p>
    <w:tbl>
      <w:tblPr>
        <w:tblW w:type="dxa" w:w="9676"/>
        <w:jc w:val="center"/>
        <w:tblBorders>
          <w:top w:val="single" w:color="D4D4D8" w:sz="4"/>
          <w:left w:val="single" w:color="D4D4D8" w:sz="4"/>
          <w:bottom w:val="single" w:color="D4D4D8" w:sz="4"/>
          <w:right w:val="single" w:color="D4D4D8" w:sz="4"/>
          <w:insideH w:val="none" w:color="FFFFFF" w:sz="0"/>
          <w:insideV w:val="none" w:color="FFFFFF" w:sz="0"/>
        </w:tblBorders>
      </w:tblPr>
      <w:tblGrid>
        <w:gridCol w:w="100"/>
      </w:tblGrid>
      <w:tr>
        <w:tc>
          <w:tcPr>
            <w:tcMar>
              <w:top w:type="dxa" w:w="100"/>
              <w:left w:type="dxa" w:w="100"/>
              <w:bottom w:type="dxa" w:w="100"/>
              <w:right w:type="dxa" w:w="100"/>
            </w:tcMar>
          </w:tcPr>
          <w:p>
            <w:pPr>
              <w:jc w:val="center"/>
            </w:pPr>
            <w:r>
              <w:drawing>
                <wp:inline distT="0" distB="0" distL="0" distR="0">
                  <wp:extent cx="576262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4324350"/>
                          </a:xfrm>
                          <a:prstGeom prst="rect">
                            <a:avLst/>
                          </a:prstGeom>
                        </pic:spPr>
                      </pic:pic>
                    </a:graphicData>
                  </a:graphic>
                </wp:inline>
              </w:drawing>
            </w:r>
          </w:p>
        </w:tc>
      </w:tr>
    </w:tbl>
    <w:p>
      <w:pPr>
        <w:spacing w:after="60" w:before="0"/>
      </w:pPr>
    </w:p>
    <w:p>
      <w:pPr>
        <w:spacing w:after="200"/>
        <w:jc w:val="center"/>
      </w:pPr>
      <w:r>
        <w:rPr>
          <w:i/>
          <w:iCs/>
          <w:color w:val="6B7280"/>
          <w:sz w:val="18"/>
          <w:szCs w:val="18"/>
        </w:rPr>
        <w:t xml:space="preserve">Liste prête à envoyer : conditions acceptées, articles valides.</w:t>
      </w:r>
    </w:p>
    <w:p>
      <w:pPr>
        <w:pStyle w:val="Heading1"/>
        <w:spacing w:after="200" w:before="400"/>
      </w:pPr>
      <w:r>
        <w:rPr>
          <w:b/>
          <w:bCs/>
          <w:color w:val="1F2937"/>
        </w:rPr>
        <w:t xml:space="preserve">Étape 4 — Confirmation</w:t>
      </w:r>
    </w:p>
    <w:p>
      <w:pPr>
        <w:spacing w:after="160"/>
      </w:pPr>
      <w:r>
        <w:t xml:space="preserve">Après l'envoi, un numéro de vendeur et un code de confirmation (avec son QR code) s'affichent. Ce code (ou le QR) est à présenter au comité le jour du dépôt des articles — c'est lui qui permet de retrouver la liste et d'imprimer les étiquettes.</w:t>
      </w:r>
    </w:p>
    <w:p>
      <w:pPr>
        <w:spacing w:after="0" w:before="160"/>
      </w:pPr>
    </w:p>
    <w:tbl>
      <w:tblPr>
        <w:tblW w:type="dxa" w:w="9676"/>
        <w:jc w:val="center"/>
        <w:tblBorders>
          <w:top w:val="single" w:color="D4D4D8" w:sz="4"/>
          <w:left w:val="single" w:color="D4D4D8" w:sz="4"/>
          <w:bottom w:val="single" w:color="D4D4D8" w:sz="4"/>
          <w:right w:val="single" w:color="D4D4D8" w:sz="4"/>
          <w:insideH w:val="none" w:color="FFFFFF" w:sz="0"/>
          <w:insideV w:val="none" w:color="FFFFFF" w:sz="0"/>
        </w:tblBorders>
      </w:tblPr>
      <w:tblGrid>
        <w:gridCol w:w="100"/>
      </w:tblGrid>
      <w:tr>
        <w:tc>
          <w:tcPr>
            <w:tcMar>
              <w:top w:type="dxa" w:w="100"/>
              <w:left w:type="dxa" w:w="100"/>
              <w:bottom w:type="dxa" w:w="100"/>
              <w:right w:type="dxa" w:w="100"/>
            </w:tcMar>
          </w:tcPr>
          <w:p>
            <w:pPr>
              <w:jc w:val="center"/>
            </w:pPr>
            <w:r>
              <w:drawing>
                <wp:inline distT="0" distB="0" distL="0" distR="0">
                  <wp:extent cx="576262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4324350"/>
                          </a:xfrm>
                          <a:prstGeom prst="rect">
                            <a:avLst/>
                          </a:prstGeom>
                        </pic:spPr>
                      </pic:pic>
                    </a:graphicData>
                  </a:graphic>
                </wp:inline>
              </w:drawing>
            </w:r>
          </w:p>
        </w:tc>
      </w:tr>
    </w:tbl>
    <w:p>
      <w:pPr>
        <w:spacing w:after="60" w:before="0"/>
      </w:pPr>
    </w:p>
    <w:p>
      <w:pPr>
        <w:spacing w:after="200"/>
        <w:jc w:val="center"/>
      </w:pPr>
      <w:r>
        <w:rPr>
          <w:i/>
          <w:iCs/>
          <w:color w:val="6B7280"/>
          <w:sz w:val="18"/>
          <w:szCs w:val="18"/>
        </w:rPr>
        <w:t xml:space="preserve">Page de confirmation : numéro de vendeur, QR code, code, récapitulatif.</w:t>
      </w:r>
    </w:p>
    <w:tbl>
      <w:tblPr>
        <w:tblW w:type="pct" w:w="100%"/>
        <w:tblBorders>
          <w:top w:val="single" w:color="B91C1C" w:sz="6"/>
          <w:left w:val="single" w:color="B91C1C" w:sz="6"/>
          <w:bottom w:val="single" w:color="B91C1C" w:sz="6"/>
          <w:right w:val="single" w:color="B91C1C" w:sz="6"/>
          <w:insideH w:val="none" w:color="FFFFFF" w:sz="0"/>
          <w:insideV w:val="none" w:color="FFFFFF" w:sz="0"/>
        </w:tblBorders>
      </w:tblPr>
      <w:tblGrid>
        <w:gridCol w:w="100"/>
      </w:tblGrid>
      <w:tr>
        <w:tc>
          <w:tcPr>
            <w:shd w:fill="FEF2F2" w:val="clear"/>
            <w:tcMar>
              <w:top w:type="dxa" w:w="160"/>
              <w:left w:type="dxa" w:w="220"/>
              <w:bottom w:type="dxa" w:w="160"/>
              <w:right w:type="dxa" w:w="220"/>
            </w:tcMar>
          </w:tcPr>
          <w:p>
            <w:pPr>
              <w:spacing w:after="80"/>
            </w:pPr>
            <w:r>
              <w:rPr>
                <w:b/>
                <w:bCs/>
                <w:color w:val="B91C1C"/>
              </w:rPr>
              <w:t xml:space="preserve">🔒 À conserver précieusement</w:t>
            </w:r>
          </w:p>
          <w:p>
            <w:pPr>
              <w:spacing w:after="40"/>
            </w:pPr>
            <w:r>
              <w:rPr>
                <w:sz w:val="20"/>
                <w:szCs w:val="20"/>
              </w:rPr>
              <w:t xml:space="preserve">Le code de confirmation (ou l'email qui le contient) est la seule façon de retrouver sa liste ou de la modifier — sans lui, seul le comité peut aider, en recherchant par nom à l'accueil.</w:t>
            </w:r>
          </w:p>
        </w:tc>
      </w:tr>
    </w:tbl>
    <w:p>
      <w:pPr>
        <w:pStyle w:val="Heading1"/>
        <w:spacing w:after="200" w:before="400"/>
      </w:pPr>
      <w:r>
        <w:rPr>
          <w:b/>
          <w:bCs/>
          <w:color w:val="1F2937"/>
        </w:rPr>
        <w:t xml:space="preserve">Étape 5 — L'email reçu</w:t>
      </w:r>
    </w:p>
    <w:p>
      <w:pPr>
        <w:spacing w:after="160"/>
      </w:pPr>
      <w:r>
        <w:t xml:space="preserve">Si une adresse email a été renseignée, un message de confirmation est envoyé automatiquement avec le numéro de vendeur, le code, le QR code en pièce jointe, et deux liens : voir sa liste, et la modifier.</w:t>
      </w:r>
    </w:p>
    <w:p>
      <w:pPr>
        <w:spacing w:after="0" w:before="160"/>
      </w:pPr>
    </w:p>
    <w:tbl>
      <w:tblPr>
        <w:tblW w:type="dxa" w:w="9676"/>
        <w:jc w:val="center"/>
        <w:tblBorders>
          <w:top w:val="single" w:color="D4D4D8" w:sz="4"/>
          <w:left w:val="single" w:color="D4D4D8" w:sz="4"/>
          <w:bottom w:val="single" w:color="D4D4D8" w:sz="4"/>
          <w:right w:val="single" w:color="D4D4D8" w:sz="4"/>
          <w:insideH w:val="none" w:color="FFFFFF" w:sz="0"/>
          <w:insideV w:val="none" w:color="FFFFFF" w:sz="0"/>
        </w:tblBorders>
      </w:tblPr>
      <w:tblGrid>
        <w:gridCol w:w="100"/>
      </w:tblGrid>
      <w:tr>
        <w:tc>
          <w:tcPr>
            <w:tcMar>
              <w:top w:type="dxa" w:w="100"/>
              <w:left w:type="dxa" w:w="100"/>
              <w:bottom w:type="dxa" w:w="100"/>
              <w:right w:type="dxa" w:w="100"/>
            </w:tcMar>
          </w:tcPr>
          <w:p>
            <w:pPr>
              <w:jc w:val="center"/>
            </w:pPr>
            <w:r>
              <w:drawing>
                <wp:inline distT="0" distB="0" distL="0" distR="0">
                  <wp:extent cx="4752975" cy="559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52975" cy="5591175"/>
                          </a:xfrm>
                          <a:prstGeom prst="rect">
                            <a:avLst/>
                          </a:prstGeom>
                        </pic:spPr>
                      </pic:pic>
                    </a:graphicData>
                  </a:graphic>
                </wp:inline>
              </w:drawing>
            </w:r>
          </w:p>
        </w:tc>
      </w:tr>
    </w:tbl>
    <w:p>
      <w:pPr>
        <w:spacing w:after="60" w:before="0"/>
      </w:pPr>
    </w:p>
    <w:p>
      <w:pPr>
        <w:spacing w:after="200"/>
        <w:jc w:val="center"/>
      </w:pPr>
      <w:r>
        <w:rPr>
          <w:i/>
          <w:iCs/>
          <w:color w:val="6B7280"/>
          <w:sz w:val="18"/>
          <w:szCs w:val="18"/>
        </w:rPr>
        <w:t xml:space="preserve">Aperçu de l'email de confirmation.</w:t>
      </w:r>
    </w:p>
    <w:p>
      <w:pPr>
        <w:pStyle w:val="Heading1"/>
        <w:spacing w:after="200" w:before="400"/>
      </w:pPr>
      <w:r>
        <w:rPr>
          <w:b/>
          <w:bCs/>
          <w:color w:val="1F2937"/>
        </w:rPr>
        <w:t xml:space="preserve">Modifier sa liste après l'envoi</w:t>
      </w:r>
    </w:p>
    <w:p>
      <w:pPr>
        <w:spacing w:after="160"/>
      </w:pPr>
      <w:r>
        <w:t xml:space="preserve">Le lien « Modifier ma liste » (dans l'email ou sur la page de confirmation) permet de revenir sur sa liste — corriger un nom, un prix, ajouter ou retirer un article — jusqu'à la veille de la date de dépôt des articles. Passé ce délai, la modification n'est plus possible en ligne ; il faut alors contacter le comité.</w:t>
      </w:r>
    </w:p>
    <w:p>
      <w:pPr>
        <w:spacing w:after="0" w:before="160"/>
      </w:pPr>
    </w:p>
    <w:tbl>
      <w:tblPr>
        <w:tblW w:type="dxa" w:w="9676"/>
        <w:jc w:val="center"/>
        <w:tblBorders>
          <w:top w:val="single" w:color="D4D4D8" w:sz="4"/>
          <w:left w:val="single" w:color="D4D4D8" w:sz="4"/>
          <w:bottom w:val="single" w:color="D4D4D8" w:sz="4"/>
          <w:right w:val="single" w:color="D4D4D8" w:sz="4"/>
          <w:insideH w:val="none" w:color="FFFFFF" w:sz="0"/>
          <w:insideV w:val="none" w:color="FFFFFF" w:sz="0"/>
        </w:tblBorders>
      </w:tblPr>
      <w:tblGrid>
        <w:gridCol w:w="100"/>
      </w:tblGrid>
      <w:tr>
        <w:tc>
          <w:tcPr>
            <w:tcMar>
              <w:top w:type="dxa" w:w="100"/>
              <w:left w:type="dxa" w:w="100"/>
              <w:bottom w:type="dxa" w:w="100"/>
              <w:right w:type="dxa" w:w="100"/>
            </w:tcMar>
          </w:tcPr>
          <w:p>
            <w:pPr>
              <w:jc w:val="center"/>
            </w:pPr>
            <w:r>
              <w:drawing>
                <wp:inline distT="0" distB="0" distL="0" distR="0">
                  <wp:extent cx="3981450" cy="688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81450" cy="6886575"/>
                          </a:xfrm>
                          <a:prstGeom prst="rect">
                            <a:avLst/>
                          </a:prstGeom>
                        </pic:spPr>
                      </pic:pic>
                    </a:graphicData>
                  </a:graphic>
                </wp:inline>
              </w:drawing>
            </w:r>
          </w:p>
        </w:tc>
      </w:tr>
    </w:tbl>
    <w:p>
      <w:pPr>
        <w:spacing w:after="60" w:before="0"/>
      </w:pPr>
    </w:p>
    <w:p>
      <w:pPr>
        <w:spacing w:after="200"/>
        <w:jc w:val="center"/>
      </w:pPr>
      <w:r>
        <w:rPr>
          <w:i/>
          <w:iCs/>
          <w:color w:val="6B7280"/>
          <w:sz w:val="18"/>
          <w:szCs w:val="18"/>
        </w:rPr>
        <w:t xml:space="preserve">Page de modification, accessible via le lien reçu par email.</w:t>
      </w:r>
    </w:p>
    <w:p>
      <w:pPr>
        <w:pStyle w:val="Heading1"/>
        <w:spacing w:after="200" w:before="400"/>
      </w:pPr>
      <w:r>
        <w:rPr>
          <w:b/>
          <w:bCs/>
          <w:color w:val="1F2937"/>
        </w:rPr>
        <w:t xml:space="preserve">Le jour du dépôt</w:t>
      </w:r>
    </w:p>
    <w:p>
      <w:pPr>
        <w:pStyle w:val="ListParagraph"/>
        <w:numPr>
          <w:ilvl w:val="0"/>
          <w:numId w:val="2"/>
        </w:numPr>
        <w:spacing w:after="80"/>
      </w:pPr>
      <w:r>
        <w:t xml:space="preserve">Se présenter à l'accueil du troc avec son code de confirmation ou son QR code (sur son téléphone, ou imprimé).</w:t>
      </w:r>
    </w:p>
    <w:p>
      <w:pPr>
        <w:pStyle w:val="ListParagraph"/>
        <w:numPr>
          <w:ilvl w:val="0"/>
          <w:numId w:val="2"/>
        </w:numPr>
        <w:spacing w:after="80"/>
      </w:pPr>
      <w:r>
        <w:t xml:space="preserve">Le bénévole à l'accueil retrouve la liste, vérifie les objets un par un avec le vendeur.</w:t>
      </w:r>
    </w:p>
    <w:p>
      <w:pPr>
        <w:pStyle w:val="ListParagraph"/>
        <w:numPr>
          <w:ilvl w:val="0"/>
          <w:numId w:val="2"/>
        </w:numPr>
        <w:spacing w:after="80"/>
      </w:pPr>
      <w:r>
        <w:t xml:space="preserve">Les étiquettes (avec QR code et prix) sont imprimées sur place et posées sur chaque objet.</w:t>
      </w:r>
    </w:p>
    <w:p>
      <w:pPr>
        <w:spacing w:after="160"/>
      </w:pPr>
      <w:r>
        <w:t xml:space="preserve">Sans dépôt en ligne préalable, il reste possible de déposer sa liste directement sur place, à l'accueil, le jour même.</w:t>
      </w:r>
    </w:p>
    <w:p>
      <w:pPr>
        <w:pStyle w:val="Heading1"/>
        <w:spacing w:after="200" w:before="400"/>
      </w:pPr>
      <w:r>
        <w:rPr>
          <w:b/>
          <w:bCs/>
          <w:color w:val="1F2937"/>
        </w:rPr>
        <w:t xml:space="preserve">Après le contrôle : un email de confirmation de réception</w:t>
      </w:r>
    </w:p>
    <w:p>
      <w:pPr>
        <w:spacing w:after="160"/>
      </w:pPr>
      <w:r>
        <w:t xml:space="preserve">Dès que l'accueil a fini de contrôler la liste, un second email part automatiquement (si une adresse a été renseignée) pour confirmer la bonne réception des articles. Il redonne le code de confirmation et le QR code, ainsi que la date et l'heure auxquelles venir récupérer les éventuels invendus le lendemain.</w:t>
      </w:r>
    </w:p>
    <w:p>
      <w:pPr>
        <w:spacing w:after="0" w:before="160"/>
      </w:pPr>
    </w:p>
    <w:tbl>
      <w:tblPr>
        <w:tblW w:type="dxa" w:w="9676"/>
        <w:jc w:val="center"/>
        <w:tblBorders>
          <w:top w:val="single" w:color="D4D4D8" w:sz="4"/>
          <w:left w:val="single" w:color="D4D4D8" w:sz="4"/>
          <w:bottom w:val="single" w:color="D4D4D8" w:sz="4"/>
          <w:right w:val="single" w:color="D4D4D8" w:sz="4"/>
          <w:insideH w:val="none" w:color="FFFFFF" w:sz="0"/>
          <w:insideV w:val="none" w:color="FFFFFF" w:sz="0"/>
        </w:tblBorders>
      </w:tblPr>
      <w:tblGrid>
        <w:gridCol w:w="100"/>
      </w:tblGrid>
      <w:tr>
        <w:tc>
          <w:tcPr>
            <w:tcMar>
              <w:top w:type="dxa" w:w="100"/>
              <w:left w:type="dxa" w:w="100"/>
              <w:bottom w:type="dxa" w:w="100"/>
              <w:right w:type="dxa" w:w="100"/>
            </w:tcMar>
          </w:tcPr>
          <w:p>
            <w:pPr>
              <w:jc w:val="center"/>
            </w:pPr>
            <w:r>
              <w:drawing>
                <wp:inline distT="0" distB="0" distL="0" distR="0">
                  <wp:extent cx="4752975"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52975" cy="5200650"/>
                          </a:xfrm>
                          <a:prstGeom prst="rect">
                            <a:avLst/>
                          </a:prstGeom>
                        </pic:spPr>
                      </pic:pic>
                    </a:graphicData>
                  </a:graphic>
                </wp:inline>
              </w:drawing>
            </w:r>
          </w:p>
        </w:tc>
      </w:tr>
    </w:tbl>
    <w:p>
      <w:pPr>
        <w:spacing w:after="60" w:before="0"/>
      </w:pPr>
    </w:p>
    <w:p>
      <w:pPr>
        <w:spacing w:after="200"/>
        <w:jc w:val="center"/>
      </w:pPr>
      <w:r>
        <w:rPr>
          <w:i/>
          <w:iCs/>
          <w:color w:val="6B7280"/>
          <w:sz w:val="18"/>
          <w:szCs w:val="18"/>
        </w:rPr>
        <w:t xml:space="preserve">Aperçu de l'email de réception confirmée.</w:t>
      </w:r>
    </w:p>
    <w:p>
      <w:pPr>
        <w:pStyle w:val="Heading1"/>
        <w:spacing w:after="200" w:before="400"/>
      </w:pPr>
      <w:r>
        <w:rPr>
          <w:b/>
          <w:bCs/>
          <w:color w:val="1F2937"/>
        </w:rPr>
        <w:t xml:space="preserve">La récupération des invendus</w:t>
      </w:r>
    </w:p>
    <w:p>
      <w:pPr>
        <w:spacing w:after="160"/>
      </w:pPr>
      <w:r>
        <w:t xml:space="preserve">Le jour et l'heure communiqués dans cet email, il suffit de se présenter avec le même code de confirmation (ou le QR) pour récupérer les objets qui n'ont pas trouvé preneur pendant le troc.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4D8" w:sz="4" w:space="4"/>
      </w:pBdr>
      <w:tabs>
        <w:tab w:val="right" w:pos="9026"/>
      </w:tabs>
      <w:spacing w:after="0"/>
    </w:pPr>
    <w:r>
      <w:rPr>
        <w:color w:val="6B7280"/>
        <w:sz w:val="16"/>
        <w:szCs w:val="16"/>
      </w:rPr>
      <w:t xml:space="preserve">Troc de la ludothèque — Ludothèque Nyon Région</w:t>
    </w:r>
    <w:r>
      <w:rPr>
        <w:color w:val="6B7280"/>
        <w:sz w:val="16"/>
        <w:szCs w:val="16"/>
      </w:rPr>
      <w:t xml:space="preserve">	Mode d'emploi vendeur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17" w:hanging="259"/>
      </w:pPr>
    </w:lvl>
  </w:abstractNum>
  <w:abstractNum w:abstractNumId="3" w15:restartNumberingAfterBreak="0">
    <w:multiLevelType w:val="hybridMultilevel"/>
    <w:lvl w:ilvl="0" w15:tentative="1">
      <w:start w:val="1"/>
      <w:numFmt w:val="bullet"/>
      <w:lvlText w:val="•"/>
      <w:lvlJc w:val="left"/>
      <w:pPr>
        <w:ind w:left="417"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e38a616886032b747812841c3ddf71d6c0e299a.png"/><Relationship Id="rId10" Type="http://schemas.openxmlformats.org/officeDocument/2006/relationships/image" Target="media/dbc00a3a448b11781600b38328701e3ec59da951.png"/><Relationship Id="rId11" Type="http://schemas.openxmlformats.org/officeDocument/2006/relationships/image" Target="media/c3f72518fd801b996c6dadef289d28ab67810392.png"/><Relationship Id="rId12" Type="http://schemas.openxmlformats.org/officeDocument/2006/relationships/image" Target="media/b1dcec5f933a225d38f4b34e3b2320784373e596.png"/><Relationship Id="rId13" Type="http://schemas.openxmlformats.org/officeDocument/2006/relationships/image" Target="media/c97843affc60e95683a0e9142f27f3f2f9c7addd.png"/><Relationship Id="rId14" Type="http://schemas.openxmlformats.org/officeDocument/2006/relationships/image" Target="media/e84a1607a0b5f1253cb245c9373ef2eae1fc86f0.png"/><Relationship Id="rId15" Type="http://schemas.openxmlformats.org/officeDocument/2006/relationships/image" Target="media/b7368d81470c0cb9f092ed043046b17f7bbbf416.png"/><Relationship Id="rId16" Type="http://schemas.openxmlformats.org/officeDocument/2006/relationships/image" Target="media/62a1e53952eb846ebd728cf70027fdbde8cbc6c0.png"/><Relationship Id="rId17" Type="http://schemas.openxmlformats.org/officeDocument/2006/relationships/image" Target="media/e88909ebffe2d1e800c30275b9f185b180d3252f.png"/><Relationship Id="rId18" Type="http://schemas.openxmlformats.org/officeDocument/2006/relationships/image" Target="media/c4b3e94cdcd42abd667436bc513fd51115122b2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2026-08-31T14:14:19.110Z</dcterms:created>
  <dcterms:modified xsi:type="dcterms:W3CDTF">2026-08-31T14:14:19.110Z</dcterms:modified>
</cp:coreProperties>
</file>

<file path=docProps/custom.xml><?xml version="1.0" encoding="utf-8"?>
<Properties xmlns="http://schemas.openxmlformats.org/officeDocument/2006/custom-properties" xmlns:vt="http://schemas.openxmlformats.org/officeDocument/2006/docPropsVTypes"/>
</file>