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drawing>
          <wp:inline distT="0" distB="0" distL="0" distR="0">
            <wp:extent cx="23812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666750"/>
                    </a:xfrm>
                    <a:prstGeom prst="rect">
                      <a:avLst/>
                    </a:prstGeom>
                  </pic:spPr>
                </pic:pic>
              </a:graphicData>
            </a:graphic>
          </wp:inline>
        </w:drawing>
      </w:r>
    </w:p>
    <w:p>
      <w:pPr>
        <w:spacing w:after="200" w:before="300"/>
        <w:jc w:val="center"/>
      </w:pPr>
      <w:r>
        <w:rPr>
          <w:b/>
          <w:bCs/>
          <w:color w:val="1F2937"/>
          <w:sz w:val="56"/>
          <w:szCs w:val="56"/>
        </w:rPr>
        <w:t xml:space="preserve">Présentation au comité</w:t>
      </w:r>
    </w:p>
    <w:p>
      <w:pPr>
        <w:spacing w:after="600"/>
        <w:jc w:val="center"/>
      </w:pPr>
      <w:r>
        <w:rPr>
          <w:color w:val="B45309"/>
          <w:sz w:val="28"/>
          <w:szCs w:val="28"/>
        </w:rPr>
        <w:t xml:space="preserve">Application « Troc de la ludothèque » — fil de démonstration</w:t>
      </w:r>
    </w:p>
    <w:p>
      <w:pPr>
        <w:spacing w:after="80"/>
        <w:jc w:val="center"/>
      </w:pPr>
      <w:r>
        <w:rPr>
          <w:color w:val="6B7280"/>
          <w:sz w:val="20"/>
          <w:szCs w:val="20"/>
        </w:rPr>
        <w:t xml:space="preserve">Ludothèque Nyon Région</w:t>
      </w:r>
    </w:p>
    <w:p>
      <w:pPr>
        <w:spacing w:after="80"/>
        <w:jc w:val="center"/>
      </w:pPr>
      <w:r>
        <w:rPr>
          <w:color w:val="6B7280"/>
          <w:sz w:val="20"/>
          <w:szCs w:val="20"/>
        </w:rPr>
        <w:t xml:space="preserve">À utiliser comme script pour la démo en direct</w:t>
      </w:r>
    </w:p>
    <w:p>
      <w:pPr>
        <w:sectPr>
          <w:pgSz w:w="11906" w:h="16838" w:orient="portrait"/>
          <w:pgMar w:top="1440" w:right="1440" w:bottom="1440" w:left="1440" w:header="708" w:footer="708" w:gutter="0"/>
          <w:pgNumType/>
          <w:docGrid w:linePitch="360"/>
        </w:sectPr>
      </w:pPr>
    </w:p>
    <w:p>
      <w:pPr>
        <w:pStyle w:val="Heading1"/>
        <w:spacing w:after="200" w:before="400"/>
      </w:pPr>
      <w:r>
        <w:rPr>
          <w:b/>
          <w:bCs/>
          <w:color w:val="1F2937"/>
        </w:rPr>
        <w:t xml:space="preserve">Comment utiliser ce document</w:t>
      </w:r>
    </w:p>
    <w:p>
      <w:pPr>
        <w:spacing w:after="160"/>
      </w:pPr>
      <w:r>
        <w:t xml:space="preserve">Ce document est un script pour présenter l'application en direct au comité. Chaque section correspond à un rôle (vendeur, accueil, bénévole, caisse, remboursements, comité) : le texte donne les points à dire, la capture d'écran sert de filet de sécurité si la démo en direct a un problème (réseau, imprévu). Durée indicative totale : 25-30 minutes.</w:t>
      </w:r>
    </w:p>
    <w:p>
      <w:pPr>
        <w:spacing w:after="80"/>
      </w:pPr>
      <w:r>
        <w:t xml:space="preserve">Ordre recommandé — c'est aussi l'ordre chronologique d'une vraie journée de troc :</w:t>
      </w:r>
    </w:p>
    <w:p>
      <w:pPr>
        <w:pStyle w:val="ListParagraph"/>
        <w:numPr>
          <w:ilvl w:val="0"/>
          <w:numId w:val="2"/>
        </w:numPr>
        <w:spacing w:after="80"/>
      </w:pPr>
      <w:r>
        <w:t xml:space="preserve">Vue d'ensemble (1 min)</w:t>
      </w:r>
    </w:p>
    <w:p>
      <w:pPr>
        <w:pStyle w:val="ListParagraph"/>
        <w:numPr>
          <w:ilvl w:val="0"/>
          <w:numId w:val="2"/>
        </w:numPr>
        <w:spacing w:after="80"/>
      </w:pPr>
      <w:r>
        <w:t xml:space="preserve">Le vendeur dépose sa liste (3-4 min)</w:t>
      </w:r>
    </w:p>
    <w:p>
      <w:pPr>
        <w:pStyle w:val="ListParagraph"/>
        <w:numPr>
          <w:ilvl w:val="0"/>
          <w:numId w:val="2"/>
        </w:numPr>
        <w:spacing w:after="80"/>
      </w:pPr>
      <w:r>
        <w:t xml:space="preserve">L'accueil réceptionne les articles (5-6 min)</w:t>
      </w:r>
    </w:p>
    <w:p>
      <w:pPr>
        <w:pStyle w:val="ListParagraph"/>
        <w:numPr>
          <w:ilvl w:val="0"/>
          <w:numId w:val="2"/>
        </w:numPr>
        <w:spacing w:after="80"/>
      </w:pPr>
      <w:r>
        <w:t xml:space="preserve">Un bénévole qui vend : sa propre liste (2 min)</w:t>
      </w:r>
    </w:p>
    <w:p>
      <w:pPr>
        <w:pStyle w:val="ListParagraph"/>
        <w:numPr>
          <w:ilvl w:val="0"/>
          <w:numId w:val="2"/>
        </w:numPr>
        <w:spacing w:after="80"/>
      </w:pPr>
      <w:r>
        <w:t xml:space="preserve">La caisse encaisse une vente (5-6 min)</w:t>
      </w:r>
    </w:p>
    <w:p>
      <w:pPr>
        <w:pStyle w:val="ListParagraph"/>
        <w:numPr>
          <w:ilvl w:val="0"/>
          <w:numId w:val="2"/>
        </w:numPr>
        <w:spacing w:after="80"/>
      </w:pPr>
      <w:r>
        <w:t xml:space="preserve">Les remboursements (2-3 min)</w:t>
      </w:r>
    </w:p>
    <w:p>
      <w:pPr>
        <w:pStyle w:val="ListParagraph"/>
        <w:numPr>
          <w:ilvl w:val="0"/>
          <w:numId w:val="2"/>
        </w:numPr>
        <w:spacing w:after="80"/>
      </w:pPr>
      <w:r>
        <w:t xml:space="preserve">Le dashboard du comité (5-6 min)</w:t>
      </w:r>
    </w:p>
    <w:p>
      <w:pPr>
        <w:pStyle w:val="ListParagraph"/>
        <w:numPr>
          <w:ilvl w:val="0"/>
          <w:numId w:val="2"/>
        </w:numPr>
        <w:spacing w:after="80"/>
      </w:pPr>
      <w:r>
        <w:t xml:space="preserve">Sécurité et points à ne pas oublier (3 min)</w:t>
      </w:r>
    </w:p>
    <w:p>
      <w:pPr>
        <w:pStyle w:val="Heading1"/>
        <w:spacing w:after="200" w:before="400"/>
      </w:pPr>
      <w:r>
        <w:rPr>
          <w:b/>
          <w:bCs/>
          <w:color w:val="1F2937"/>
        </w:rPr>
        <w:t xml:space="preserve">1 — Vue d'ensemble</w:t>
      </w:r>
    </w:p>
    <w:p>
      <w:pPr>
        <w:spacing w:after="80"/>
      </w:pPr>
      <w:r>
        <w:t xml:space="preserve">Cinq types d'accès, une seule application, accessible depuis n'importe quel téléphone ou ordinateur avec un navigateur :</w:t>
      </w:r>
    </w:p>
    <w:p>
      <w:pPr>
        <w:pStyle w:val="ListParagraph"/>
        <w:numPr>
          <w:ilvl w:val="0"/>
          <w:numId w:val="3"/>
        </w:numPr>
        <w:spacing w:after="80"/>
      </w:pPr>
      <w:r>
        <w:t xml:space="preserve">Le vendeur — dépose sa liste en ligne (ou sur place), reçoit un code et un QR.</w:t>
      </w:r>
    </w:p>
    <w:p>
      <w:pPr>
        <w:pStyle w:val="ListParagraph"/>
        <w:numPr>
          <w:ilvl w:val="0"/>
          <w:numId w:val="3"/>
        </w:numPr>
        <w:spacing w:after="80"/>
      </w:pPr>
      <w:r>
        <w:t xml:space="preserve">L'accueil — réceptionne les articles le jour J, contrôle, imprime les étiquettes, confirme la réception par email.</w:t>
      </w:r>
    </w:p>
    <w:p>
      <w:pPr>
        <w:pStyle w:val="ListParagraph"/>
        <w:numPr>
          <w:ilvl w:val="0"/>
          <w:numId w:val="3"/>
        </w:numPr>
        <w:spacing w:after="80"/>
      </w:pPr>
      <w:r>
        <w:t xml:space="preserve">La caisse — encaisse les ventes, avec sécurité anti-double-vente intégrée.</w:t>
      </w:r>
    </w:p>
    <w:p>
      <w:pPr>
        <w:pStyle w:val="ListParagraph"/>
        <w:numPr>
          <w:ilvl w:val="0"/>
          <w:numId w:val="3"/>
        </w:numPr>
        <w:spacing w:after="80"/>
      </w:pPr>
      <w:r>
        <w:t xml:space="preserve">Les remboursements — un poste dédié pour gérer les retours d'articles.</w:t>
      </w:r>
    </w:p>
    <w:p>
      <w:pPr>
        <w:pStyle w:val="ListParagraph"/>
        <w:numPr>
          <w:ilvl w:val="0"/>
          <w:numId w:val="3"/>
        </w:numPr>
        <w:spacing w:after="80"/>
      </w:pPr>
      <w:r>
        <w:t xml:space="preserve">Le comité (dashboard) — pilote la journée : phases, caisses, sauvegardes, codes d'accès.</w:t>
      </w:r>
    </w:p>
    <w:p>
      <w:pPr>
        <w:spacing w:after="160"/>
      </w:pPr>
      <w:r>
        <w:t xml:space="preserve">Et un cas particulier : les bénévoles peuvent eux-mêmes être vendeurs, avec un accès dédié à leur propre liste.</w:t>
      </w:r>
    </w:p>
    <w:p>
      <w:pPr>
        <w:pStyle w:val="Heading1"/>
        <w:spacing w:after="200" w:before="400"/>
      </w:pPr>
      <w:r>
        <w:rPr>
          <w:b/>
          <w:bCs/>
          <w:color w:val="1F2937"/>
        </w:rPr>
        <w:t xml:space="preserve">2 — Le vendeur dépose sa liste</w:t>
      </w:r>
    </w:p>
    <w:p>
      <w:pPr>
        <w:spacing w:after="160"/>
      </w:pPr>
      <w:r>
        <w:t xml:space="preserve">« Montrons ce que voit un vendeur qui dépose sa liste depuis chez lui. »</w:t>
      </w:r>
    </w:p>
    <w:p>
      <w:pPr>
        <w:spacing w:after="0" w:before="160"/>
      </w:pPr>
    </w:p>
    <w:tbl>
      <w:tblPr>
        <w:tblW w:type="dxa" w:w="9676"/>
        <w:jc w:val="center"/>
        <w:tblBorders>
          <w:top w:val="single" w:color="D4D4D8" w:sz="4"/>
          <w:left w:val="single" w:color="D4D4D8" w:sz="4"/>
          <w:bottom w:val="single" w:color="D4D4D8" w:sz="4"/>
          <w:right w:val="single" w:color="D4D4D8" w:sz="4"/>
          <w:insideH w:val="none" w:color="FFFFFF" w:sz="0"/>
          <w:insideV w:val="none" w:color="FFFFFF" w:sz="0"/>
        </w:tblBorders>
      </w:tblPr>
      <w:tblGrid>
        <w:gridCol w:w="100"/>
      </w:tblGrid>
      <w:tr>
        <w:tc>
          <w:tcPr>
            <w:tcMar>
              <w:top w:type="dxa" w:w="100"/>
              <w:left w:type="dxa" w:w="100"/>
              <w:bottom w:type="dxa" w:w="100"/>
              <w:right w:type="dxa" w:w="100"/>
            </w:tcMar>
          </w:tcPr>
          <w:p>
            <w:pPr>
              <w:jc w:val="center"/>
            </w:pPr>
            <w:r>
              <w:drawing>
                <wp:inline distT="0" distB="0" distL="0" distR="0">
                  <wp:extent cx="5762625"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4324350"/>
                          </a:xfrm>
                          <a:prstGeom prst="rect">
                            <a:avLst/>
                          </a:prstGeom>
                        </pic:spPr>
                      </pic:pic>
                    </a:graphicData>
                  </a:graphic>
                </wp:inline>
              </w:drawing>
            </w:r>
          </w:p>
        </w:tc>
      </w:tr>
    </w:tbl>
    <w:p>
      <w:pPr>
        <w:spacing w:after="60" w:before="0"/>
      </w:pPr>
    </w:p>
    <w:p>
      <w:pPr>
        <w:spacing w:after="200"/>
        <w:jc w:val="center"/>
      </w:pPr>
      <w:r>
        <w:rPr>
          <w:i/>
          <w:iCs/>
          <w:color w:val="6B7280"/>
          <w:sz w:val="18"/>
          <w:szCs w:val="18"/>
        </w:rPr>
        <w:t xml:space="preserve">Le formulaire public de dépôt.</w:t>
      </w:r>
    </w:p>
    <w:p>
      <w:pPr>
        <w:spacing w:after="80"/>
      </w:pPr>
      <w:r>
        <w:t xml:space="preserve">Sécurités à montrer en direct :</w:t>
      </w:r>
    </w:p>
    <w:p>
      <w:pPr>
        <w:pStyle w:val="ListParagraph"/>
        <w:numPr>
          <w:ilvl w:val="0"/>
          <w:numId w:val="3"/>
        </w:numPr>
        <w:spacing w:after="80"/>
      </w:pPr>
      <w:r>
        <w:t xml:space="preserve">Un nom de moins de 3 caractères est refusé immédiatement.</w:t>
      </w:r>
    </w:p>
    <w:p>
      <w:pPr>
        <w:pStyle w:val="ListParagraph"/>
        <w:numPr>
          <w:ilvl w:val="0"/>
          <w:numId w:val="3"/>
        </w:numPr>
        <w:spacing w:after="80"/>
      </w:pPr>
      <w:r>
        <w:t xml:space="preserve">Un numéro de téléphone fixe est refusé — seul un vrai numéro de portable (suisse ou français) est accepté, pour être sûr de pouvoir joindre le vendeur.</w:t>
      </w:r>
    </w:p>
    <w:p>
      <w:pPr>
        <w:pStyle w:val="ListParagraph"/>
        <w:numPr>
          <w:ilvl w:val="0"/>
          <w:numId w:val="3"/>
        </w:numPr>
        <w:spacing w:after="80"/>
      </w:pPr>
      <w:r>
        <w:t xml:space="preserve">Deux articles au même nom déclenchent un avertissement (non bloquant) suggérant d'ajouter un détail pour les distinguer.</w:t>
      </w:r>
    </w:p>
    <w:p>
      <w:pPr>
        <w:pStyle w:val="ListParagraph"/>
        <w:numPr>
          <w:ilvl w:val="0"/>
          <w:numId w:val="3"/>
        </w:numPr>
        <w:spacing w:after="80"/>
      </w:pPr>
      <w:r>
        <w:t xml:space="preserve">Les conditions du troc doivent être cochées explicitement — impossible d'envoyer sans.</w:t>
      </w:r>
    </w:p>
    <w:p>
      <w:pPr>
        <w:spacing w:after="0" w:before="160"/>
      </w:pPr>
    </w:p>
    <w:tbl>
      <w:tblPr>
        <w:tblW w:type="dxa" w:w="9676"/>
        <w:jc w:val="center"/>
        <w:tblBorders>
          <w:top w:val="single" w:color="D4D4D8" w:sz="4"/>
          <w:left w:val="single" w:color="D4D4D8" w:sz="4"/>
          <w:bottom w:val="single" w:color="D4D4D8" w:sz="4"/>
          <w:right w:val="single" w:color="D4D4D8" w:sz="4"/>
          <w:insideH w:val="none" w:color="FFFFFF" w:sz="0"/>
          <w:insideV w:val="none" w:color="FFFFFF" w:sz="0"/>
        </w:tblBorders>
      </w:tblPr>
      <w:tblGrid>
        <w:gridCol w:w="100"/>
      </w:tblGrid>
      <w:tr>
        <w:tc>
          <w:tcPr>
            <w:tcMar>
              <w:top w:type="dxa" w:w="100"/>
              <w:left w:type="dxa" w:w="100"/>
              <w:bottom w:type="dxa" w:w="100"/>
              <w:right w:type="dxa" w:w="100"/>
            </w:tcMar>
          </w:tcPr>
          <w:p>
            <w:pPr>
              <w:jc w:val="center"/>
            </w:pPr>
            <w:r>
              <w:drawing>
                <wp:inline distT="0" distB="0" distL="0" distR="0">
                  <wp:extent cx="5762625"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4324350"/>
                          </a:xfrm>
                          <a:prstGeom prst="rect">
                            <a:avLst/>
                          </a:prstGeom>
                        </pic:spPr>
                      </pic:pic>
                    </a:graphicData>
                  </a:graphic>
                </wp:inline>
              </w:drawing>
            </w:r>
          </w:p>
        </w:tc>
      </w:tr>
    </w:tbl>
    <w:p>
      <w:pPr>
        <w:spacing w:after="60" w:before="0"/>
      </w:pPr>
    </w:p>
    <w:p>
      <w:pPr>
        <w:spacing w:after="200"/>
        <w:jc w:val="center"/>
      </w:pPr>
      <w:r>
        <w:rPr>
          <w:i/>
          <w:iCs/>
          <w:color w:val="6B7280"/>
          <w:sz w:val="18"/>
          <w:szCs w:val="18"/>
        </w:rPr>
        <w:t xml:space="preserve">Avertissement de doublon d'article (non bloquant).</w:t>
      </w:r>
    </w:p>
    <w:p>
      <w:pPr>
        <w:spacing w:after="160"/>
      </w:pPr>
      <w:r>
        <w:t xml:space="preserve">« On soumet la liste : numéro de vendeur, code et QR sont générés immédiatement. »</w:t>
      </w:r>
    </w:p>
    <w:p>
      <w:pPr>
        <w:spacing w:after="0" w:before="160"/>
      </w:pPr>
    </w:p>
    <w:tbl>
      <w:tblPr>
        <w:tblW w:type="dxa" w:w="9676"/>
        <w:jc w:val="center"/>
        <w:tblBorders>
          <w:top w:val="single" w:color="D4D4D8" w:sz="4"/>
          <w:left w:val="single" w:color="D4D4D8" w:sz="4"/>
          <w:bottom w:val="single" w:color="D4D4D8" w:sz="4"/>
          <w:right w:val="single" w:color="D4D4D8" w:sz="4"/>
          <w:insideH w:val="none" w:color="FFFFFF" w:sz="0"/>
          <w:insideV w:val="none" w:color="FFFFFF" w:sz="0"/>
        </w:tblBorders>
      </w:tblPr>
      <w:tblGrid>
        <w:gridCol w:w="100"/>
      </w:tblGrid>
      <w:tr>
        <w:tc>
          <w:tcPr>
            <w:tcMar>
              <w:top w:type="dxa" w:w="100"/>
              <w:left w:type="dxa" w:w="100"/>
              <w:bottom w:type="dxa" w:w="100"/>
              <w:right w:type="dxa" w:w="100"/>
            </w:tcMar>
          </w:tcPr>
          <w:p>
            <w:pPr>
              <w:jc w:val="center"/>
            </w:pPr>
            <w:r>
              <w:drawing>
                <wp:inline distT="0" distB="0" distL="0" distR="0">
                  <wp:extent cx="5762625"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4324350"/>
                          </a:xfrm>
                          <a:prstGeom prst="rect">
                            <a:avLst/>
                          </a:prstGeom>
                        </pic:spPr>
                      </pic:pic>
                    </a:graphicData>
                  </a:graphic>
                </wp:inline>
              </w:drawing>
            </w:r>
          </w:p>
        </w:tc>
      </w:tr>
    </w:tbl>
    <w:p>
      <w:pPr>
        <w:spacing w:after="60" w:before="0"/>
      </w:pPr>
    </w:p>
    <w:p>
      <w:pPr>
        <w:spacing w:after="200"/>
        <w:jc w:val="center"/>
      </w:pPr>
      <w:r>
        <w:rPr>
          <w:i/>
          <w:iCs/>
          <w:color w:val="6B7280"/>
          <w:sz w:val="18"/>
          <w:szCs w:val="18"/>
        </w:rPr>
        <w:t xml:space="preserve">Confirmation avec QR code — à présenter au dépôt.</w:t>
      </w:r>
    </w:p>
    <w:p>
      <w:pPr>
        <w:spacing w:after="160"/>
      </w:pPr>
      <w:r>
        <w:t xml:space="preserve">« Si un email a été renseigné, la confirmation part aussi par email, avec le QR en pièce jointe et un lien pour modifier la liste jusqu'à la veille du dépôt. »</w:t>
      </w:r>
    </w:p>
    <w:p>
      <w:pPr>
        <w:spacing w:after="0" w:before="160"/>
      </w:pPr>
    </w:p>
    <w:tbl>
      <w:tblPr>
        <w:tblW w:type="dxa" w:w="9676"/>
        <w:jc w:val="center"/>
        <w:tblBorders>
          <w:top w:val="single" w:color="D4D4D8" w:sz="4"/>
          <w:left w:val="single" w:color="D4D4D8" w:sz="4"/>
          <w:bottom w:val="single" w:color="D4D4D8" w:sz="4"/>
          <w:right w:val="single" w:color="D4D4D8" w:sz="4"/>
          <w:insideH w:val="none" w:color="FFFFFF" w:sz="0"/>
          <w:insideV w:val="none" w:color="FFFFFF" w:sz="0"/>
        </w:tblBorders>
      </w:tblPr>
      <w:tblGrid>
        <w:gridCol w:w="100"/>
      </w:tblGrid>
      <w:tr>
        <w:tc>
          <w:tcPr>
            <w:tcMar>
              <w:top w:type="dxa" w:w="100"/>
              <w:left w:type="dxa" w:w="100"/>
              <w:bottom w:type="dxa" w:w="100"/>
              <w:right w:type="dxa" w:w="100"/>
            </w:tcMar>
          </w:tcPr>
          <w:p>
            <w:pPr>
              <w:jc w:val="center"/>
            </w:pPr>
            <w:r>
              <w:drawing>
                <wp:inline distT="0" distB="0" distL="0" distR="0">
                  <wp:extent cx="4752975" cy="559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52975" cy="5591175"/>
                          </a:xfrm>
                          <a:prstGeom prst="rect">
                            <a:avLst/>
                          </a:prstGeom>
                        </pic:spPr>
                      </pic:pic>
                    </a:graphicData>
                  </a:graphic>
                </wp:inline>
              </w:drawing>
            </w:r>
          </w:p>
        </w:tc>
      </w:tr>
    </w:tbl>
    <w:p>
      <w:pPr>
        <w:spacing w:after="60" w:before="0"/>
      </w:pPr>
    </w:p>
    <w:p>
      <w:pPr>
        <w:spacing w:after="200"/>
        <w:jc w:val="center"/>
      </w:pPr>
      <w:r>
        <w:rPr>
          <w:i/>
          <w:iCs/>
          <w:color w:val="6B7280"/>
          <w:sz w:val="18"/>
          <w:szCs w:val="18"/>
        </w:rPr>
        <w:t xml:space="preserve">Email de confirmation reçu par le vendeur.</w:t>
      </w:r>
    </w:p>
    <w:p>
      <w:pPr>
        <w:pStyle w:val="Heading1"/>
        <w:spacing w:after="200" w:before="400"/>
      </w:pPr>
      <w:r>
        <w:rPr>
          <w:b/>
          <w:bCs/>
          <w:color w:val="1F2937"/>
        </w:rPr>
        <w:t xml:space="preserve">3 — L'accueil réceptionne les articles</w:t>
      </w:r>
    </w:p>
    <w:p>
      <w:pPr>
        <w:spacing w:after="160"/>
      </w:pPr>
      <w:r>
        <w:t xml:space="preserve">« Côté accueil, le jour du dépôt : connexion avec le code communiqué par le comité. »</w:t>
      </w:r>
    </w:p>
    <w:p>
      <w:pPr>
        <w:spacing w:after="0" w:before="160"/>
      </w:pPr>
    </w:p>
    <w:tbl>
      <w:tblPr>
        <w:tblW w:type="dxa" w:w="9676"/>
        <w:jc w:val="center"/>
        <w:tblBorders>
          <w:top w:val="single" w:color="D4D4D8" w:sz="4"/>
          <w:left w:val="single" w:color="D4D4D8" w:sz="4"/>
          <w:bottom w:val="single" w:color="D4D4D8" w:sz="4"/>
          <w:right w:val="single" w:color="D4D4D8" w:sz="4"/>
          <w:insideH w:val="none" w:color="FFFFFF" w:sz="0"/>
          <w:insideV w:val="none" w:color="FFFFFF" w:sz="0"/>
        </w:tblBorders>
      </w:tblPr>
      <w:tblGrid>
        <w:gridCol w:w="100"/>
      </w:tblGrid>
      <w:tr>
        <w:tc>
          <w:tcPr>
            <w:tcMar>
              <w:top w:type="dxa" w:w="100"/>
              <w:left w:type="dxa" w:w="100"/>
              <w:bottom w:type="dxa" w:w="100"/>
              <w:right w:type="dxa" w:w="100"/>
            </w:tcMar>
          </w:tcPr>
          <w:p>
            <w:pPr>
              <w:jc w:val="center"/>
            </w:pPr>
            <w:r>
              <w:drawing>
                <wp:inline distT="0" distB="0" distL="0" distR="0">
                  <wp:extent cx="5762625"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4324350"/>
                          </a:xfrm>
                          <a:prstGeom prst="rect">
                            <a:avLst/>
                          </a:prstGeom>
                        </pic:spPr>
                      </pic:pic>
                    </a:graphicData>
                  </a:graphic>
                </wp:inline>
              </w:drawing>
            </w:r>
          </w:p>
        </w:tc>
      </w:tr>
    </w:tbl>
    <w:p>
      <w:pPr>
        <w:spacing w:after="60" w:before="0"/>
      </w:pPr>
    </w:p>
    <w:p>
      <w:pPr>
        <w:spacing w:after="200"/>
        <w:jc w:val="center"/>
      </w:pPr>
      <w:r>
        <w:rPr>
          <w:i/>
          <w:iCs/>
          <w:color w:val="6B7280"/>
          <w:sz w:val="18"/>
          <w:szCs w:val="18"/>
        </w:rPr>
        <w:t xml:space="preserve">Page d'accueil : recherche par nom, code, ou scan du QR.</w:t>
      </w:r>
    </w:p>
    <w:tbl>
      <w:tblPr>
        <w:tblW w:type="pct" w:w="100%"/>
        <w:tblBorders>
          <w:top w:val="single" w:color="16A34A" w:sz="6"/>
          <w:left w:val="single" w:color="16A34A" w:sz="6"/>
          <w:bottom w:val="single" w:color="16A34A" w:sz="6"/>
          <w:right w:val="single" w:color="16A34A" w:sz="6"/>
          <w:insideH w:val="none" w:color="FFFFFF" w:sz="0"/>
          <w:insideV w:val="none" w:color="FFFFFF" w:sz="0"/>
        </w:tblBorders>
      </w:tblPr>
      <w:tblGrid>
        <w:gridCol w:w="100"/>
      </w:tblGrid>
      <w:tr>
        <w:tc>
          <w:tcPr>
            <w:shd w:fill="F0FDF4" w:val="clear"/>
            <w:tcMar>
              <w:top w:type="dxa" w:w="160"/>
              <w:left w:type="dxa" w:w="220"/>
              <w:bottom w:type="dxa" w:w="160"/>
              <w:right w:type="dxa" w:w="220"/>
            </w:tcMar>
          </w:tcPr>
          <w:p>
            <w:pPr>
              <w:spacing w:after="80"/>
            </w:pPr>
            <w:r>
              <w:rPr>
                <w:b/>
                <w:bCs/>
                <w:color w:val="15803D"/>
              </w:rPr>
              <w:t xml:space="preserve">💡 À dire au comité</w:t>
            </w:r>
          </w:p>
          <w:p>
            <w:pPr>
              <w:spacing w:after="40"/>
            </w:pPr>
            <w:r>
              <w:rPr>
                <w:sz w:val="20"/>
                <w:szCs w:val="20"/>
              </w:rPr>
              <w:t xml:space="preserve">Les étiquettes des vendeurs ayant déjà déposé en ligne peuvent être préparées à l'avance et réparties sur une table par initiale du nom — le bénévole à l'accueil retrouve la bonne feuille en un coup d'œil dès que le vendeur se présente, sans faire attendre la file.</w:t>
            </w:r>
          </w:p>
        </w:tc>
      </w:tr>
    </w:tbl>
    <w:p>
      <w:pPr>
        <w:spacing w:after="160"/>
      </w:pPr>
      <w:r>
        <w:t xml:space="preserve">« On retrouve la liste, on accepte ou refuse chaque article avec le vendeur en face. Le nom et le prix restent modifiables en cas d'erreur de saisie, et un lien permet aussi de corriger les coordonnées du vendeur si besoin. »</w:t>
      </w:r>
    </w:p>
    <w:p>
      <w:pPr>
        <w:spacing w:after="0" w:before="160"/>
      </w:pPr>
    </w:p>
    <w:tbl>
      <w:tblPr>
        <w:tblW w:type="dxa" w:w="9676"/>
        <w:jc w:val="center"/>
        <w:tblBorders>
          <w:top w:val="single" w:color="D4D4D8" w:sz="4"/>
          <w:left w:val="single" w:color="D4D4D8" w:sz="4"/>
          <w:bottom w:val="single" w:color="D4D4D8" w:sz="4"/>
          <w:right w:val="single" w:color="D4D4D8" w:sz="4"/>
          <w:insideH w:val="none" w:color="FFFFFF" w:sz="0"/>
          <w:insideV w:val="none" w:color="FFFFFF" w:sz="0"/>
        </w:tblBorders>
      </w:tblPr>
      <w:tblGrid>
        <w:gridCol w:w="100"/>
      </w:tblGrid>
      <w:tr>
        <w:tc>
          <w:tcPr>
            <w:tcMar>
              <w:top w:type="dxa" w:w="100"/>
              <w:left w:type="dxa" w:w="100"/>
              <w:bottom w:type="dxa" w:w="100"/>
              <w:right w:type="dxa" w:w="100"/>
            </w:tcMar>
          </w:tcPr>
          <w:p>
            <w:pPr>
              <w:jc w:val="center"/>
            </w:pPr>
            <w:r>
              <w:drawing>
                <wp:inline distT="0" distB="0" distL="0" distR="0">
                  <wp:extent cx="5762625"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4324350"/>
                          </a:xfrm>
                          <a:prstGeom prst="rect">
                            <a:avLst/>
                          </a:prstGeom>
                        </pic:spPr>
                      </pic:pic>
                    </a:graphicData>
                  </a:graphic>
                </wp:inline>
              </w:drawing>
            </w:r>
          </w:p>
        </w:tc>
      </w:tr>
    </w:tbl>
    <w:p>
      <w:pPr>
        <w:spacing w:after="60" w:before="0"/>
      </w:pPr>
    </w:p>
    <w:p>
      <w:pPr>
        <w:spacing w:after="200"/>
        <w:jc w:val="center"/>
      </w:pPr>
      <w:r>
        <w:rPr>
          <w:i/>
          <w:iCs/>
          <w:color w:val="6B7280"/>
          <w:sz w:val="18"/>
          <w:szCs w:val="18"/>
        </w:rPr>
        <w:t xml:space="preserve">Fiche vendeur : articles à accepter ou refuser, coordonnées modifiables.</w:t>
      </w:r>
    </w:p>
    <w:p>
      <w:pPr>
        <w:spacing w:after="160"/>
      </w:pPr>
      <w:r>
        <w:t xml:space="preserve">« Puis on imprime les étiquettes — QR code, prix, numéro de vendeur, prêtes à coller sur chaque objet. »</w:t>
      </w:r>
    </w:p>
    <w:p>
      <w:pPr>
        <w:spacing w:after="0" w:before="160"/>
      </w:pPr>
    </w:p>
    <w:tbl>
      <w:tblPr>
        <w:tblW w:type="dxa" w:w="9676"/>
        <w:jc w:val="center"/>
        <w:tblBorders>
          <w:top w:val="single" w:color="D4D4D8" w:sz="4"/>
          <w:left w:val="single" w:color="D4D4D8" w:sz="4"/>
          <w:bottom w:val="single" w:color="D4D4D8" w:sz="4"/>
          <w:right w:val="single" w:color="D4D4D8" w:sz="4"/>
          <w:insideH w:val="none" w:color="FFFFFF" w:sz="0"/>
          <w:insideV w:val="none" w:color="FFFFFF" w:sz="0"/>
        </w:tblBorders>
      </w:tblPr>
      <w:tblGrid>
        <w:gridCol w:w="100"/>
      </w:tblGrid>
      <w:tr>
        <w:tc>
          <w:tcPr>
            <w:tcMar>
              <w:top w:type="dxa" w:w="100"/>
              <w:left w:type="dxa" w:w="100"/>
              <w:bottom w:type="dxa" w:w="100"/>
              <w:right w:type="dxa" w:w="100"/>
            </w:tcMar>
          </w:tcPr>
          <w:p>
            <w:pPr>
              <w:jc w:val="center"/>
            </w:pPr>
            <w:r>
              <w:drawing>
                <wp:inline distT="0" distB="0" distL="0" distR="0">
                  <wp:extent cx="5762625"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4324350"/>
                          </a:xfrm>
                          <a:prstGeom prst="rect">
                            <a:avLst/>
                          </a:prstGeom>
                        </pic:spPr>
                      </pic:pic>
                    </a:graphicData>
                  </a:graphic>
                </wp:inline>
              </w:drawing>
            </w:r>
          </w:p>
        </w:tc>
      </w:tr>
    </w:tbl>
    <w:p>
      <w:pPr>
        <w:spacing w:after="60" w:before="0"/>
      </w:pPr>
    </w:p>
    <w:p>
      <w:pPr>
        <w:spacing w:after="200"/>
        <w:jc w:val="center"/>
      </w:pPr>
      <w:r>
        <w:rPr>
          <w:i/>
          <w:iCs/>
          <w:color w:val="6B7280"/>
          <w:sz w:val="18"/>
          <w:szCs w:val="18"/>
        </w:rPr>
        <w:t xml:space="preserve">Planche d'étiquettes générée automatiquement.</w:t>
      </w:r>
    </w:p>
    <w:p>
      <w:pPr>
        <w:spacing w:after="160"/>
      </w:pPr>
      <w:r>
        <w:t xml:space="preserve">« Une fois la liste marquée comme contrôlée, un email de confirmation part automatiquement au vendeur : il confirme la bonne réception, redonne le code et le QR, et rappelle la date et l'heure pour venir récupérer les invendus le lendemain. »</w:t>
      </w:r>
    </w:p>
    <w:p>
      <w:pPr>
        <w:spacing w:after="0" w:before="160"/>
      </w:pPr>
    </w:p>
    <w:tbl>
      <w:tblPr>
        <w:tblW w:type="dxa" w:w="9676"/>
        <w:jc w:val="center"/>
        <w:tblBorders>
          <w:top w:val="single" w:color="D4D4D8" w:sz="4"/>
          <w:left w:val="single" w:color="D4D4D8" w:sz="4"/>
          <w:bottom w:val="single" w:color="D4D4D8" w:sz="4"/>
          <w:right w:val="single" w:color="D4D4D8" w:sz="4"/>
          <w:insideH w:val="none" w:color="FFFFFF" w:sz="0"/>
          <w:insideV w:val="none" w:color="FFFFFF" w:sz="0"/>
        </w:tblBorders>
      </w:tblPr>
      <w:tblGrid>
        <w:gridCol w:w="100"/>
      </w:tblGrid>
      <w:tr>
        <w:tc>
          <w:tcPr>
            <w:tcMar>
              <w:top w:type="dxa" w:w="100"/>
              <w:left w:type="dxa" w:w="100"/>
              <w:bottom w:type="dxa" w:w="100"/>
              <w:right w:type="dxa" w:w="100"/>
            </w:tcMar>
          </w:tcPr>
          <w:p>
            <w:pPr>
              <w:jc w:val="center"/>
            </w:pPr>
            <w:r>
              <w:drawing>
                <wp:inline distT="0" distB="0" distL="0" distR="0">
                  <wp:extent cx="4752975" cy="520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52975" cy="5200650"/>
                          </a:xfrm>
                          <a:prstGeom prst="rect">
                            <a:avLst/>
                          </a:prstGeom>
                        </pic:spPr>
                      </pic:pic>
                    </a:graphicData>
                  </a:graphic>
                </wp:inline>
              </w:drawing>
            </w:r>
          </w:p>
        </w:tc>
      </w:tr>
    </w:tbl>
    <w:p>
      <w:pPr>
        <w:spacing w:after="60" w:before="0"/>
      </w:pPr>
    </w:p>
    <w:p>
      <w:pPr>
        <w:spacing w:after="200"/>
        <w:jc w:val="center"/>
      </w:pPr>
      <w:r>
        <w:rPr>
          <w:i/>
          <w:iCs/>
          <w:color w:val="6B7280"/>
          <w:sz w:val="18"/>
          <w:szCs w:val="18"/>
        </w:rPr>
        <w:t xml:space="preserve">Email de réception confirmée, envoyé automatiquement.</w:t>
      </w:r>
    </w:p>
    <w:p>
      <w:pPr>
        <w:spacing w:after="160"/>
      </w:pPr>
      <w:r>
        <w:t xml:space="preserve">« Et si une étiquette est perdue ou abîmée après coup, un menu dédié permet d'en réimprimer une seule, à l'emplacement de son choix sur une feuille déjà entamée — pas besoin de gâcher une feuille vierge. »</w:t>
      </w:r>
    </w:p>
    <w:p>
      <w:pPr>
        <w:spacing w:after="0" w:before="160"/>
      </w:pPr>
    </w:p>
    <w:tbl>
      <w:tblPr>
        <w:tblW w:type="dxa" w:w="9676"/>
        <w:jc w:val="center"/>
        <w:tblBorders>
          <w:top w:val="single" w:color="D4D4D8" w:sz="4"/>
          <w:left w:val="single" w:color="D4D4D8" w:sz="4"/>
          <w:bottom w:val="single" w:color="D4D4D8" w:sz="4"/>
          <w:right w:val="single" w:color="D4D4D8" w:sz="4"/>
          <w:insideH w:val="none" w:color="FFFFFF" w:sz="0"/>
          <w:insideV w:val="none" w:color="FFFFFF" w:sz="0"/>
        </w:tblBorders>
      </w:tblPr>
      <w:tblGrid>
        <w:gridCol w:w="100"/>
      </w:tblGrid>
      <w:tr>
        <w:tc>
          <w:tcPr>
            <w:tcMar>
              <w:top w:type="dxa" w:w="100"/>
              <w:left w:type="dxa" w:w="100"/>
              <w:bottom w:type="dxa" w:w="100"/>
              <w:right w:type="dxa" w:w="100"/>
            </w:tcMar>
          </w:tcPr>
          <w:p>
            <w:pPr>
              <w:jc w:val="center"/>
            </w:pPr>
            <w:r>
              <w:drawing>
                <wp:inline distT="0" distB="0" distL="0" distR="0">
                  <wp:extent cx="5762625"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4324350"/>
                          </a:xfrm>
                          <a:prstGeom prst="rect">
                            <a:avLst/>
                          </a:prstGeom>
                        </pic:spPr>
                      </pic:pic>
                    </a:graphicData>
                  </a:graphic>
                </wp:inline>
              </w:drawing>
            </w:r>
          </w:p>
        </w:tc>
      </w:tr>
    </w:tbl>
    <w:p>
      <w:pPr>
        <w:spacing w:after="60" w:before="0"/>
      </w:pPr>
    </w:p>
    <w:p>
      <w:pPr>
        <w:spacing w:after="200"/>
        <w:jc w:val="center"/>
      </w:pPr>
      <w:r>
        <w:rPr>
          <w:i/>
          <w:iCs/>
          <w:color w:val="6B7280"/>
          <w:sz w:val="18"/>
          <w:szCs w:val="18"/>
        </w:rPr>
        <w:t xml:space="preserve">Réimpression manuelle d'une étiquette, à la position choisie.</w:t>
      </w:r>
    </w:p>
    <w:p>
      <w:pPr>
        <w:spacing w:after="160"/>
      </w:pPr>
      <w:r>
        <w:t xml:space="preserve">« Et si quelqu'un arrive sans avoir rien déposé en ligne, on peut saisir sa liste directement sur place, à l'accueil. »</w:t>
      </w:r>
    </w:p>
    <w:p>
      <w:pPr>
        <w:pStyle w:val="Heading1"/>
        <w:spacing w:after="200" w:before="400"/>
      </w:pPr>
      <w:r>
        <w:rPr>
          <w:b/>
          <w:bCs/>
          <w:color w:val="1F2937"/>
        </w:rPr>
        <w:t xml:space="preserve">4 — Un bénévole qui vend</w:t>
      </w:r>
    </w:p>
    <w:p>
      <w:pPr>
        <w:spacing w:after="160"/>
      </w:pPr>
      <w:r>
        <w:t xml:space="preserve">« Les bénévoles peuvent eux aussi déposer des objets à la vente. Ils ont un accès dédié, avec leur numéro personnel et un mot de passe, pour suivre l'état de leur propre liste — sans passer par l'accueil à chaque fois. »</w:t>
      </w:r>
    </w:p>
    <w:p>
      <w:pPr>
        <w:spacing w:after="0" w:before="160"/>
      </w:pPr>
    </w:p>
    <w:tbl>
      <w:tblPr>
        <w:tblW w:type="dxa" w:w="9676"/>
        <w:jc w:val="center"/>
        <w:tblBorders>
          <w:top w:val="single" w:color="D4D4D8" w:sz="4"/>
          <w:left w:val="single" w:color="D4D4D8" w:sz="4"/>
          <w:bottom w:val="single" w:color="D4D4D8" w:sz="4"/>
          <w:right w:val="single" w:color="D4D4D8" w:sz="4"/>
          <w:insideH w:val="none" w:color="FFFFFF" w:sz="0"/>
          <w:insideV w:val="none" w:color="FFFFFF" w:sz="0"/>
        </w:tblBorders>
      </w:tblPr>
      <w:tblGrid>
        <w:gridCol w:w="100"/>
      </w:tblGrid>
      <w:tr>
        <w:tc>
          <w:tcPr>
            <w:tcMar>
              <w:top w:type="dxa" w:w="100"/>
              <w:left w:type="dxa" w:w="100"/>
              <w:bottom w:type="dxa" w:w="100"/>
              <w:right w:type="dxa" w:w="100"/>
            </w:tcMar>
          </w:tcPr>
          <w:p>
            <w:pPr>
              <w:jc w:val="center"/>
            </w:pPr>
            <w:r>
              <w:drawing>
                <wp:inline distT="0" distB="0" distL="0" distR="0">
                  <wp:extent cx="5762625"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4324350"/>
                          </a:xfrm>
                          <a:prstGeom prst="rect">
                            <a:avLst/>
                          </a:prstGeom>
                        </pic:spPr>
                      </pic:pic>
                    </a:graphicData>
                  </a:graphic>
                </wp:inline>
              </w:drawing>
            </w:r>
          </w:p>
        </w:tc>
      </w:tr>
    </w:tbl>
    <w:p>
      <w:pPr>
        <w:spacing w:after="60" w:before="0"/>
      </w:pPr>
    </w:p>
    <w:p>
      <w:pPr>
        <w:spacing w:after="200"/>
        <w:jc w:val="center"/>
      </w:pPr>
      <w:r>
        <w:rPr>
          <w:i/>
          <w:iCs/>
          <w:color w:val="6B7280"/>
          <w:sz w:val="18"/>
          <w:szCs w:val="18"/>
        </w:rPr>
        <w:t xml:space="preserve">Connexion bénévole : numéro + mot de passe.</w:t>
      </w:r>
    </w:p>
    <w:p>
      <w:pPr>
        <w:spacing w:after="0" w:before="160"/>
      </w:pPr>
    </w:p>
    <w:tbl>
      <w:tblPr>
        <w:tblW w:type="dxa" w:w="9676"/>
        <w:jc w:val="center"/>
        <w:tblBorders>
          <w:top w:val="single" w:color="D4D4D8" w:sz="4"/>
          <w:left w:val="single" w:color="D4D4D8" w:sz="4"/>
          <w:bottom w:val="single" w:color="D4D4D8" w:sz="4"/>
          <w:right w:val="single" w:color="D4D4D8" w:sz="4"/>
          <w:insideH w:val="none" w:color="FFFFFF" w:sz="0"/>
          <w:insideV w:val="none" w:color="FFFFFF" w:sz="0"/>
        </w:tblBorders>
      </w:tblPr>
      <w:tblGrid>
        <w:gridCol w:w="100"/>
      </w:tblGrid>
      <w:tr>
        <w:tc>
          <w:tcPr>
            <w:tcMar>
              <w:top w:type="dxa" w:w="100"/>
              <w:left w:type="dxa" w:w="100"/>
              <w:bottom w:type="dxa" w:w="100"/>
              <w:right w:type="dxa" w:w="100"/>
            </w:tcMar>
          </w:tcPr>
          <w:p>
            <w:pPr>
              <w:jc w:val="center"/>
            </w:pPr>
            <w:r>
              <w:drawing>
                <wp:inline distT="0" distB="0" distL="0" distR="0">
                  <wp:extent cx="5762625"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4324350"/>
                          </a:xfrm>
                          <a:prstGeom prst="rect">
                            <a:avLst/>
                          </a:prstGeom>
                        </pic:spPr>
                      </pic:pic>
                    </a:graphicData>
                  </a:graphic>
                </wp:inline>
              </w:drawing>
            </w:r>
          </w:p>
        </w:tc>
      </w:tr>
    </w:tbl>
    <w:p>
      <w:pPr>
        <w:spacing w:after="60" w:before="0"/>
      </w:pPr>
    </w:p>
    <w:p>
      <w:pPr>
        <w:spacing w:after="200"/>
        <w:jc w:val="center"/>
      </w:pPr>
      <w:r>
        <w:rPr>
          <w:i/>
          <w:iCs/>
          <w:color w:val="6B7280"/>
          <w:sz w:val="18"/>
          <w:szCs w:val="18"/>
        </w:rPr>
        <w:t xml:space="preserve">Un bénévole voit l'état de ses propres articles (reçu, vendu, etc.).</w:t>
      </w:r>
    </w:p>
    <w:p>
      <w:pPr>
        <w:pStyle w:val="Heading1"/>
        <w:spacing w:after="200" w:before="400"/>
      </w:pPr>
      <w:r>
        <w:rPr>
          <w:b/>
          <w:bCs/>
          <w:color w:val="1F2937"/>
        </w:rPr>
        <w:t xml:space="preserve">5 — La caisse encaisse une vente</w:t>
      </w:r>
    </w:p>
    <w:p>
      <w:pPr>
        <w:spacing w:after="160"/>
      </w:pPr>
      <w:r>
        <w:t xml:space="preserve">« Connexion à la caisse : contrairement à l'accueil, chaque connexion doit être approuvée par le comité avant de donner accès — sécurité contre une caisse ouverte par erreur. »</w:t>
      </w:r>
    </w:p>
    <w:p>
      <w:pPr>
        <w:spacing w:after="0" w:before="160"/>
      </w:pPr>
    </w:p>
    <w:tbl>
      <w:tblPr>
        <w:tblW w:type="dxa" w:w="9676"/>
        <w:jc w:val="center"/>
        <w:tblBorders>
          <w:top w:val="single" w:color="D4D4D8" w:sz="4"/>
          <w:left w:val="single" w:color="D4D4D8" w:sz="4"/>
          <w:bottom w:val="single" w:color="D4D4D8" w:sz="4"/>
          <w:right w:val="single" w:color="D4D4D8" w:sz="4"/>
          <w:insideH w:val="none" w:color="FFFFFF" w:sz="0"/>
          <w:insideV w:val="none" w:color="FFFFFF" w:sz="0"/>
        </w:tblBorders>
      </w:tblPr>
      <w:tblGrid>
        <w:gridCol w:w="100"/>
      </w:tblGrid>
      <w:tr>
        <w:tc>
          <w:tcPr>
            <w:tcMar>
              <w:top w:type="dxa" w:w="100"/>
              <w:left w:type="dxa" w:w="100"/>
              <w:bottom w:type="dxa" w:w="100"/>
              <w:right w:type="dxa" w:w="100"/>
            </w:tcMar>
          </w:tcPr>
          <w:p>
            <w:pPr>
              <w:jc w:val="center"/>
            </w:pPr>
            <w:r>
              <w:drawing>
                <wp:inline distT="0" distB="0" distL="0" distR="0">
                  <wp:extent cx="5762625"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4324350"/>
                          </a:xfrm>
                          <a:prstGeom prst="rect">
                            <a:avLst/>
                          </a:prstGeom>
                        </pic:spPr>
                      </pic:pic>
                    </a:graphicData>
                  </a:graphic>
                </wp:inline>
              </w:drawing>
            </w:r>
          </w:p>
        </w:tc>
      </w:tr>
    </w:tbl>
    <w:p>
      <w:pPr>
        <w:spacing w:after="60" w:before="0"/>
      </w:pPr>
    </w:p>
    <w:p>
      <w:pPr>
        <w:spacing w:after="200"/>
        <w:jc w:val="center"/>
      </w:pPr>
      <w:r>
        <w:rPr>
          <w:i/>
          <w:iCs/>
          <w:color w:val="6B7280"/>
          <w:sz w:val="18"/>
          <w:szCs w:val="18"/>
        </w:rPr>
        <w:t xml:space="preserve">Écran d'attente — le comité doit approuver la connexion.</w:t>
      </w:r>
    </w:p>
    <w:p>
      <w:pPr>
        <w:spacing w:after="160"/>
      </w:pPr>
      <w:r>
        <w:t xml:space="preserve">« Une fois connecté, les instructions s'affichent automatiquement : fond de caisse, marche à suivre. »</w:t>
      </w:r>
    </w:p>
    <w:p>
      <w:pPr>
        <w:spacing w:after="0" w:before="160"/>
      </w:pPr>
    </w:p>
    <w:tbl>
      <w:tblPr>
        <w:tblW w:type="dxa" w:w="9676"/>
        <w:jc w:val="center"/>
        <w:tblBorders>
          <w:top w:val="single" w:color="D4D4D8" w:sz="4"/>
          <w:left w:val="single" w:color="D4D4D8" w:sz="4"/>
          <w:bottom w:val="single" w:color="D4D4D8" w:sz="4"/>
          <w:right w:val="single" w:color="D4D4D8" w:sz="4"/>
          <w:insideH w:val="none" w:color="FFFFFF" w:sz="0"/>
          <w:insideV w:val="none" w:color="FFFFFF" w:sz="0"/>
        </w:tblBorders>
      </w:tblPr>
      <w:tblGrid>
        <w:gridCol w:w="100"/>
      </w:tblGrid>
      <w:tr>
        <w:tc>
          <w:tcPr>
            <w:tcMar>
              <w:top w:type="dxa" w:w="100"/>
              <w:left w:type="dxa" w:w="100"/>
              <w:bottom w:type="dxa" w:w="100"/>
              <w:right w:type="dxa" w:w="100"/>
            </w:tcMar>
          </w:tcPr>
          <w:p>
            <w:pPr>
              <w:jc w:val="center"/>
            </w:pPr>
            <w:r>
              <w:drawing>
                <wp:inline distT="0" distB="0" distL="0" distR="0">
                  <wp:extent cx="5762625"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4324350"/>
                          </a:xfrm>
                          <a:prstGeom prst="rect">
                            <a:avLst/>
                          </a:prstGeom>
                        </pic:spPr>
                      </pic:pic>
                    </a:graphicData>
                  </a:graphic>
                </wp:inline>
              </w:drawing>
            </w:r>
          </w:p>
        </w:tc>
      </w:tr>
    </w:tbl>
    <w:p>
      <w:pPr>
        <w:spacing w:after="60" w:before="0"/>
      </w:pPr>
    </w:p>
    <w:p>
      <w:pPr>
        <w:spacing w:after="200"/>
        <w:jc w:val="center"/>
      </w:pPr>
      <w:r>
        <w:rPr>
          <w:i/>
          <w:iCs/>
          <w:color w:val="6B7280"/>
          <w:sz w:val="18"/>
          <w:szCs w:val="18"/>
        </w:rPr>
        <w:t xml:space="preserve">Rappel automatique des instructions à la connexion.</w:t>
      </w:r>
    </w:p>
    <w:p>
      <w:pPr>
        <w:spacing w:after="160"/>
      </w:pPr>
      <w:r>
        <w:t xml:space="preserve">« On scanne un article, puis un deuxième — le prix affiché inclut déjà la majoration de 10% pour l'acheteur. Si l'acheteur le souhaite, on peut aussi lui envoyer une quittance par email. »</w:t>
      </w:r>
    </w:p>
    <w:p>
      <w:pPr>
        <w:spacing w:after="0" w:before="160"/>
      </w:pPr>
    </w:p>
    <w:tbl>
      <w:tblPr>
        <w:tblW w:type="dxa" w:w="9676"/>
        <w:jc w:val="center"/>
        <w:tblBorders>
          <w:top w:val="single" w:color="D4D4D8" w:sz="4"/>
          <w:left w:val="single" w:color="D4D4D8" w:sz="4"/>
          <w:bottom w:val="single" w:color="D4D4D8" w:sz="4"/>
          <w:right w:val="single" w:color="D4D4D8" w:sz="4"/>
          <w:insideH w:val="none" w:color="FFFFFF" w:sz="0"/>
          <w:insideV w:val="none" w:color="FFFFFF" w:sz="0"/>
        </w:tblBorders>
      </w:tblPr>
      <w:tblGrid>
        <w:gridCol w:w="100"/>
      </w:tblGrid>
      <w:tr>
        <w:tc>
          <w:tcPr>
            <w:tcMar>
              <w:top w:type="dxa" w:w="100"/>
              <w:left w:type="dxa" w:w="100"/>
              <w:bottom w:type="dxa" w:w="100"/>
              <w:right w:type="dxa" w:w="100"/>
            </w:tcMar>
          </w:tcPr>
          <w:p>
            <w:pPr>
              <w:jc w:val="center"/>
            </w:pPr>
            <w:r>
              <w:drawing>
                <wp:inline distT="0" distB="0" distL="0" distR="0">
                  <wp:extent cx="5762625"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4324350"/>
                          </a:xfrm>
                          <a:prstGeom prst="rect">
                            <a:avLst/>
                          </a:prstGeom>
                        </pic:spPr>
                      </pic:pic>
                    </a:graphicData>
                  </a:graphic>
                </wp:inline>
              </w:drawing>
            </w:r>
          </w:p>
        </w:tc>
      </w:tr>
    </w:tbl>
    <w:p>
      <w:pPr>
        <w:spacing w:after="60" w:before="0"/>
      </w:pPr>
    </w:p>
    <w:p>
      <w:pPr>
        <w:spacing w:after="200"/>
        <w:jc w:val="center"/>
      </w:pPr>
      <w:r>
        <w:rPr>
          <w:i/>
          <w:iCs/>
          <w:color w:val="6B7280"/>
          <w:sz w:val="18"/>
          <w:szCs w:val="18"/>
        </w:rPr>
        <w:t xml:space="preserve">Panier avec deux articles scannés, quittance par email proposée.</w:t>
      </w:r>
    </w:p>
    <w:p>
      <w:pPr>
        <w:spacing w:after="160"/>
      </w:pPr>
      <w:r>
        <w:t xml:space="preserve">« LA sécurité à montrer absolument : on essaie de scanner un article déjà vendu. »</w:t>
      </w:r>
    </w:p>
    <w:p>
      <w:pPr>
        <w:spacing w:after="0" w:before="160"/>
      </w:pPr>
    </w:p>
    <w:tbl>
      <w:tblPr>
        <w:tblW w:type="dxa" w:w="9676"/>
        <w:jc w:val="center"/>
        <w:tblBorders>
          <w:top w:val="single" w:color="D4D4D8" w:sz="4"/>
          <w:left w:val="single" w:color="D4D4D8" w:sz="4"/>
          <w:bottom w:val="single" w:color="D4D4D8" w:sz="4"/>
          <w:right w:val="single" w:color="D4D4D8" w:sz="4"/>
          <w:insideH w:val="none" w:color="FFFFFF" w:sz="0"/>
          <w:insideV w:val="none" w:color="FFFFFF" w:sz="0"/>
        </w:tblBorders>
      </w:tblPr>
      <w:tblGrid>
        <w:gridCol w:w="100"/>
      </w:tblGrid>
      <w:tr>
        <w:tc>
          <w:tcPr>
            <w:tcMar>
              <w:top w:type="dxa" w:w="100"/>
              <w:left w:type="dxa" w:w="100"/>
              <w:bottom w:type="dxa" w:w="100"/>
              <w:right w:type="dxa" w:w="100"/>
            </w:tcMar>
          </w:tcPr>
          <w:p>
            <w:pPr>
              <w:jc w:val="center"/>
            </w:pPr>
            <w:r>
              <w:drawing>
                <wp:inline distT="0" distB="0" distL="0" distR="0">
                  <wp:extent cx="5762625"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4324350"/>
                          </a:xfrm>
                          <a:prstGeom prst="rect">
                            <a:avLst/>
                          </a:prstGeom>
                        </pic:spPr>
                      </pic:pic>
                    </a:graphicData>
                  </a:graphic>
                </wp:inline>
              </w:drawing>
            </w:r>
          </w:p>
        </w:tc>
      </w:tr>
    </w:tbl>
    <w:p>
      <w:pPr>
        <w:spacing w:after="60" w:before="0"/>
      </w:pPr>
    </w:p>
    <w:p>
      <w:pPr>
        <w:spacing w:after="200"/>
        <w:jc w:val="center"/>
      </w:pPr>
      <w:r>
        <w:rPr>
          <w:i/>
          <w:iCs/>
          <w:color w:val="6B7280"/>
          <w:sz w:val="18"/>
          <w:szCs w:val="18"/>
        </w:rPr>
        <w:t xml:space="preserve">Article déjà vendu : ajout bloqué, message explicite — impossible même avec plusieurs caisses ouvertes en même temps.</w:t>
      </w:r>
    </w:p>
    <w:p>
      <w:pPr>
        <w:pStyle w:val="Heading1"/>
        <w:spacing w:after="200" w:before="400"/>
      </w:pPr>
      <w:r>
        <w:rPr>
          <w:b/>
          <w:bCs/>
          <w:color w:val="1F2937"/>
        </w:rPr>
        <w:t xml:space="preserve">6 — Les remboursements</w:t>
      </w:r>
    </w:p>
    <w:p>
      <w:pPr>
        <w:spacing w:after="160"/>
      </w:pPr>
      <w:r>
        <w:t xml:space="preserve">« Un acheteur ramène un article ? Un poste dédié — connecté et approuvé comme une caisse — permet de retrouver sa vente (par numéro de vendeur, numéro d'article, nom, ou scan du QR) et de la rembourser. »</w:t>
      </w:r>
    </w:p>
    <w:p>
      <w:pPr>
        <w:spacing w:after="0" w:before="160"/>
      </w:pPr>
    </w:p>
    <w:tbl>
      <w:tblPr>
        <w:tblW w:type="dxa" w:w="9676"/>
        <w:jc w:val="center"/>
        <w:tblBorders>
          <w:top w:val="single" w:color="D4D4D8" w:sz="4"/>
          <w:left w:val="single" w:color="D4D4D8" w:sz="4"/>
          <w:bottom w:val="single" w:color="D4D4D8" w:sz="4"/>
          <w:right w:val="single" w:color="D4D4D8" w:sz="4"/>
          <w:insideH w:val="none" w:color="FFFFFF" w:sz="0"/>
          <w:insideV w:val="none" w:color="FFFFFF" w:sz="0"/>
        </w:tblBorders>
      </w:tblPr>
      <w:tblGrid>
        <w:gridCol w:w="100"/>
      </w:tblGrid>
      <w:tr>
        <w:tc>
          <w:tcPr>
            <w:tcMar>
              <w:top w:type="dxa" w:w="100"/>
              <w:left w:type="dxa" w:w="100"/>
              <w:bottom w:type="dxa" w:w="100"/>
              <w:right w:type="dxa" w:w="100"/>
            </w:tcMar>
          </w:tcPr>
          <w:p>
            <w:pPr>
              <w:jc w:val="center"/>
            </w:pPr>
            <w:r>
              <w:drawing>
                <wp:inline distT="0" distB="0" distL="0" distR="0">
                  <wp:extent cx="5762625"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4324350"/>
                          </a:xfrm>
                          <a:prstGeom prst="rect">
                            <a:avLst/>
                          </a:prstGeom>
                        </pic:spPr>
                      </pic:pic>
                    </a:graphicData>
                  </a:graphic>
                </wp:inline>
              </w:drawing>
            </w:r>
          </w:p>
        </w:tc>
      </w:tr>
    </w:tbl>
    <w:p>
      <w:pPr>
        <w:spacing w:after="60" w:before="0"/>
      </w:pPr>
    </w:p>
    <w:p>
      <w:pPr>
        <w:spacing w:after="200"/>
        <w:jc w:val="center"/>
      </w:pPr>
      <w:r>
        <w:rPr>
          <w:i/>
          <w:iCs/>
          <w:color w:val="6B7280"/>
          <w:sz w:val="18"/>
          <w:szCs w:val="18"/>
        </w:rPr>
        <w:t xml:space="preserve">Recherche d'une vente à rembourser.</w:t>
      </w:r>
    </w:p>
    <w:p>
      <w:pPr>
        <w:spacing w:after="160"/>
      </w:pPr>
      <w:r>
        <w:t xml:space="preserve">« L'article redevient disponible à la vente, et la vente est retirée des bilans — sans jamais toucher aux comptes de la caisse qui l'a encaissée à l'origine. »</w:t>
      </w:r>
    </w:p>
    <w:p>
      <w:pPr>
        <w:spacing w:after="0" w:before="160"/>
      </w:pPr>
    </w:p>
    <w:tbl>
      <w:tblPr>
        <w:tblW w:type="dxa" w:w="9676"/>
        <w:jc w:val="center"/>
        <w:tblBorders>
          <w:top w:val="single" w:color="D4D4D8" w:sz="4"/>
          <w:left w:val="single" w:color="D4D4D8" w:sz="4"/>
          <w:bottom w:val="single" w:color="D4D4D8" w:sz="4"/>
          <w:right w:val="single" w:color="D4D4D8" w:sz="4"/>
          <w:insideH w:val="none" w:color="FFFFFF" w:sz="0"/>
          <w:insideV w:val="none" w:color="FFFFFF" w:sz="0"/>
        </w:tblBorders>
      </w:tblPr>
      <w:tblGrid>
        <w:gridCol w:w="100"/>
      </w:tblGrid>
      <w:tr>
        <w:tc>
          <w:tcPr>
            <w:tcMar>
              <w:top w:type="dxa" w:w="100"/>
              <w:left w:type="dxa" w:w="100"/>
              <w:bottom w:type="dxa" w:w="100"/>
              <w:right w:type="dxa" w:w="100"/>
            </w:tcMar>
          </w:tcPr>
          <w:p>
            <w:pPr>
              <w:jc w:val="center"/>
            </w:pPr>
            <w:r>
              <w:drawing>
                <wp:inline distT="0" distB="0" distL="0" distR="0">
                  <wp:extent cx="5762625"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4324350"/>
                          </a:xfrm>
                          <a:prstGeom prst="rect">
                            <a:avLst/>
                          </a:prstGeom>
                        </pic:spPr>
                      </pic:pic>
                    </a:graphicData>
                  </a:graphic>
                </wp:inline>
              </w:drawing>
            </w:r>
          </w:p>
        </w:tc>
      </w:tr>
    </w:tbl>
    <w:p>
      <w:pPr>
        <w:spacing w:after="60" w:before="0"/>
      </w:pPr>
    </w:p>
    <w:p>
      <w:pPr>
        <w:spacing w:after="200"/>
        <w:jc w:val="center"/>
      </w:pPr>
      <w:r>
        <w:rPr>
          <w:i/>
          <w:iCs/>
          <w:color w:val="6B7280"/>
          <w:sz w:val="18"/>
          <w:szCs w:val="18"/>
        </w:rPr>
        <w:t xml:space="preserve">Remboursement effectué : bilans à jour, article de nouveau vendable.</w:t>
      </w:r>
    </w:p>
    <w:p>
      <w:pPr>
        <w:pStyle w:val="Heading1"/>
        <w:spacing w:after="200" w:before="400"/>
      </w:pPr>
      <w:r>
        <w:rPr>
          <w:b/>
          <w:bCs/>
          <w:color w:val="1F2937"/>
        </w:rPr>
        <w:t xml:space="preserve">7 — Le dashboard du comité</w:t>
      </w:r>
    </w:p>
    <w:p>
      <w:pPr>
        <w:spacing w:after="160"/>
      </w:pPr>
      <w:r>
        <w:t xml:space="preserve">« Le comité pilote toute la journée depuis une seule page : ventes en direct, bénéfice, état de chaque caisse et du poste de remboursement. »</w:t>
      </w:r>
    </w:p>
    <w:p>
      <w:pPr>
        <w:spacing w:after="0" w:before="160"/>
      </w:pPr>
    </w:p>
    <w:tbl>
      <w:tblPr>
        <w:tblW w:type="dxa" w:w="9676"/>
        <w:jc w:val="center"/>
        <w:tblBorders>
          <w:top w:val="single" w:color="D4D4D8" w:sz="4"/>
          <w:left w:val="single" w:color="D4D4D8" w:sz="4"/>
          <w:bottom w:val="single" w:color="D4D4D8" w:sz="4"/>
          <w:right w:val="single" w:color="D4D4D8" w:sz="4"/>
          <w:insideH w:val="none" w:color="FFFFFF" w:sz="0"/>
          <w:insideV w:val="none" w:color="FFFFFF" w:sz="0"/>
        </w:tblBorders>
      </w:tblPr>
      <w:tblGrid>
        <w:gridCol w:w="100"/>
      </w:tblGrid>
      <w:tr>
        <w:tc>
          <w:tcPr>
            <w:tcMar>
              <w:top w:type="dxa" w:w="100"/>
              <w:left w:type="dxa" w:w="100"/>
              <w:bottom w:type="dxa" w:w="100"/>
              <w:right w:type="dxa" w:w="100"/>
            </w:tcMar>
          </w:tcPr>
          <w:p>
            <w:pPr>
              <w:jc w:val="center"/>
            </w:pPr>
            <w:r>
              <w:drawing>
                <wp:inline distT="0" distB="0" distL="0" distR="0">
                  <wp:extent cx="5124450" cy="721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24450" cy="7219950"/>
                          </a:xfrm>
                          <a:prstGeom prst="rect">
                            <a:avLst/>
                          </a:prstGeom>
                        </pic:spPr>
                      </pic:pic>
                    </a:graphicData>
                  </a:graphic>
                </wp:inline>
              </w:drawing>
            </w:r>
          </w:p>
        </w:tc>
      </w:tr>
    </w:tbl>
    <w:p>
      <w:pPr>
        <w:spacing w:after="60" w:before="0"/>
      </w:pPr>
    </w:p>
    <w:p>
      <w:pPr>
        <w:spacing w:after="200"/>
        <w:jc w:val="center"/>
      </w:pPr>
      <w:r>
        <w:rPr>
          <w:i/>
          <w:iCs/>
          <w:color w:val="6B7280"/>
          <w:sz w:val="18"/>
          <w:szCs w:val="18"/>
        </w:rPr>
        <w:t xml:space="preserve">Dashboard : vue d'ensemble complète — caisses, remboursements, codes d'accès, réglages.</w:t>
      </w:r>
    </w:p>
    <w:p>
      <w:pPr>
        <w:pStyle w:val="ListParagraph"/>
        <w:numPr>
          <w:ilvl w:val="0"/>
          <w:numId w:val="3"/>
        </w:numPr>
        <w:spacing w:after="80"/>
      </w:pPr>
      <w:r>
        <w:t xml:space="preserve">Bouton « Vider » sur chaque caisse : enregistre un retrait (montant + qui l'a fait), et fait redescendre le compteur.</w:t>
      </w:r>
    </w:p>
    <w:p>
      <w:pPr>
        <w:pStyle w:val="ListParagraph"/>
        <w:numPr>
          <w:ilvl w:val="0"/>
          <w:numId w:val="3"/>
        </w:numPr>
        <w:spacing w:after="80"/>
      </w:pPr>
      <w:r>
        <w:t xml:space="preserve">Bouton « Télécharger une sauvegarde » : instantané complet de la base, à faire régulièrement pendant la journée.</w:t>
      </w:r>
    </w:p>
    <w:p>
      <w:pPr>
        <w:pStyle w:val="ListParagraph"/>
        <w:numPr>
          <w:ilvl w:val="0"/>
          <w:numId w:val="3"/>
        </w:numPr>
        <w:spacing w:after="80"/>
      </w:pPr>
      <w:r>
        <w:t xml:space="preserve">Verrouillage/déverrouillage du site public, date d'ouverture avec compte à rebours.</w:t>
      </w:r>
    </w:p>
    <w:p>
      <w:pPr>
        <w:pStyle w:val="ListParagraph"/>
        <w:numPr>
          <w:ilvl w:val="0"/>
          <w:numId w:val="3"/>
        </w:numPr>
        <w:spacing w:after="80"/>
      </w:pPr>
      <w:r>
        <w:t xml:space="preserve">Date et heure de récupération des invendus : saisies une seule fois ici, reprises automatiquement dans tous les emails de confirmation envoyés par l'accueil.</w:t>
      </w:r>
    </w:p>
    <w:p>
      <w:pPr>
        <w:pStyle w:val="ListParagraph"/>
        <w:numPr>
          <w:ilvl w:val="0"/>
          <w:numId w:val="3"/>
        </w:numPr>
        <w:spacing w:after="80"/>
      </w:pPr>
      <w:r>
        <w:t xml:space="preserve">Codes d'accès de chaque caisse, du poste de remboursement, de l'accueil et du dashboard, modifiables directement ici.</w:t>
      </w:r>
    </w:p>
    <w:p>
      <w:pPr>
        <w:spacing w:after="160"/>
      </w:pPr>
      <w:r>
        <w:t xml:space="preserve">« En fin d'édition, un PDF de clôture peut être généré : une page par vendeur, avec le détail des articles vendus et invendus, triés (invendus d'abord), et le total qui lui est dû. »</w:t>
      </w:r>
    </w:p>
    <w:p>
      <w:pPr>
        <w:spacing w:after="0" w:before="160"/>
      </w:pPr>
    </w:p>
    <w:tbl>
      <w:tblPr>
        <w:tblW w:type="dxa" w:w="9676"/>
        <w:jc w:val="center"/>
        <w:tblBorders>
          <w:top w:val="single" w:color="D4D4D8" w:sz="4"/>
          <w:left w:val="single" w:color="D4D4D8" w:sz="4"/>
          <w:bottom w:val="single" w:color="D4D4D8" w:sz="4"/>
          <w:right w:val="single" w:color="D4D4D8" w:sz="4"/>
          <w:insideH w:val="none" w:color="FFFFFF" w:sz="0"/>
          <w:insideV w:val="none" w:color="FFFFFF" w:sz="0"/>
        </w:tblBorders>
      </w:tblPr>
      <w:tblGrid>
        <w:gridCol w:w="100"/>
      </w:tblGrid>
      <w:tr>
        <w:tc>
          <w:tcPr>
            <w:tcMar>
              <w:top w:type="dxa" w:w="100"/>
              <w:left w:type="dxa" w:w="100"/>
              <w:bottom w:type="dxa" w:w="100"/>
              <w:right w:type="dxa" w:w="100"/>
            </w:tcMar>
          </w:tcPr>
          <w:p>
            <w:pPr>
              <w:jc w:val="center"/>
            </w:pPr>
            <w:r>
              <w:drawing>
                <wp:inline distT="0" distB="0" distL="0" distR="0">
                  <wp:extent cx="5762625"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4114800"/>
                          </a:xfrm>
                          <a:prstGeom prst="rect">
                            <a:avLst/>
                          </a:prstGeom>
                        </pic:spPr>
                      </pic:pic>
                    </a:graphicData>
                  </a:graphic>
                </wp:inline>
              </w:drawing>
            </w:r>
          </w:p>
        </w:tc>
      </w:tr>
    </w:tbl>
    <w:p>
      <w:pPr>
        <w:spacing w:after="60" w:before="0"/>
      </w:pPr>
    </w:p>
    <w:p>
      <w:pPr>
        <w:spacing w:after="200"/>
        <w:jc w:val="center"/>
      </w:pPr>
      <w:r>
        <w:rPr>
          <w:i/>
          <w:iCs/>
          <w:color w:val="6B7280"/>
          <w:sz w:val="18"/>
          <w:szCs w:val="18"/>
        </w:rPr>
        <w:t xml:space="preserve">Clôture de vente : téléchargement du PDF détaillé par vendeur.</w:t>
      </w:r>
    </w:p>
    <w:p>
      <w:pPr>
        <w:spacing w:after="0" w:before="160"/>
      </w:pPr>
    </w:p>
    <w:tbl>
      <w:tblPr>
        <w:tblW w:type="dxa" w:w="9676"/>
        <w:jc w:val="center"/>
        <w:tblBorders>
          <w:top w:val="single" w:color="D4D4D8" w:sz="4"/>
          <w:left w:val="single" w:color="D4D4D8" w:sz="4"/>
          <w:bottom w:val="single" w:color="D4D4D8" w:sz="4"/>
          <w:right w:val="single" w:color="D4D4D8" w:sz="4"/>
          <w:insideH w:val="none" w:color="FFFFFF" w:sz="0"/>
          <w:insideV w:val="none" w:color="FFFFFF" w:sz="0"/>
        </w:tblBorders>
      </w:tblPr>
      <w:tblGrid>
        <w:gridCol w:w="100"/>
      </w:tblGrid>
      <w:tr>
        <w:tc>
          <w:tcPr>
            <w:tcMar>
              <w:top w:type="dxa" w:w="100"/>
              <w:left w:type="dxa" w:w="100"/>
              <w:bottom w:type="dxa" w:w="100"/>
              <w:right w:type="dxa" w:w="100"/>
            </w:tcMar>
          </w:tcPr>
          <w:p>
            <w:pPr>
              <w:jc w:val="center"/>
            </w:pPr>
            <w:r>
              <w:drawing>
                <wp:inline distT="0" distB="0" distL="0" distR="0">
                  <wp:extent cx="4210050" cy="594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10050" cy="5943600"/>
                          </a:xfrm>
                          <a:prstGeom prst="rect">
                            <a:avLst/>
                          </a:prstGeom>
                        </pic:spPr>
                      </pic:pic>
                    </a:graphicData>
                  </a:graphic>
                </wp:inline>
              </w:drawing>
            </w:r>
          </w:p>
        </w:tc>
      </w:tr>
    </w:tbl>
    <w:p>
      <w:pPr>
        <w:spacing w:after="60" w:before="0"/>
      </w:pPr>
    </w:p>
    <w:p>
      <w:pPr>
        <w:spacing w:after="200"/>
        <w:jc w:val="center"/>
      </w:pPr>
      <w:r>
        <w:rPr>
          <w:i/>
          <w:iCs/>
          <w:color w:val="6B7280"/>
          <w:sz w:val="18"/>
          <w:szCs w:val="18"/>
        </w:rPr>
        <w:t xml:space="preserve">Exemple d'une page du PDF de clôture — un vendeur, ses articles triés, son total dû.</w:t>
      </w:r>
    </w:p>
    <w:tbl>
      <w:tblPr>
        <w:tblW w:type="pct" w:w="100%"/>
        <w:tblBorders>
          <w:top w:val="single" w:color="16A34A" w:sz="6"/>
          <w:left w:val="single" w:color="16A34A" w:sz="6"/>
          <w:bottom w:val="single" w:color="16A34A" w:sz="6"/>
          <w:right w:val="single" w:color="16A34A" w:sz="6"/>
          <w:insideH w:val="none" w:color="FFFFFF" w:sz="0"/>
          <w:insideV w:val="none" w:color="FFFFFF" w:sz="0"/>
        </w:tblBorders>
      </w:tblPr>
      <w:tblGrid>
        <w:gridCol w:w="100"/>
      </w:tblGrid>
      <w:tr>
        <w:tc>
          <w:tcPr>
            <w:shd w:fill="F0FDF4" w:val="clear"/>
            <w:tcMar>
              <w:top w:type="dxa" w:w="160"/>
              <w:left w:type="dxa" w:w="220"/>
              <w:bottom w:type="dxa" w:w="160"/>
              <w:right w:type="dxa" w:w="220"/>
            </w:tcMar>
          </w:tcPr>
          <w:p>
            <w:pPr>
              <w:spacing w:after="80"/>
            </w:pPr>
            <w:r>
              <w:rPr>
                <w:b/>
                <w:bCs/>
                <w:color w:val="15803D"/>
              </w:rPr>
              <w:t xml:space="preserve">💡 À dire au comité</w:t>
            </w:r>
          </w:p>
          <w:p>
            <w:pPr>
              <w:spacing w:after="40"/>
            </w:pPr>
            <w:r>
              <w:rPr>
                <w:sz w:val="20"/>
                <w:szCs w:val="20"/>
              </w:rPr>
              <w:t xml:space="preserve">Les quittances par email demandées à la caisse ne partent jamais immédiatement : l'envoi est différé jusqu'à la vente suivante sur la même caisse (ou sa clôture), pour ne jamais envoyer un ticket pour une vente qui finirait par être annulée. La page « Quittances » du dashboard permet de suivre celles encore en attente, ou de forcer un envoi immédiat.</w:t>
            </w:r>
          </w:p>
        </w:tc>
      </w:tr>
    </w:tbl>
    <w:p>
      <w:pPr>
        <w:spacing w:after="0" w:before="160"/>
      </w:pPr>
    </w:p>
    <w:tbl>
      <w:tblPr>
        <w:tblW w:type="dxa" w:w="9676"/>
        <w:jc w:val="center"/>
        <w:tblBorders>
          <w:top w:val="single" w:color="D4D4D8" w:sz="4"/>
          <w:left w:val="single" w:color="D4D4D8" w:sz="4"/>
          <w:bottom w:val="single" w:color="D4D4D8" w:sz="4"/>
          <w:right w:val="single" w:color="D4D4D8" w:sz="4"/>
          <w:insideH w:val="none" w:color="FFFFFF" w:sz="0"/>
          <w:insideV w:val="none" w:color="FFFFFF" w:sz="0"/>
        </w:tblBorders>
      </w:tblPr>
      <w:tblGrid>
        <w:gridCol w:w="100"/>
      </w:tblGrid>
      <w:tr>
        <w:tc>
          <w:tcPr>
            <w:tcMar>
              <w:top w:type="dxa" w:w="100"/>
              <w:left w:type="dxa" w:w="100"/>
              <w:bottom w:type="dxa" w:w="100"/>
              <w:right w:type="dxa" w:w="100"/>
            </w:tcMar>
          </w:tcPr>
          <w:p>
            <w:pPr>
              <w:jc w:val="center"/>
            </w:pPr>
            <w:r>
              <w:drawing>
                <wp:inline distT="0" distB="0" distL="0" distR="0">
                  <wp:extent cx="5762625"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4114800"/>
                          </a:xfrm>
                          <a:prstGeom prst="rect">
                            <a:avLst/>
                          </a:prstGeom>
                        </pic:spPr>
                      </pic:pic>
                    </a:graphicData>
                  </a:graphic>
                </wp:inline>
              </w:drawing>
            </w:r>
          </w:p>
        </w:tc>
      </w:tr>
    </w:tbl>
    <w:p>
      <w:pPr>
        <w:spacing w:after="60" w:before="0"/>
      </w:pPr>
    </w:p>
    <w:p>
      <w:pPr>
        <w:spacing w:after="200"/>
        <w:jc w:val="center"/>
      </w:pPr>
      <w:r>
        <w:rPr>
          <w:i/>
          <w:iCs/>
          <w:color w:val="6B7280"/>
          <w:sz w:val="18"/>
          <w:szCs w:val="18"/>
        </w:rPr>
        <w:t xml:space="preserve">Suivi des quittances par email en attente d'envoi.</w:t>
      </w:r>
    </w:p>
    <w:p>
      <w:pPr>
        <w:pStyle w:val="Heading1"/>
        <w:spacing w:after="200" w:before="400"/>
      </w:pPr>
      <w:r>
        <w:rPr>
          <w:b/>
          <w:bCs/>
          <w:color w:val="1F2937"/>
        </w:rPr>
        <w:t xml:space="preserve">8 — Sécurité : ce qui est déjà en place</w:t>
      </w:r>
    </w:p>
    <w:p>
      <w:pPr>
        <w:spacing w:after="80"/>
      </w:pPr>
      <w:r>
        <w:t xml:space="preserve">Un audit de sécurité complet a été fait sur l'application. Points à mentionner si le sujet vient en discussion :</w:t>
      </w:r>
    </w:p>
    <w:p>
      <w:pPr>
        <w:pStyle w:val="ListParagraph"/>
        <w:numPr>
          <w:ilvl w:val="0"/>
          <w:numId w:val="3"/>
        </w:numPr>
        <w:spacing w:after="80"/>
      </w:pPr>
      <w:r>
        <w:t xml:space="preserve">Le site public reste verrouillé tant qu'aucune édition n'est active (ou pas déverrouillé manuellement pour une démo/un test).</w:t>
      </w:r>
    </w:p>
    <w:p>
      <w:pPr>
        <w:pStyle w:val="ListParagraph"/>
        <w:numPr>
          <w:ilvl w:val="0"/>
          <w:numId w:val="3"/>
        </w:numPr>
        <w:spacing w:after="80"/>
      </w:pPr>
      <w:r>
        <w:t xml:space="preserve">Blocage automatique après 5 tentatives de connexion échouées en moins d'une minute sur les codes d'accès, avec alerte email envoyée à l'admin.</w:t>
      </w:r>
    </w:p>
    <w:p>
      <w:pPr>
        <w:pStyle w:val="ListParagraph"/>
        <w:numPr>
          <w:ilvl w:val="0"/>
          <w:numId w:val="3"/>
        </w:numPr>
        <w:spacing w:after="80"/>
      </w:pPr>
      <w:r>
        <w:t xml:space="preserve">Mots de passe des bénévoles chiffrés, jamais stockés en clair.</w:t>
      </w:r>
    </w:p>
    <w:p>
      <w:pPr>
        <w:pStyle w:val="ListParagraph"/>
        <w:numPr>
          <w:ilvl w:val="0"/>
          <w:numId w:val="3"/>
        </w:numPr>
        <w:spacing w:after="80"/>
      </w:pPr>
      <w:r>
        <w:t xml:space="preserve">Tous les codes d'accès (caisses, accueil, dashboard, remboursements) sont générés aléatoirement à chaque mise en place de la base — jamais de valeur fixe codée en dur, et jamais publiés nulle part.</w:t>
      </w:r>
    </w:p>
    <w:p>
      <w:pPr>
        <w:pStyle w:val="ListParagraph"/>
        <w:numPr>
          <w:ilvl w:val="0"/>
          <w:numId w:val="3"/>
        </w:numPr>
        <w:spacing w:after="80"/>
      </w:pPr>
      <w:r>
        <w:t xml:space="preserve">Cookies de session sécurisés, en-têtes de sécurité HTTP (protection contre le détournement de page, l'injection de scripts).</w:t>
      </w:r>
    </w:p>
    <w:p>
      <w:pPr>
        <w:pStyle w:val="ListParagraph"/>
        <w:numPr>
          <w:ilvl w:val="0"/>
          <w:numId w:val="3"/>
        </w:numPr>
        <w:spacing w:after="80"/>
      </w:pPr>
      <w:r>
        <w:t xml:space="preserve">Toutes les requêtes vers la base de données sont protégées contre les injections SQL.</w:t>
      </w:r>
    </w:p>
    <w:p>
      <w:pPr>
        <w:pStyle w:val="Heading1"/>
        <w:spacing w:after="200" w:before="400"/>
      </w:pPr>
      <w:r>
        <w:rPr>
          <w:b/>
          <w:bCs/>
          <w:color w:val="1F2937"/>
        </w:rPr>
        <w:t xml:space="preserve">9 — Points à ne pas oublier avant l'événement réel</w:t>
      </w:r>
    </w:p>
    <w:tbl>
      <w:tblPr>
        <w:tblW w:type="pct" w:w="100%"/>
        <w:tblBorders>
          <w:top w:val="single" w:color="B91C1C" w:sz="6"/>
          <w:left w:val="single" w:color="B91C1C" w:sz="6"/>
          <w:bottom w:val="single" w:color="B91C1C" w:sz="6"/>
          <w:right w:val="single" w:color="B91C1C" w:sz="6"/>
          <w:insideH w:val="none" w:color="FFFFFF" w:sz="0"/>
          <w:insideV w:val="none" w:color="FFFFFF" w:sz="0"/>
        </w:tblBorders>
      </w:tblPr>
      <w:tblGrid>
        <w:gridCol w:w="100"/>
      </w:tblGrid>
      <w:tr>
        <w:tc>
          <w:tcPr>
            <w:shd w:fill="FEF2F2" w:val="clear"/>
            <w:tcMar>
              <w:top w:type="dxa" w:w="160"/>
              <w:left w:type="dxa" w:w="220"/>
              <w:bottom w:type="dxa" w:w="160"/>
              <w:right w:type="dxa" w:w="220"/>
            </w:tcMar>
          </w:tcPr>
          <w:p>
            <w:pPr>
              <w:spacing w:after="80"/>
            </w:pPr>
            <w:r>
              <w:rPr>
                <w:b/>
                <w:bCs/>
                <w:color w:val="B91C1C"/>
              </w:rPr>
              <w:t xml:space="preserve">🔒 Checklist avant l'ouverture</w:t>
            </w:r>
          </w:p>
          <w:p>
            <w:pPr>
              <w:spacing w:after="80"/>
            </w:pPr>
            <w:r>
              <w:rPr>
                <w:sz w:val="20"/>
                <w:szCs w:val="20"/>
              </w:rPr>
              <w:t xml:space="preserve">Vérifier les codes d'accès actuels sur le dashboard (section « Codes d'accès ») et les communiquer aux bénévoles concernés.</w:t>
            </w:r>
          </w:p>
          <w:p>
            <w:pPr>
              <w:spacing w:after="80"/>
            </w:pPr>
            <w:r>
              <w:rPr>
                <w:sz w:val="20"/>
                <w:szCs w:val="20"/>
              </w:rPr>
              <w:t xml:space="preserve">Fixer la date et l'heure de récupération des invendus sur le dashboard, avant l'ouverture de l'accueil.</w:t>
            </w:r>
          </w:p>
          <w:p>
            <w:pPr>
              <w:spacing w:after="80"/>
            </w:pPr>
            <w:r>
              <w:rPr>
                <w:sz w:val="20"/>
                <w:szCs w:val="20"/>
              </w:rPr>
              <w:t xml:space="preserve">Faire une sauvegarde juste avant l'ouverture, puis régulièrement pendant la journée (toutes les 1-2h).</w:t>
            </w:r>
          </w:p>
          <w:p>
            <w:pPr>
              <w:spacing w:after="80"/>
            </w:pPr>
            <w:r>
              <w:rPr>
                <w:sz w:val="20"/>
                <w:szCs w:val="20"/>
              </w:rPr>
              <w:t xml:space="preserve">Vérifier le fond de caisse (250.--) dans chaque caisse à l'ouverture.</w:t>
            </w:r>
          </w:p>
          <w:p>
            <w:pPr>
              <w:spacing w:after="80"/>
            </w:pPr>
            <w:r>
              <w:rPr>
                <w:sz w:val="20"/>
                <w:szCs w:val="20"/>
              </w:rPr>
              <w:t xml:space="preserve">Un briefing rapide des bénévoles caisse/accueil/remboursements avant l'ouverture — le facteur humain reste le plus grand risque du jour J, plus que l'outil lui-même.</w:t>
            </w:r>
          </w:p>
          <w:p>
            <w:pPr>
              <w:spacing w:after="40"/>
            </w:pPr>
            <w:r>
              <w:rPr>
                <w:sz w:val="20"/>
                <w:szCs w:val="20"/>
              </w:rPr>
              <w:t xml:space="preserve">Prévoir un plan B papier en cas de coupure réseau ou électrique, même bref.</w:t>
            </w:r>
          </w:p>
        </w:tc>
      </w:tr>
    </w:tbl>
    <w:p>
      <w:pPr>
        <w:spacing w:after="160"/>
      </w:pPr>
      <w:r>
        <w:t xml:space="preserve">Le reste (sécurité informatique, sauvegarde des données, prévention des doubles ventes) est déjà pris en charge par l'application — l'énergie du comité le jour J peut se concentrer sur l'accueil des vendeurs et acheteurs.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4D8" w:sz="4" w:space="4"/>
      </w:pBdr>
      <w:tabs>
        <w:tab w:val="right" w:pos="9026"/>
      </w:tabs>
      <w:spacing w:after="0"/>
    </w:pPr>
    <w:r>
      <w:rPr>
        <w:color w:val="6B7280"/>
        <w:sz w:val="16"/>
        <w:szCs w:val="16"/>
      </w:rPr>
      <w:t xml:space="preserve">Troc de la ludothèque — Ludothèque Nyon Région</w:t>
    </w:r>
    <w:r>
      <w:rPr>
        <w:color w:val="6B7280"/>
        <w:sz w:val="16"/>
        <w:szCs w:val="16"/>
      </w:rPr>
      <w:t xml:space="preserve">	Présentation comité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17" w:hanging="259"/>
      </w:pPr>
    </w:lvl>
  </w:abstractNum>
  <w:abstractNum w:abstractNumId="3" w15:restartNumberingAfterBreak="0">
    <w:multiLevelType w:val="hybridMultilevel"/>
    <w:lvl w:ilvl="0" w15:tentative="1">
      <w:start w:val="1"/>
      <w:numFmt w:val="bullet"/>
      <w:lvlText w:val="•"/>
      <w:lvlJc w:val="left"/>
      <w:pPr>
        <w:ind w:left="417" w:hanging="259"/>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e38a616886032b747812841c3ddf71d6c0e299a.png"/><Relationship Id="rId10" Type="http://schemas.openxmlformats.org/officeDocument/2006/relationships/image" Target="media/dbc00a3a448b11781600b38328701e3ec59da951.png"/><Relationship Id="rId11" Type="http://schemas.openxmlformats.org/officeDocument/2006/relationships/image" Target="media/c97843affc60e95683a0e9142f27f3f2f9c7addd.png"/><Relationship Id="rId12" Type="http://schemas.openxmlformats.org/officeDocument/2006/relationships/image" Target="media/b7368d81470c0cb9f092ed043046b17f7bbbf416.png"/><Relationship Id="rId13" Type="http://schemas.openxmlformats.org/officeDocument/2006/relationships/image" Target="media/62a1e53952eb846ebd728cf70027fdbde8cbc6c0.png"/><Relationship Id="rId14" Type="http://schemas.openxmlformats.org/officeDocument/2006/relationships/image" Target="media/aac304a00df641b20e3603dfdf1c34b1fedd4460.png"/><Relationship Id="rId15" Type="http://schemas.openxmlformats.org/officeDocument/2006/relationships/image" Target="media/48a11922a50e61fe414bf4fcdaca43c758d5a42c.png"/><Relationship Id="rId16" Type="http://schemas.openxmlformats.org/officeDocument/2006/relationships/image" Target="media/740ae7a208fcafb5c579b53de65440a671ba9155.png"/><Relationship Id="rId17" Type="http://schemas.openxmlformats.org/officeDocument/2006/relationships/image" Target="media/c4b3e94cdcd42abd667436bc513fd51115122b20.png"/><Relationship Id="rId18" Type="http://schemas.openxmlformats.org/officeDocument/2006/relationships/image" Target="media/015af6ea44cf570ac448c4263a74cd7a38983825.png"/><Relationship Id="rId19" Type="http://schemas.openxmlformats.org/officeDocument/2006/relationships/image" Target="media/e9b4d84a86e21a44b7310c11e12454c36b266bbf.png"/><Relationship Id="rId20" Type="http://schemas.openxmlformats.org/officeDocument/2006/relationships/image" Target="media/b3bcd051e83c662ab9dce6c2864d4dd70a5a0047.png"/><Relationship Id="rId21" Type="http://schemas.openxmlformats.org/officeDocument/2006/relationships/image" Target="media/1f2b3c107c8a52923e8475e59623ce0e6b22daa9.png"/><Relationship Id="rId22" Type="http://schemas.openxmlformats.org/officeDocument/2006/relationships/image" Target="media/093fd427062cc927b76fc5e6227c4a2a5e3669a0.png"/><Relationship Id="rId23" Type="http://schemas.openxmlformats.org/officeDocument/2006/relationships/image" Target="media/3852010b586cb913e86f216d8b59a6db6a435a18.png"/><Relationship Id="rId24" Type="http://schemas.openxmlformats.org/officeDocument/2006/relationships/image" Target="media/28fe3b7b031b1b8001803c01839c18dfceae797c.png"/><Relationship Id="rId25" Type="http://schemas.openxmlformats.org/officeDocument/2006/relationships/image" Target="media/1c2301367bd341903ece054ad710f5fd2d56604a.png"/><Relationship Id="rId26" Type="http://schemas.openxmlformats.org/officeDocument/2006/relationships/image" Target="media/9858582847036dadad466b1ab8ff35f6aa3c9ff1.png"/><Relationship Id="rId27" Type="http://schemas.openxmlformats.org/officeDocument/2006/relationships/image" Target="media/23b98f502f07b3be21d2f3202323740599c6c0af.png"/><Relationship Id="rId28" Type="http://schemas.openxmlformats.org/officeDocument/2006/relationships/image" Target="media/e754e8c65f1139603197319080e1e1ceb6a9a0d2.png"/><Relationship Id="rId29" Type="http://schemas.openxmlformats.org/officeDocument/2006/relationships/image" Target="media/c58878ca1b0362fd8ed97d6c02f432caad381751.png"/><Relationship Id="rId30" Type="http://schemas.openxmlformats.org/officeDocument/2006/relationships/image" Target="media/6bedbd87d8aae8daef8e7472f3f56ec51626164e.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2026-08-31T14:14:20.897Z</dcterms:created>
  <dcterms:modified xsi:type="dcterms:W3CDTF">2026-08-31T14:14:20.897Z</dcterms:modified>
</cp:coreProperties>
</file>

<file path=docProps/custom.xml><?xml version="1.0" encoding="utf-8"?>
<Properties xmlns="http://schemas.openxmlformats.org/officeDocument/2006/custom-properties" xmlns:vt="http://schemas.openxmlformats.org/officeDocument/2006/docPropsVTypes"/>
</file>