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sz w:val="72"/>
          <w:szCs w:val="72"/>
        </w:rPr>
        <w:t xml:space="preserve">🎲</w:t>
      </w:r>
    </w:p>
    <w:p>
      <w:pPr>
        <w:spacing w:after="200" w:before="300"/>
        <w:jc w:val="center"/>
      </w:pPr>
      <w:r>
        <w:rPr>
          <w:b/>
          <w:bCs/>
          <w:color w:val="1F2937"/>
          <w:sz w:val="56"/>
          <w:szCs w:val="56"/>
        </w:rPr>
        <w:t xml:space="preserve">Tenir une caisse</w:t>
      </w:r>
    </w:p>
    <w:p>
      <w:pPr>
        <w:spacing w:after="600"/>
        <w:jc w:val="center"/>
      </w:pPr>
      <w:r>
        <w:rPr>
          <w:color w:val="B45309"/>
          <w:sz w:val="28"/>
          <w:szCs w:val="28"/>
        </w:rPr>
        <w:t xml:space="preserve">Mode d'emploi — caissier·ère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Ludothèque Nyon Région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Troc de la ludothèque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Se connecter à sa caisse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la page de connexion (« /gestion ») sur l'appareil de la caisse.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Entrer le code d'accès propre à cette caisse, communiqué par le comité.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écran d'attente s'affiche : la connexion doit être approuvée par le comité (dashboard) avant de donner accès à la caisse.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fois approuvée, la caisse s'ouvre automatiquement, sans rien à refaire.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Écran de connexion — le code propre à cette caisse.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En attente que le comité approuve la connexion.</w:t>
      </w:r>
    </w:p>
    <w:tbl>
      <w:tblPr>
        <w:tblW w:type="pct" w:w="100%"/>
        <w:tblBorders>
          <w:top w:val="single" w:color="B91C1C" w:sz="6"/>
          <w:left w:val="single" w:color="B91C1C" w:sz="6"/>
          <w:bottom w:val="single" w:color="B91C1C" w:sz="6"/>
          <w:right w:val="single" w:color="B91C1C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</w:rPr>
              <w:t xml:space="preserve">🔒 Pourquoi une approbation 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Contrairement à l'accueil, une caisse ne s'ouvre jamais automatiquement sur un simple code correct : le comité doit valider chaque connexion depuis le dashboard. Cela évite qu'une caisse soit ouverte par erreur, ou par quelqu'un qui aurait deviné/intercepté un code.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937"/>
        </w:rPr>
        <w:t xml:space="preserve">Les instructions s'affichent automatiquement</w:t>
      </w:r>
    </w:p>
    <w:p>
      <w:pPr>
        <w:spacing w:after="160"/>
      </w:pPr>
      <w:r>
        <w:t xml:space="preserve">À la première connexion de la journée, un rappel des instructions s'affiche : le fond de caisse à vérifier, et la marche à suivre pour chaque client. Le bouton « Revoir les instructions » (en haut de la page) permet de les rouvrir à tout moment.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Rappel des instructions à la connexion.</w:t>
      </w:r>
    </w:p>
    <w:p>
      <w:pPr>
        <w:pStyle w:val="Heading2"/>
        <w:spacing w:after="160" w:before="320"/>
      </w:pPr>
      <w:r>
        <w:rPr>
          <w:b/>
          <w:bCs/>
          <w:color w:val="B45309"/>
        </w:rPr>
        <w:t xml:space="preserve">Fond de caisse</w:t>
      </w:r>
    </w:p>
    <w:p>
      <w:pPr>
        <w:spacing w:after="160"/>
      </w:pPr>
      <w:r>
        <w:t xml:space="preserve">Dans chaque caisse, un fond de caisse de 250.– est à vérifier dès l'ouverture :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1× 50.– , 4× 20.– , 4× 10.– , 6× 5.– , 10× 2.– , 11× 1.– , 20× 50 ct, 30× 20 ct, 30× 10 ct</w:t>
      </w:r>
    </w:p>
    <w:p>
      <w:pPr>
        <w:pStyle w:val="Heading2"/>
        <w:spacing w:after="160" w:before="320"/>
      </w:pPr>
      <w:r>
        <w:rPr>
          <w:b/>
          <w:bCs/>
          <w:color w:val="B45309"/>
        </w:rPr>
        <w:t xml:space="preserve">Pour chaque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Scanner le QR code sur l'article (ou taper son code manuellement).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l'acheteur est bénévole, cocher la case « Acheteur bénévole » pour ne pas ajouter les 10%.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Contrôler que le panier contient bien le bon nombre d'articles, et les bons.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Indiquer le montant payé, rendre le montant indiqué.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Encaisser.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Ajouter un article au panier</w:t>
      </w:r>
    </w:p>
    <w:p>
      <w:pPr>
        <w:spacing w:after="160"/>
      </w:pPr>
      <w:r>
        <w:t xml:space="preserve">Le champ en haut de la page accepte aussi bien un scan (douchette ou appareil photo sur mobile) qu'une saisie manuelle du code affiché sur l'étiquette.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Deux articles ajoutés au panier, avec le nom du vendeur et le prix (majoré de 10% pour l'acheteur).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Encaisser</w:t>
      </w:r>
    </w:p>
    <w:p>
      <w:pPr>
        <w:spacing w:after="160"/>
      </w:pPr>
      <w:r>
        <w:t xml:space="preserve">Le montant reçu du client, une fois saisi, affiche immédiatement la monnaie à rendre. Le bouton « Encaisser » n'est actif que si le panier n'est pas vide.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Montant reçu saisi : la monnaie à rendre s'affiche automatiquement.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Vente encaissée, panier vidé, prêt pour le client suivant.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Sécurité intégrée : impossible de vendre un article deux fois</w:t>
      </w:r>
    </w:p>
    <w:p>
      <w:pPr>
        <w:spacing w:after="160"/>
      </w:pPr>
      <w:r>
        <w:t xml:space="preserve">Si un article a déjà été vendu (par exemple à une autre caisse), toute tentative de le rajouter au panier est bloquée avec un message explicite — aucun risque de double-vente, même avec plusieurs caisses ouvertes en même temps.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Tentative de revendre un article déjà vendu : bloqué automatiquement.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Historique de la caisse</w:t>
      </w:r>
    </w:p>
    <w:p>
      <w:pPr>
        <w:spacing w:after="160"/>
      </w:pPr>
      <w:r>
        <w:t xml:space="preserve">Le lien « Historique » (en haut de la page) liste toutes les ventes encaissées à cette caisse, avec l'heure et le montant.</w:t>
      </w:r>
    </w:p>
    <w:p>
      <w:pPr>
        <w:spacing w:after="0" w:before="160"/>
      </w:pPr>
    </w:p>
    <w:tbl>
      <w:tblPr>
        <w:tblW w:type="dxa" w:w="9675"/>
        <w:jc w:val="center"/>
        <w:tblBorders>
          <w:top w:val="single" w:color="D4D4D8" w:sz="4"/>
          <w:left w:val="single" w:color="D4D4D8" w:sz="4"/>
          <w:bottom w:val="single" w:color="D4D4D8" w:sz="4"/>
          <w:right w:val="single" w:color="D4D4D8" w:sz="4"/>
          <w:insideH w:val="none" w:color="FFFFFF" w:sz="0"/>
          <w:insideV w:val="none" w:color="FFFFFF" w:sz="0"/>
        </w:tblBorders>
      </w:tblPr>
      <w:tblGrid>
        <w:gridCol w:w="9675"/>
      </w:tblGrid>
      <w:tr>
        <w:tc>
          <w:tcPr>
            <w:tcW w:type="dxa" w:w="9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62625" cy="432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Historique des ventes de la caisse.</w:t>
      </w:r>
    </w:p>
    <w:p>
      <w:pPr>
        <w:pStyle w:val="Heading1"/>
        <w:spacing w:after="200" w:before="400"/>
      </w:pPr>
      <w:r>
        <w:rPr>
          <w:b/>
          <w:bCs/>
          <w:color w:val="1F2937"/>
        </w:rPr>
        <w:t xml:space="preserve">Clôturer sa caisse en fin de journée</w:t>
      </w:r>
    </w:p>
    <w:p>
      <w:pPr>
        <w:spacing w:after="160"/>
      </w:pPr>
      <w:r>
        <w:t xml:space="preserve">Depuis la page de la caisse, le bouton « Clôturer ma caisse » lance la clôture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Enlever les 250.– de fond de caisse.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Compter le reste.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Indiquer le montant réel compté (sans les 250.–) dans le formulaire de clôture.</w:t>
      </w:r>
    </w:p>
    <w:tbl>
      <w:tblPr>
        <w:tblW w:type="pct" w:w="100%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0FD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💡 Écart de caisse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 montant compté est comparé automatiquement au montant théorique (ventes moins vidages en cours de journée) sur le dashboard du comité — un écart, s'il y en a un, y est visible immédiatement.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4"/>
      </w:pBdr>
      <w:tabs>
        <w:tab w:val="right" w:pos="9060"/>
      </w:tabs>
      <w:spacing w:after="0"/>
    </w:pPr>
    <w:r>
      <w:rPr>
        <w:color w:val="6B7280"/>
        <w:sz w:val="16"/>
        <w:szCs w:val="16"/>
      </w:rPr>
      <w:t xml:space="preserve">Troc de la ludothèque — Ludothèque Nyon Région</w:t>
    </w:r>
    <w:r>
      <w:rPr>
        <w:color w:val="6B7280"/>
        <w:sz w:val="16"/>
        <w:szCs w:val="16"/>
      </w:rPr>
      <w:t xml:space="preserve">	Mode d'emploi caisse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3bb1b6e8bf3589925fff69be069ac4571bc4ef.png"/><Relationship Id="rId10" Type="http://schemas.openxmlformats.org/officeDocument/2006/relationships/image" Target="media/dfcb5f2d5080abb461e90dc8b23a5ca38e54780f.png"/><Relationship Id="rId11" Type="http://schemas.openxmlformats.org/officeDocument/2006/relationships/image" Target="media/c6b2b0a3c552073455729d0f802ae08133084bac.png"/><Relationship Id="rId12" Type="http://schemas.openxmlformats.org/officeDocument/2006/relationships/image" Target="media/510078c49deb5689e6bfb9921cb478c07642497f.png"/><Relationship Id="rId13" Type="http://schemas.openxmlformats.org/officeDocument/2006/relationships/image" Target="media/64838dbfa558f5bf57e1b351ddc5e19df31a4653.png"/><Relationship Id="rId14" Type="http://schemas.openxmlformats.org/officeDocument/2006/relationships/image" Target="media/40eeb949c463210eb4ae2c1555d2a5e9874e5d59.png"/><Relationship Id="rId15" Type="http://schemas.openxmlformats.org/officeDocument/2006/relationships/image" Target="media/618f2da58d17089dc6f772be6376f52428af0664.png"/><Relationship Id="rId16" Type="http://schemas.openxmlformats.org/officeDocument/2006/relationships/image" Target="media/5c551b31a5cefa0f4e7940ddcb4f25e6eb039b0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2026-08-27T09:56:57.978Z</dcterms:created>
  <dcterms:modified xsi:type="dcterms:W3CDTF">2026-08-27T09:56:57.978Z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