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sz w:val="72"/>
          <w:szCs w:val="72"/>
        </w:rPr>
        <w:t xml:space="preserve">🎲</w:t>
      </w:r>
    </w:p>
    <w:p>
      <w:pPr>
        <w:spacing w:after="200" w:before="300"/>
        <w:jc w:val="center"/>
      </w:pPr>
      <w:r>
        <w:rPr>
          <w:b/>
          <w:bCs/>
          <w:color w:val="1F2937"/>
          <w:sz w:val="56"/>
          <w:szCs w:val="56"/>
        </w:rPr>
        <w:t xml:space="preserve">Présentation au comité</w:t>
      </w:r>
    </w:p>
    <w:p>
      <w:pPr>
        <w:spacing w:after="600"/>
        <w:jc w:val="center"/>
      </w:pPr>
      <w:r>
        <w:rPr>
          <w:color w:val="B45309"/>
          <w:sz w:val="28"/>
          <w:szCs w:val="28"/>
        </w:rPr>
        <w:t xml:space="preserve">Application « Troc de la ludothèque » — fil de démonstration</w:t>
      </w:r>
    </w:p>
    <w:p>
      <w:pPr>
        <w:spacing w:after="80"/>
        <w:jc w:val="center"/>
      </w:pPr>
      <w:r>
        <w:rPr>
          <w:color w:val="6B7280"/>
          <w:sz w:val="20"/>
          <w:szCs w:val="20"/>
        </w:rPr>
        <w:t xml:space="preserve">Ludothèque Nyon Région</w:t>
      </w:r>
    </w:p>
    <w:p>
      <w:pPr>
        <w:spacing w:after="80"/>
        <w:jc w:val="center"/>
      </w:pPr>
      <w:r>
        <w:rPr>
          <w:color w:val="6B7280"/>
          <w:sz w:val="20"/>
          <w:szCs w:val="20"/>
        </w:rPr>
        <w:t xml:space="preserve">À utiliser comme script pour la démo en direct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1F2937"/>
        </w:rPr>
        <w:t xml:space="preserve">Comment utiliser ce document</w:t>
      </w:r>
    </w:p>
    <w:p>
      <w:pPr>
        <w:spacing w:after="160"/>
      </w:pPr>
      <w:r>
        <w:t xml:space="preserve">Ce document est un script pour présenter l'application en direct au comité. Chaque section correspond à un rôle (vendeur, accueil, bénévole, caisse, comité) : le texte donne les points à dire, la capture d'écran sert de filet de sécurité si la démo en direct a un problème (réseau, imprévu). Durée indicative totale : 20-25 minutes.</w:t>
      </w:r>
    </w:p>
    <w:p>
      <w:pPr>
        <w:spacing w:after="160"/>
      </w:pPr>
      <w:r>
        <w:t xml:space="preserve">Ordre recommandé — c'est aussi l'ordre chronologique d'une vraie journée de troc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Vue d'ensemble (1 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vendeur dépose sa liste (3-4 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L'accueil réceptionne les articles (4-5 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bénévole qui vend : sa propre liste (2 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caisse encaisse une vente (4-5 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dashboard du comité (3-4 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Sécurité et points à ne pas oublier (3 min)</w:t>
      </w:r>
    </w:p>
    <w:p>
      <w:pPr>
        <w:pStyle w:val="Heading1"/>
        <w:spacing w:after="200" w:before="400"/>
      </w:pPr>
      <w:r>
        <w:rPr>
          <w:b/>
          <w:bCs/>
          <w:color w:val="1F2937"/>
        </w:rPr>
        <w:t xml:space="preserve">1 — Vue d'ensemble</w:t>
      </w:r>
    </w:p>
    <w:p>
      <w:pPr>
        <w:spacing w:after="160"/>
      </w:pPr>
      <w:r>
        <w:t xml:space="preserve">Quatre types d'utilisateurs, une seule application, accessible depuis n'importe quel téléphone ou ordinateur avec un navigateur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Le vendeur</w:t>
      </w:r>
      <w:r>
        <w:t xml:space="preserve"> — dépose sa liste en ligne (ou sur place), reçoit un code et un QR.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L'accueil</w:t>
      </w:r>
      <w:r>
        <w:t xml:space="preserve"> — réceptionne les articles le jour J, contrôle, imprime les étiquettes.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La caisse</w:t>
      </w:r>
      <w:r>
        <w:t xml:space="preserve"> — encaisse les ventes, avec sécurité anti-double-vente intégrée.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Le comité (dashboard)</w:t>
      </w:r>
      <w:r>
        <w:t xml:space="preserve"> — pilote la journée : phases, caisses, sauvegardes, codes d'accès.</w:t>
      </w:r>
    </w:p>
    <w:p>
      <w:pPr>
        <w:spacing w:after="160"/>
      </w:pPr>
      <w:r>
        <w:t xml:space="preserve">Et un cas particulier : les bénévoles peuvent eux-mêmes être vendeurs, avec un accès dédié à leur propre liste.</w:t>
      </w:r>
    </w:p>
    <w:p>
      <w:pPr>
        <w:pStyle w:val="Heading1"/>
        <w:spacing w:after="200" w:before="400"/>
      </w:pPr>
      <w:r>
        <w:rPr>
          <w:b/>
          <w:bCs/>
          <w:color w:val="1F2937"/>
        </w:rPr>
        <w:t xml:space="preserve">2 — Le vendeur dépose sa liste</w:t>
      </w:r>
    </w:p>
    <w:p>
      <w:pPr>
        <w:spacing w:after="160"/>
      </w:pPr>
      <w:r>
        <w:t xml:space="preserve">« Montrons ce que voit un vendeur qui dépose sa liste depuis chez lui. »</w:t>
      </w:r>
    </w:p>
    <w:p>
      <w:pPr>
        <w:spacing w:after="0" w:before="160"/>
      </w:pPr>
    </w:p>
    <w:tbl>
      <w:tblPr>
        <w:tblW w:type="dxa" w:w="9675"/>
        <w:jc w:val="center"/>
        <w:tblBorders>
          <w:top w:val="single" w:color="D4D4D8" w:sz="4"/>
          <w:left w:val="single" w:color="D4D4D8" w:sz="4"/>
          <w:bottom w:val="single" w:color="D4D4D8" w:sz="4"/>
          <w:right w:val="single" w:color="D4D4D8" w:sz="4"/>
          <w:insideH w:val="none" w:color="FFFFFF" w:sz="0"/>
          <w:insideV w:val="none" w:color="FFFFFF" w:sz="0"/>
        </w:tblBorders>
      </w:tblPr>
      <w:tblGrid>
        <w:gridCol w:w="9675"/>
      </w:tblGrid>
      <w:tr>
        <w:tc>
          <w:tcPr>
            <w:tcW w:type="dxa" w:w="9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62625" cy="432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Le formulaire public de dépôt.</w:t>
      </w:r>
    </w:p>
    <w:p>
      <w:pPr>
        <w:spacing w:after="160"/>
      </w:pPr>
      <w:r>
        <w:t xml:space="preserve">Sécurités à montrer en direct 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 nom de moins de 3 caractères est refusé immédiatement.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 numéro de téléphone fixe est refusé — seul un vrai numéro de portable (suisse ou français) est accepté, pour être sûr de pouvoir joindre le vendeur.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Deux articles au même nom déclenchent un avertissement (non bloquant) suggérant d'ajouter un détail pour les distinguer.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Les conditions du troc doivent être cochées explicitement — impossible d'envoyer sans.</w:t>
      </w:r>
    </w:p>
    <w:p>
      <w:pPr>
        <w:spacing w:after="0" w:before="160"/>
      </w:pPr>
    </w:p>
    <w:tbl>
      <w:tblPr>
        <w:tblW w:type="dxa" w:w="9675"/>
        <w:jc w:val="center"/>
        <w:tblBorders>
          <w:top w:val="single" w:color="D4D4D8" w:sz="4"/>
          <w:left w:val="single" w:color="D4D4D8" w:sz="4"/>
          <w:bottom w:val="single" w:color="D4D4D8" w:sz="4"/>
          <w:right w:val="single" w:color="D4D4D8" w:sz="4"/>
          <w:insideH w:val="none" w:color="FFFFFF" w:sz="0"/>
          <w:insideV w:val="none" w:color="FFFFFF" w:sz="0"/>
        </w:tblBorders>
      </w:tblPr>
      <w:tblGrid>
        <w:gridCol w:w="9675"/>
      </w:tblGrid>
      <w:tr>
        <w:tc>
          <w:tcPr>
            <w:tcW w:type="dxa" w:w="9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62625" cy="432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Avertissement de doublon d'article (non bloquant).</w:t>
      </w:r>
    </w:p>
    <w:p>
      <w:pPr>
        <w:spacing w:after="160"/>
      </w:pPr>
      <w:r>
        <w:t xml:space="preserve">« On soumet la liste : numéro de vendeur, code et QR sont générés immédiatement. »</w:t>
      </w:r>
    </w:p>
    <w:p>
      <w:pPr>
        <w:spacing w:after="0" w:before="160"/>
      </w:pPr>
    </w:p>
    <w:tbl>
      <w:tblPr>
        <w:tblW w:type="dxa" w:w="9675"/>
        <w:jc w:val="center"/>
        <w:tblBorders>
          <w:top w:val="single" w:color="D4D4D8" w:sz="4"/>
          <w:left w:val="single" w:color="D4D4D8" w:sz="4"/>
          <w:bottom w:val="single" w:color="D4D4D8" w:sz="4"/>
          <w:right w:val="single" w:color="D4D4D8" w:sz="4"/>
          <w:insideH w:val="none" w:color="FFFFFF" w:sz="0"/>
          <w:insideV w:val="none" w:color="FFFFFF" w:sz="0"/>
        </w:tblBorders>
      </w:tblPr>
      <w:tblGrid>
        <w:gridCol w:w="9675"/>
      </w:tblGrid>
      <w:tr>
        <w:tc>
          <w:tcPr>
            <w:tcW w:type="dxa" w:w="9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62625" cy="432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Confirmation avec QR code — à présenter au dépôt.</w:t>
      </w:r>
    </w:p>
    <w:p>
      <w:pPr>
        <w:spacing w:after="160"/>
      </w:pPr>
      <w:r>
        <w:t xml:space="preserve">« Si un email a été renseigné, la confirmation part aussi par email, avec le QR en pièce jointe et un lien pour modifier la liste jusqu'à la veille du dépôt. »</w:t>
      </w:r>
    </w:p>
    <w:p>
      <w:pPr>
        <w:spacing w:after="0" w:before="160"/>
      </w:pPr>
    </w:p>
    <w:tbl>
      <w:tblPr>
        <w:tblW w:type="dxa" w:w="9675"/>
        <w:jc w:val="center"/>
        <w:tblBorders>
          <w:top w:val="single" w:color="D4D4D8" w:sz="4"/>
          <w:left w:val="single" w:color="D4D4D8" w:sz="4"/>
          <w:bottom w:val="single" w:color="D4D4D8" w:sz="4"/>
          <w:right w:val="single" w:color="D4D4D8" w:sz="4"/>
          <w:insideH w:val="none" w:color="FFFFFF" w:sz="0"/>
          <w:insideV w:val="none" w:color="FFFFFF" w:sz="0"/>
        </w:tblBorders>
      </w:tblPr>
      <w:tblGrid>
        <w:gridCol w:w="9675"/>
      </w:tblGrid>
      <w:tr>
        <w:tc>
          <w:tcPr>
            <w:tcW w:type="dxa" w:w="9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62625" cy="5438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543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Email de confirmation reçu par le vendeur.</w:t>
      </w:r>
    </w:p>
    <w:p>
      <w:pPr>
        <w:pStyle w:val="Heading1"/>
        <w:spacing w:after="200" w:before="400"/>
      </w:pPr>
      <w:r>
        <w:rPr>
          <w:b/>
          <w:bCs/>
          <w:color w:val="1F2937"/>
        </w:rPr>
        <w:t xml:space="preserve">3 — L'accueil réceptionne les articles</w:t>
      </w:r>
    </w:p>
    <w:p>
      <w:pPr>
        <w:spacing w:after="160"/>
      </w:pPr>
      <w:r>
        <w:t xml:space="preserve">« Côté accueil, le jour du dépôt : connexion avec le code communiqué par le comité. »</w:t>
      </w:r>
    </w:p>
    <w:p>
      <w:pPr>
        <w:spacing w:after="0" w:before="160"/>
      </w:pPr>
    </w:p>
    <w:tbl>
      <w:tblPr>
        <w:tblW w:type="dxa" w:w="9675"/>
        <w:jc w:val="center"/>
        <w:tblBorders>
          <w:top w:val="single" w:color="D4D4D8" w:sz="4"/>
          <w:left w:val="single" w:color="D4D4D8" w:sz="4"/>
          <w:bottom w:val="single" w:color="D4D4D8" w:sz="4"/>
          <w:right w:val="single" w:color="D4D4D8" w:sz="4"/>
          <w:insideH w:val="none" w:color="FFFFFF" w:sz="0"/>
          <w:insideV w:val="none" w:color="FFFFFF" w:sz="0"/>
        </w:tblBorders>
      </w:tblPr>
      <w:tblGrid>
        <w:gridCol w:w="9675"/>
      </w:tblGrid>
      <w:tr>
        <w:tc>
          <w:tcPr>
            <w:tcW w:type="dxa" w:w="9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62625" cy="432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Page d'accueil : recherche par nom, code, ou scan du QR.</w:t>
      </w:r>
    </w:p>
    <w:tbl>
      <w:tblPr>
        <w:tblW w:type="pct" w:w="100%"/>
        <w:tblBorders>
          <w:top w:val="single" w:color="16A34A" w:sz="6"/>
          <w:left w:val="single" w:color="16A34A" w:sz="6"/>
          <w:bottom w:val="single" w:color="16A34A" w:sz="6"/>
          <w:right w:val="single" w:color="16A34A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0FD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5803D"/>
              </w:rPr>
              <w:t xml:space="preserve">💡 À dire au comité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Les étiquettes des vendeurs ayant déjà déposé en ligne peuvent être préparées à l'avance et réparties sur une table par initiale du nom — le bénévole à l'accueil retrouve la bonne feuille en un coup d'œil dès que le vendeur se présente, sans faire attendre la file.</w:t>
            </w:r>
          </w:p>
        </w:tc>
      </w:tr>
    </w:tbl>
    <w:p>
      <w:pPr>
        <w:spacing w:after="160"/>
      </w:pPr>
      <w:r>
        <w:t xml:space="preserve">« On retrouve la liste, on accepte ou refuse chaque article avec le vendeur en face. »</w:t>
      </w:r>
    </w:p>
    <w:p>
      <w:pPr>
        <w:spacing w:after="0" w:before="160"/>
      </w:pPr>
    </w:p>
    <w:tbl>
      <w:tblPr>
        <w:tblW w:type="dxa" w:w="9675"/>
        <w:jc w:val="center"/>
        <w:tblBorders>
          <w:top w:val="single" w:color="D4D4D8" w:sz="4"/>
          <w:left w:val="single" w:color="D4D4D8" w:sz="4"/>
          <w:bottom w:val="single" w:color="D4D4D8" w:sz="4"/>
          <w:right w:val="single" w:color="D4D4D8" w:sz="4"/>
          <w:insideH w:val="none" w:color="FFFFFF" w:sz="0"/>
          <w:insideV w:val="none" w:color="FFFFFF" w:sz="0"/>
        </w:tblBorders>
      </w:tblPr>
      <w:tblGrid>
        <w:gridCol w:w="9675"/>
      </w:tblGrid>
      <w:tr>
        <w:tc>
          <w:tcPr>
            <w:tcW w:type="dxa" w:w="9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62625" cy="432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Liste contrôlée : articles acceptés/refusés, bouton Terminer.</w:t>
      </w:r>
    </w:p>
    <w:p>
      <w:pPr>
        <w:spacing w:after="160"/>
      </w:pPr>
      <w:r>
        <w:t xml:space="preserve">« Puis on imprime les étiquettes — QR code, prix, numéro de vendeur, prêtes à coller sur chaque objet. »</w:t>
      </w:r>
    </w:p>
    <w:p>
      <w:pPr>
        <w:spacing w:after="0" w:before="160"/>
      </w:pPr>
    </w:p>
    <w:tbl>
      <w:tblPr>
        <w:tblW w:type="dxa" w:w="9675"/>
        <w:jc w:val="center"/>
        <w:tblBorders>
          <w:top w:val="single" w:color="D4D4D8" w:sz="4"/>
          <w:left w:val="single" w:color="D4D4D8" w:sz="4"/>
          <w:bottom w:val="single" w:color="D4D4D8" w:sz="4"/>
          <w:right w:val="single" w:color="D4D4D8" w:sz="4"/>
          <w:insideH w:val="none" w:color="FFFFFF" w:sz="0"/>
          <w:insideV w:val="none" w:color="FFFFFF" w:sz="0"/>
        </w:tblBorders>
      </w:tblPr>
      <w:tblGrid>
        <w:gridCol w:w="9675"/>
      </w:tblGrid>
      <w:tr>
        <w:tc>
          <w:tcPr>
            <w:tcW w:type="dxa" w:w="9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62625" cy="432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Planche d'étiquettes générée automatiquement.</w:t>
      </w:r>
    </w:p>
    <w:p>
      <w:pPr>
        <w:spacing w:after="160"/>
      </w:pPr>
      <w:r>
        <w:t xml:space="preserve">« Et si quelqu'un arrive sans avoir rien déposé en ligne, on peut saisir sa liste directement sur place, à l'accueil. »</w:t>
      </w:r>
    </w:p>
    <w:p>
      <w:pPr>
        <w:pStyle w:val="Heading1"/>
        <w:spacing w:after="200" w:before="400"/>
      </w:pPr>
      <w:r>
        <w:rPr>
          <w:b/>
          <w:bCs/>
          <w:color w:val="1F2937"/>
        </w:rPr>
        <w:t xml:space="preserve">4 — Un bénévole qui vend</w:t>
      </w:r>
    </w:p>
    <w:p>
      <w:pPr>
        <w:spacing w:after="160"/>
      </w:pPr>
      <w:r>
        <w:t xml:space="preserve">« Les bénévoles peuvent eux aussi déposer des objets à la vente. Ils ont un accès dédié, avec leur numéro personnel et un mot de passe, pour suivre l'état de leur propre liste — sans passer par l'accueil à chaque fois. »</w:t>
      </w:r>
    </w:p>
    <w:p>
      <w:pPr>
        <w:spacing w:after="0" w:before="160"/>
      </w:pPr>
    </w:p>
    <w:tbl>
      <w:tblPr>
        <w:tblW w:type="dxa" w:w="9675"/>
        <w:jc w:val="center"/>
        <w:tblBorders>
          <w:top w:val="single" w:color="D4D4D8" w:sz="4"/>
          <w:left w:val="single" w:color="D4D4D8" w:sz="4"/>
          <w:bottom w:val="single" w:color="D4D4D8" w:sz="4"/>
          <w:right w:val="single" w:color="D4D4D8" w:sz="4"/>
          <w:insideH w:val="none" w:color="FFFFFF" w:sz="0"/>
          <w:insideV w:val="none" w:color="FFFFFF" w:sz="0"/>
        </w:tblBorders>
      </w:tblPr>
      <w:tblGrid>
        <w:gridCol w:w="9675"/>
      </w:tblGrid>
      <w:tr>
        <w:tc>
          <w:tcPr>
            <w:tcW w:type="dxa" w:w="9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62625" cy="432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Connexion bénévole : numéro + mot de passe.</w:t>
      </w:r>
    </w:p>
    <w:p>
      <w:pPr>
        <w:spacing w:after="0" w:before="160"/>
      </w:pPr>
    </w:p>
    <w:tbl>
      <w:tblPr>
        <w:tblW w:type="dxa" w:w="9675"/>
        <w:jc w:val="center"/>
        <w:tblBorders>
          <w:top w:val="single" w:color="D4D4D8" w:sz="4"/>
          <w:left w:val="single" w:color="D4D4D8" w:sz="4"/>
          <w:bottom w:val="single" w:color="D4D4D8" w:sz="4"/>
          <w:right w:val="single" w:color="D4D4D8" w:sz="4"/>
          <w:insideH w:val="none" w:color="FFFFFF" w:sz="0"/>
          <w:insideV w:val="none" w:color="FFFFFF" w:sz="0"/>
        </w:tblBorders>
      </w:tblPr>
      <w:tblGrid>
        <w:gridCol w:w="9675"/>
      </w:tblGrid>
      <w:tr>
        <w:tc>
          <w:tcPr>
            <w:tcW w:type="dxa" w:w="9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62625" cy="432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Un bénévole voit l'état de ses propres articles (reçu, vendu, etc.).</w:t>
      </w:r>
    </w:p>
    <w:p>
      <w:pPr>
        <w:pStyle w:val="Heading1"/>
        <w:spacing w:after="200" w:before="400"/>
      </w:pPr>
      <w:r>
        <w:rPr>
          <w:b/>
          <w:bCs/>
          <w:color w:val="1F2937"/>
        </w:rPr>
        <w:t xml:space="preserve">5 — La caisse encaisse une vente</w:t>
      </w:r>
    </w:p>
    <w:p>
      <w:pPr>
        <w:spacing w:after="160"/>
      </w:pPr>
      <w:r>
        <w:t xml:space="preserve">« Connexion à la caisse : contrairement à l'accueil, chaque connexion doit être approuvée par le comité avant de donner accès — sécurité contre une caisse ouverte par erreur. »</w:t>
      </w:r>
    </w:p>
    <w:p>
      <w:pPr>
        <w:spacing w:after="0" w:before="160"/>
      </w:pPr>
    </w:p>
    <w:tbl>
      <w:tblPr>
        <w:tblW w:type="dxa" w:w="9675"/>
        <w:jc w:val="center"/>
        <w:tblBorders>
          <w:top w:val="single" w:color="D4D4D8" w:sz="4"/>
          <w:left w:val="single" w:color="D4D4D8" w:sz="4"/>
          <w:bottom w:val="single" w:color="D4D4D8" w:sz="4"/>
          <w:right w:val="single" w:color="D4D4D8" w:sz="4"/>
          <w:insideH w:val="none" w:color="FFFFFF" w:sz="0"/>
          <w:insideV w:val="none" w:color="FFFFFF" w:sz="0"/>
        </w:tblBorders>
      </w:tblPr>
      <w:tblGrid>
        <w:gridCol w:w="9675"/>
      </w:tblGrid>
      <w:tr>
        <w:tc>
          <w:tcPr>
            <w:tcW w:type="dxa" w:w="9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62625" cy="432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Écran d'attente — le comité doit approuver la connexion.</w:t>
      </w:r>
    </w:p>
    <w:p>
      <w:pPr>
        <w:spacing w:after="160"/>
      </w:pPr>
      <w:r>
        <w:t xml:space="preserve">« Une fois connecté, les instructions s'affichent automatiquement : fond de caisse, marche à suivre. »</w:t>
      </w:r>
    </w:p>
    <w:p>
      <w:pPr>
        <w:spacing w:after="0" w:before="160"/>
      </w:pPr>
    </w:p>
    <w:tbl>
      <w:tblPr>
        <w:tblW w:type="dxa" w:w="9675"/>
        <w:jc w:val="center"/>
        <w:tblBorders>
          <w:top w:val="single" w:color="D4D4D8" w:sz="4"/>
          <w:left w:val="single" w:color="D4D4D8" w:sz="4"/>
          <w:bottom w:val="single" w:color="D4D4D8" w:sz="4"/>
          <w:right w:val="single" w:color="D4D4D8" w:sz="4"/>
          <w:insideH w:val="none" w:color="FFFFFF" w:sz="0"/>
          <w:insideV w:val="none" w:color="FFFFFF" w:sz="0"/>
        </w:tblBorders>
      </w:tblPr>
      <w:tblGrid>
        <w:gridCol w:w="9675"/>
      </w:tblGrid>
      <w:tr>
        <w:tc>
          <w:tcPr>
            <w:tcW w:type="dxa" w:w="9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62625" cy="432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Rappel automatique des instructions à la connexion.</w:t>
      </w:r>
    </w:p>
    <w:p>
      <w:pPr>
        <w:spacing w:after="160"/>
      </w:pPr>
      <w:r>
        <w:t xml:space="preserve">« On scanne un article, puis un deuxième — le prix affiché inclut déjà la majoration de 10% pour l'acheteur. »</w:t>
      </w:r>
    </w:p>
    <w:p>
      <w:pPr>
        <w:spacing w:after="0" w:before="160"/>
      </w:pPr>
    </w:p>
    <w:tbl>
      <w:tblPr>
        <w:tblW w:type="dxa" w:w="9675"/>
        <w:jc w:val="center"/>
        <w:tblBorders>
          <w:top w:val="single" w:color="D4D4D8" w:sz="4"/>
          <w:left w:val="single" w:color="D4D4D8" w:sz="4"/>
          <w:bottom w:val="single" w:color="D4D4D8" w:sz="4"/>
          <w:right w:val="single" w:color="D4D4D8" w:sz="4"/>
          <w:insideH w:val="none" w:color="FFFFFF" w:sz="0"/>
          <w:insideV w:val="none" w:color="FFFFFF" w:sz="0"/>
        </w:tblBorders>
      </w:tblPr>
      <w:tblGrid>
        <w:gridCol w:w="9675"/>
      </w:tblGrid>
      <w:tr>
        <w:tc>
          <w:tcPr>
            <w:tcW w:type="dxa" w:w="9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62625" cy="432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Panier avec deux articles scannés.</w:t>
      </w:r>
    </w:p>
    <w:p>
      <w:pPr>
        <w:spacing w:after="160"/>
      </w:pPr>
      <w:r>
        <w:t xml:space="preserve">« LA sécurité à montrer absolument : on essaie de scanner un article déjà vendu. »</w:t>
      </w:r>
    </w:p>
    <w:p>
      <w:pPr>
        <w:spacing w:after="0" w:before="160"/>
      </w:pPr>
    </w:p>
    <w:tbl>
      <w:tblPr>
        <w:tblW w:type="dxa" w:w="9675"/>
        <w:jc w:val="center"/>
        <w:tblBorders>
          <w:top w:val="single" w:color="D4D4D8" w:sz="4"/>
          <w:left w:val="single" w:color="D4D4D8" w:sz="4"/>
          <w:bottom w:val="single" w:color="D4D4D8" w:sz="4"/>
          <w:right w:val="single" w:color="D4D4D8" w:sz="4"/>
          <w:insideH w:val="none" w:color="FFFFFF" w:sz="0"/>
          <w:insideV w:val="none" w:color="FFFFFF" w:sz="0"/>
        </w:tblBorders>
      </w:tblPr>
      <w:tblGrid>
        <w:gridCol w:w="9675"/>
      </w:tblGrid>
      <w:tr>
        <w:tc>
          <w:tcPr>
            <w:tcW w:type="dxa" w:w="9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62625" cy="432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Article déjà vendu : ajout bloqué, message explicite — impossible même avec plusieurs caisses ouvertes en même temps.</w:t>
      </w:r>
    </w:p>
    <w:p>
      <w:pPr>
        <w:pStyle w:val="Heading1"/>
        <w:spacing w:after="200" w:before="400"/>
      </w:pPr>
      <w:r>
        <w:rPr>
          <w:b/>
          <w:bCs/>
          <w:color w:val="1F2937"/>
        </w:rPr>
        <w:t xml:space="preserve">6 — Le dashboard du comité</w:t>
      </w:r>
    </w:p>
    <w:p>
      <w:pPr>
        <w:spacing w:after="160"/>
      </w:pPr>
      <w:r>
        <w:t xml:space="preserve">« Le comité pilote toute la journée depuis une seule page : ventes en direct, bénéfice, état de chaque caisse. »</w:t>
      </w:r>
    </w:p>
    <w:p>
      <w:pPr>
        <w:spacing w:after="0" w:before="160"/>
      </w:pPr>
    </w:p>
    <w:tbl>
      <w:tblPr>
        <w:tblW w:type="dxa" w:w="8370"/>
        <w:jc w:val="center"/>
        <w:tblBorders>
          <w:top w:val="single" w:color="D4D4D8" w:sz="4"/>
          <w:left w:val="single" w:color="D4D4D8" w:sz="4"/>
          <w:bottom w:val="single" w:color="D4D4D8" w:sz="4"/>
          <w:right w:val="single" w:color="D4D4D8" w:sz="4"/>
          <w:insideH w:val="none" w:color="FFFFFF" w:sz="0"/>
          <w:insideV w:val="none" w:color="FFFFFF" w:sz="0"/>
        </w:tblBorders>
      </w:tblPr>
      <w:tblGrid>
        <w:gridCol w:w="8370"/>
      </w:tblGrid>
      <w:tr>
        <w:tc>
          <w:tcPr>
            <w:tcW w:type="dxa" w:w="837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933950" cy="7496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3950" cy="749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Dashboard : vue d'ensemble, caisses connectées, et l'alerte visuelle ci-dessous.</w:t>
      </w:r>
    </w:p>
    <w:p>
      <w:pPr>
        <w:spacing w:after="160"/>
      </w:pPr>
      <w:r>
        <w:t xml:space="preserve">« La tuile d'une caisse clignote en rouge dès que le cash en caisse dépasse 2000.– — signal qu'il est temps d'aller la vider, pour limiter les espèces qui s'accumulent sur place. »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Bouton « Vider » sur chaque caisse : enregistre un retrait (montant + qui l'a fait), et fait redescendre le compteur.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Bouton « Télécharger une sauvegarde » : instantané complet de la base, à faire régulièrement pendant la journée.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Verrouillage/déverrouillage du site public, date d'ouverture avec compte à rebours.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Codes d'accès de chaque caisse, de l'accueil et du dashboard, modifiables directement ici.</w:t>
      </w:r>
    </w:p>
    <w:p>
      <w:pPr>
        <w:pStyle w:val="Heading1"/>
        <w:spacing w:after="200" w:before="400"/>
      </w:pPr>
      <w:r>
        <w:rPr>
          <w:b/>
          <w:bCs/>
          <w:color w:val="1F2937"/>
        </w:rPr>
        <w:t xml:space="preserve">7 — Sécurité : ce qui est déjà en place</w:t>
      </w:r>
    </w:p>
    <w:p>
      <w:pPr>
        <w:spacing w:after="160"/>
      </w:pPr>
      <w:r>
        <w:t xml:space="preserve">Un audit de sécurité complet a été fait sur l'application. Points à mentionner si le sujet vient en discussion 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 site public reste verrouillé tant qu'aucune édition n'est active (ou pas déverrouillé manuellement pour une démo/un test).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Blocage automatique après 5 tentatives de connexion échouées en moins d'une minute sur les codes d'accès, avec alerte email envoyée à l'admin.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Mots de passe des bénévoles chiffrés, jamais stockés en clair.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Cookies de session sécurisés, en-têtes de sécurité HTTP (protection contre le détournement de page, l'injection de scripts).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Toutes les requêtes vers la base de données sont protégées contre les injections SQL.</w:t>
      </w:r>
    </w:p>
    <w:p>
      <w:pPr>
        <w:pStyle w:val="Heading1"/>
        <w:spacing w:after="200" w:before="400"/>
      </w:pPr>
      <w:r>
        <w:rPr>
          <w:b/>
          <w:bCs/>
          <w:color w:val="1F2937"/>
        </w:rPr>
        <w:t xml:space="preserve">8 — Points à ne pas oublier avant l'événement réel</w:t>
      </w:r>
    </w:p>
    <w:tbl>
      <w:tblPr>
        <w:tblW w:type="pct" w:w="100%"/>
        <w:tblBorders>
          <w:top w:val="single" w:color="B91C1C" w:sz="6"/>
          <w:left w:val="single" w:color="B91C1C" w:sz="6"/>
          <w:bottom w:val="single" w:color="B91C1C" w:sz="6"/>
          <w:right w:val="single" w:color="B91C1C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2F2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B91C1C"/>
              </w:rPr>
              <w:t xml:space="preserve">🔒 Checklist avant l'ouverture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Changer le code d'accueil (et les autres codes) — les valeurs actuelles sont des codes de test.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Faire une sauvegarde juste avant l'ouverture, puis régulièrement pendant la journée (toutes les 1-2h).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Vérifier le fond de caisse (250.–) dans chaque caisse à l'ouverture.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Un briefing rapide des bénévoles caisse/accueil avant l'ouverture — le facteur humain reste le plus grand risque du jour J, plus que l'outil lui-même.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Prévoir un plan B papier en cas de coupure réseau ou électrique, même bref.</w:t>
            </w:r>
          </w:p>
        </w:tc>
      </w:tr>
    </w:tbl>
    <w:p>
      <w:pPr>
        <w:spacing w:after="160"/>
      </w:pPr>
      <w:r>
        <w:t xml:space="preserve">Le reste (sécurité informatique, sauvegarde des données, prévention des doubles ventes) est déjà pris en charge par l'application — l'énergie du comité le jour J peut se concentrer sur l'accueil des vendeurs et acheteurs.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4D8" w:sz="4"/>
      </w:pBdr>
      <w:tabs>
        <w:tab w:val="right" w:pos="9060"/>
      </w:tabs>
      <w:spacing w:after="0"/>
    </w:pPr>
    <w:r>
      <w:rPr>
        <w:color w:val="6B7280"/>
        <w:sz w:val="16"/>
        <w:szCs w:val="16"/>
      </w:rPr>
      <w:t xml:space="preserve">Troc de la ludothèque — Ludothèque Nyon Région</w:t>
    </w:r>
    <w:r>
      <w:rPr>
        <w:color w:val="6B7280"/>
        <w:sz w:val="16"/>
        <w:szCs w:val="16"/>
      </w:rPr>
      <w:t xml:space="preserve">	Présentation comité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82f731043cf2ea4176934708c78de95add95629.png"/><Relationship Id="rId10" Type="http://schemas.openxmlformats.org/officeDocument/2006/relationships/image" Target="media/48454ff76b5b1d1693f9c6da4b3c3c131dadc1d0.png"/><Relationship Id="rId11" Type="http://schemas.openxmlformats.org/officeDocument/2006/relationships/image" Target="media/a547bcc1620e10c4f8d828b35d7a3b4b51c7277a.png"/><Relationship Id="rId12" Type="http://schemas.openxmlformats.org/officeDocument/2006/relationships/image" Target="media/935b3c5d29161890124c086a920394500ca4a249.png"/><Relationship Id="rId13" Type="http://schemas.openxmlformats.org/officeDocument/2006/relationships/image" Target="media/d2f4371e97d46a8ed59ba58b1e6960535248e642.png"/><Relationship Id="rId14" Type="http://schemas.openxmlformats.org/officeDocument/2006/relationships/image" Target="media/eb7d75089001e08c9aa32781bbea76849cafc99d.png"/><Relationship Id="rId15" Type="http://schemas.openxmlformats.org/officeDocument/2006/relationships/image" Target="media/48fd65645b7a3611a5364886e80e5d33edc34b61.png"/><Relationship Id="rId16" Type="http://schemas.openxmlformats.org/officeDocument/2006/relationships/image" Target="media/e9f2a7c6a9b74888e43c2d6bbbe0ec2c522b8850.png"/><Relationship Id="rId17" Type="http://schemas.openxmlformats.org/officeDocument/2006/relationships/image" Target="media/545ae201a1ef8acea6c75fccb3bcbb549ba5f4ce.png"/><Relationship Id="rId18" Type="http://schemas.openxmlformats.org/officeDocument/2006/relationships/image" Target="media/dfcb5f2d5080abb461e90dc8b23a5ca38e54780f.png"/><Relationship Id="rId19" Type="http://schemas.openxmlformats.org/officeDocument/2006/relationships/image" Target="media/c6b2b0a3c552073455729d0f802ae08133084bac.png"/><Relationship Id="rId20" Type="http://schemas.openxmlformats.org/officeDocument/2006/relationships/image" Target="media/510078c49deb5689e6bfb9921cb478c07642497f.png"/><Relationship Id="rId21" Type="http://schemas.openxmlformats.org/officeDocument/2006/relationships/image" Target="media/618f2da58d17089dc6f772be6376f52428af0664.png"/><Relationship Id="rId22" Type="http://schemas.openxmlformats.org/officeDocument/2006/relationships/image" Target="media/cd45b39492a7928ecf0b09445b4b79ea00ce0a64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2026-08-27T09:57:51.564Z</dcterms:created>
  <dcterms:modified xsi:type="dcterms:W3CDTF">2026-08-27T09:57:51.564Z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