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Rättsutredning: skadeståndsansvar vid offentlig upphandling.</w:t>
      </w:r>
    </w:p>
    <w:p w14:paraId="00000002">
      <w:pPr>
        <w:rPr/>
      </w:pPr>
      <w:r>
        <w:rPr/>
        <w:t xml:space="preserve">Frågan om en upphandlande myndighets skadeståndsansvar regleras främst i lagen (2016:1145) om offentlig upphandling. Av 20 kap. framgår förutsättningarna för ogiltighet och skadestånd.</w:t>
      </w:r>
    </w:p>
    <w:p w14:paraId="00000003">
      <w:pPr>
        <w:rPr/>
      </w:pPr>
      <w:r>
        <w:rPr/>
        <w:t xml:space="preserve">Källor som ligger till grund för utredningen:</w:t>
      </w:r>
    </w:p>
    <w:p w14:paraId="00000004">
      <w:pPr>
        <w:rPr/>
      </w:pPr>
      <w:r>
        <w:rPr/>
        <w:t xml:space="preserve">1. Lag (2016:1145) om offentlig upphandling. 2. Prop. 2015/16:195 Nytt regelverk om upphandling. 3. NJA 2013 s. 762. 4. NJA 2016 s. 358. 5. RÅ 2009 ref. 69. 6. EU-direktiv 2014/24/EU om offentlig upphandling. 7. Sundstrand, Andrea, Offentlig upphandling — en introduktion, 3 uppl., Studentlitteratur 2019. 8. Asplund m.fl., Överprövning av upphandling, Jure 2012. 9. HFD 2018 ref. 28. 10. Kammarrätten i Stockholm, mål nr 1425-20.</w:t>
      </w:r>
    </w:p>
    <w:p w14:paraId="00000005">
      <w:pPr>
        <w:rPr/>
      </w:pPr>
      <w:r>
        <w:rPr/>
        <w:t xml:space="preserve">Sammantaget talar rättskällorna för att skadestånd förutsätter att överträdelsen av upphandlingsreglerna varit klar och att ett orsakssamband mellan felet och skadan kan styrkas.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