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Avtal om upplåtelse av bostadsrätt.</w:t>
      </w:r>
    </w:p>
    <w:p w14:paraId="00000002">
      <w:pPr>
        <w:rPr/>
      </w:pPr>
      <w:r>
        <w:rPr/>
        <w:t xml:space="preserve">Säljaren överlåter härmed till köparen bostadsrätten till lägenheten nummer 142 i bostadsrättsföreningen Eken i Uppsala. Överlåtelsen sker mot en köpeskilling om 2 950 000 kronor.</w:t>
      </w:r>
    </w:p>
    <w:p w14:paraId="00000003">
      <w:pPr>
        <w:rPr/>
      </w:pPr>
      <w:r>
        <w:rPr/>
        <w:t xml:space="preserve">Tillträde sker den 1 september 2026. Köparen svarar från tillträdesdagen för samtliga avgifter till föreningen. Säljaren garanterar att lägenheten på tillträdesdagen inte belastas av andra skulder än de som framgår av föreningens lägenhetsförteckning.</w:t>
      </w:r>
    </w:p>
    <w:p w14:paraId="00000004">
      <w:pPr>
        <w:rPr/>
      </w:pPr>
      <w:r>
        <w:rPr/>
        <w:t xml:space="preserve">Tvist med anledning av detta avtal ska i första hand lösas genom förhandling mellan parterna. Om enighet inte kan nås avgörs tvisten av allmän domstol med tingsrätten som första instans.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