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pPr>
      <w:r>
        <w:rPr/>
        <w:t xml:space="preserve">Mutual Non-Disclosure Agreement.</w:t>
      </w:r>
    </w:p>
    <w:p w14:paraId="00000002">
      <w:pPr>
        <w:rPr/>
      </w:pPr>
      <w:r>
        <w:rPr/>
        <w:t xml:space="preserve">This Agreement is entered into between the Disclosing Party and the Receiving Party for the purpose of preventing the unauthorised disclosure of Confidential Information. The parties agree to enter into a confidential relationship concerning the disclosure of certain proprietary and confidential information.</w:t>
      </w:r>
    </w:p>
    <w:p w14:paraId="00000003">
      <w:pPr>
        <w:rPr/>
      </w:pPr>
      <w:r>
        <w:rPr/>
        <w:t xml:space="preserve">The Receiving Party shall hold and maintain the Confidential Information in strictest confidence for the sole and exclusive benefit of the Disclosing Party. The Receiving Party shall not, without prior written approval, use the Confidential Information for any purpose except to evaluate the potential business relationship between the parties.</w:t>
      </w:r>
    </w:p>
    <w:p w14:paraId="00000004">
      <w:pPr>
        <w:rPr/>
      </w:pPr>
      <w:r>
        <w:rPr/>
        <w:t xml:space="preserve">This Agreement shall remain in effect for a period of three years from the date of execution. Any dispute arising out of this Agreement shall be governed by the laws of Sweden.</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