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Utdrag ur doktrin om skadestånds- och avtalsrätt.</w:t>
      </w:r>
    </w:p>
    <w:p w14:paraId="00000002">
      <w:pPr>
        <w:rPr/>
      </w:pPr>
      <w:r>
        <w:rPr/>
        <w:t xml:space="preserve">För skadeståndsansvar i utomobligatoriska förhållanden krävs i regel culpa. Bedömningen sker genom en culpabedömning, där domstolen prövar om handlandet avvikit från en aktsamhetsnorm. Ett centralt rekvisit är adekvat kausalitet mellan handlingen och skadan.</w:t>
      </w:r>
    </w:p>
    <w:p w14:paraId="00000003">
      <w:pPr>
        <w:rPr/>
      </w:pPr>
      <w:r>
        <w:rPr/>
        <w:t xml:space="preserve">Vid subsumtionen ställs de konstaterade omständigheterna mot rekvisiten i den tillämpliga normen. Är en bestämmelse dispositiv kan parterna avtala bort den; en indispositiv (tvingande) regel kan de inte avtala bort. Jämkning innebär att ett ansvar eller ett avtalsvillkor sätts ned efter en skälighetsbedömning.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