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200" w:before="400"/>
        <w:jc w:val="center"/>
      </w:pPr>
      <w:r>
        <w:rPr>
          <w:rFonts w:ascii="Arial" w:cs="Arial" w:eastAsia="Arial" w:hAnsi="Arial"/>
          <w:b/>
          <w:bCs/>
          <w:color w:val="1F4E79"/>
          <w:sz w:val="112"/>
          <w:szCs w:val="112"/>
        </w:rPr>
        <w:t xml:space="preserve">TEGER</w:t>
      </w:r>
    </w:p>
    <w:p>
      <w:pPr>
        <w:spacing w:after="600"/>
        <w:jc w:val="center"/>
      </w:pPr>
      <w:r>
        <w:rPr>
          <w:rFonts w:ascii="Arial" w:cs="Arial" w:eastAsia="Arial" w:hAnsi="Arial"/>
          <w:color w:val="595959"/>
          <w:sz w:val="48"/>
          <w:szCs w:val="48"/>
        </w:rPr>
        <w:t xml:space="preserve">Deep Learning Transposable Element Annotator</w:t>
      </w:r>
    </w:p>
    <w:p>
      <w:pPr>
        <w:spacing w:after="800"/>
        <w:jc w:val="center"/>
      </w:pPr>
      <w:r>
        <w:rPr>
          <w:rFonts w:ascii="Arial" w:cs="Arial" w:eastAsia="Arial" w:hAnsi="Arial"/>
          <w:b/>
          <w:bCs/>
          <w:color w:val="1F4E79"/>
          <w:sz w:val="64"/>
          <w:szCs w:val="64"/>
        </w:rPr>
        <w:t xml:space="preserve">DOCUMENTO DE DESCRIPCIÓN DEL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Nombre del Software</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t xml:space="preserve">TEGER — TE Annotator</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Versión</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t xml:space="preserve">1.0</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Autor</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t xml:space="preserve">Johan S. Piña</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Afiliación</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t xml:space="preserve">Programa de Maestría en Bioinformática</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Contacto</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t xml:space="preserve">jspinad@gmail.com</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Año</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t xml:space="preserve">2025</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Licencia</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t xml:space="preserve">MIT License</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Repositorio</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t xml:space="preserve">https://github.com/johanpina/TEGER</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Lenguaje de Programación</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t xml:space="preserve">Python 3.9+</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sz w:val="22"/>
                <w:szCs w:val="22"/>
              </w:rPr>
              <w:t xml:space="preserve">Sistema Operativo</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t xml:space="preserve">Linux (Ubuntu 20.04 / 22.04)</w:t>
            </w:r>
          </w:p>
        </w:tc>
      </w:tr>
    </w:tbl>
    <w:p>
      <w:r>
        <w:br w:type="page"/>
      </w:r>
    </w:p>
    <w:p>
      <w:pPr>
        <w:pStyle w:val="Heading1"/>
      </w:pPr>
      <w:r>
        <w:t xml:space="preserve">Sección 1: Resumen Ejecutivo</w:t>
      </w:r>
    </w:p>
    <w:p>
      <w:r>
        <w:t xml:space="preserve">TEGER es una herramienta de software bioinformático desarrollada para la detección y anotación automática de Elementos Transponibles (TEs) en secuencias de ADN genómico sin procesar. El software aplica una arquitectura híbrida de aprendizaje profundo de vanguardia para abordar uno de los desafíos fundamentales en la genómica comparativa y funcional: la identificación precisa y de alto rendimiento de elementos repetitivos que constituyen una gran fracción de la mayoría de los genomas eucariotas.</w:t>
      </w:r>
    </w:p>
    <w:p>
      <w:r>
        <w:t xml:space="preserve">TEGER acepta ensamblados de genomas en formato FASTA como entrada y produce archivos de anotación GFF3 estándar como salida, junto con librerías FASTA de secuencias candidatas de TEs que pueden utilizarse en análisis posteriores como enmascaramiento de repeticiones, filogenómica y estudios de dinámica de TEs.</w:t>
      </w:r>
    </w:p>
    <w:p>
      <w:pPr>
        <w:spacing w:after="240"/>
      </w:pPr>
      <w:r>
        <w:t xml:space="preserve">TEGER está diseñado para operar en entornos de servidores multi-GPU y es capaz de procesar genomas eucariotas grandes (&gt;1 Gbp) mediante una estrategia de fragmentación paralela y eficiente en memoria.</w:t>
      </w:r>
    </w:p>
    <w:p>
      <w:pPr>
        <w:pStyle w:val="Heading1"/>
      </w:pPr>
      <w:r>
        <w:t xml:space="preserve">Sección 2: Antecedentes Científicos y Motivación</w:t>
      </w:r>
    </w:p>
    <w:p>
      <w:pPr>
        <w:pStyle w:val="Heading2"/>
      </w:pPr>
      <w:r>
        <w:t xml:space="preserve">2.1 Elementos Transponibles en Genomas Eucariotas</w:t>
      </w:r>
    </w:p>
    <w:p>
      <w:r>
        <w:t xml:space="preserve">Los Elementos Transponibles son secuencias de ADN móviles que pueden replicarse e insertarse en nuevas posiciones dentro de un genoma. Representan un componente importante de los genomas eucariotas, constituyendo aproximadamente el 45% del genoma humano, más del 85% del genoma del maíz, y una fracción sustancial de la mayoría de los genomas de plantas y animales. Los TEs desempeñan roles críticos en la evolución del genoma, la regulación génica, la organización de la cromatina y la especiación.</w:t>
      </w:r>
    </w:p>
    <w:p>
      <w:pPr>
        <w:spacing w:after="240"/>
      </w:pPr>
      <w:r>
        <w:t xml:space="preserve">La identificación y clasificación precisa de los TEs es un paso esencial en los pipelines de anotación de genomas, estudios de dinámica de TEs y la construcción de librerías de TEs para herramientas de enmascaramiento de repeticiones como RepeatMasker.</w:t>
      </w:r>
    </w:p>
    <w:p>
      <w:pPr>
        <w:pStyle w:val="Heading2"/>
      </w:pPr>
      <w:r>
        <w:t xml:space="preserve">2.2 Limitaciones de los Enfoques Existentes</w:t>
      </w:r>
    </w:p>
    <w:p>
      <w:r>
        <w:t xml:space="preserve">Los métodos tradicionales de anotación de TEs (RepeatMasker, RepeatModeler, EDTA) se basan en búsquedas de homología contra bases de datos curadas o modelos computacionales de novo. Estos enfoques tienen varias limitaciones:</w:t>
      </w:r>
    </w:p>
    <w:p>
      <w:pPr>
        <w:pStyle w:val="ListParagraph"/>
        <w:numPr>
          <w:ilvl w:val="0"/>
          <w:numId w:val="2"/>
        </w:numPr>
      </w:pPr>
      <w:r>
        <w:t xml:space="preserve">Alta dependencia de bases de datos curadas existentes, que están incompletas para organismos no modelo.</w:t>
      </w:r>
    </w:p>
    <w:p>
      <w:pPr>
        <w:pStyle w:val="ListParagraph"/>
        <w:numPr>
          <w:ilvl w:val="0"/>
          <w:numId w:val="2"/>
        </w:numPr>
      </w:pPr>
      <w:r>
        <w:t xml:space="preserve">Dificultad para anotar familias de TEs divergentes o novedosas con baja conservación de secuencia.</w:t>
      </w:r>
    </w:p>
    <w:p>
      <w:pPr>
        <w:pStyle w:val="ListParagraph"/>
        <w:numPr>
          <w:ilvl w:val="0"/>
          <w:numId w:val="2"/>
        </w:numPr>
      </w:pPr>
      <w:r>
        <w:t xml:space="preserve">Desafíos de escalabilidad computacional para genomas muy grandes sin aceleración por GPU.</w:t>
      </w:r>
    </w:p>
    <w:p>
      <w:pPr>
        <w:pStyle w:val="ListParagraph"/>
        <w:numPr>
          <w:ilvl w:val="0"/>
          <w:numId w:val="2"/>
        </w:numPr>
        <w:spacing w:after="240"/>
      </w:pPr>
      <w:r>
        <w:t xml:space="preserve">Capacidad limitada para capturar señales dependientes del contexto a lo largo de regiones genómicas largas.</w:t>
      </w:r>
    </w:p>
    <w:p>
      <w:pPr>
        <w:pStyle w:val="Heading2"/>
      </w:pPr>
      <w:r>
        <w:t xml:space="preserve">2.3 El Enfoque de TEGER</w:t>
      </w:r>
    </w:p>
    <w:p>
      <w:pPr>
        <w:spacing w:after="240"/>
      </w:pPr>
      <w:r>
        <w:t xml:space="preserve">TEGER aborda estas limitaciones entrenando un modelo de etiquetado de secuencias neuronal directamente sobre datos genómicos. Al aprovechar un modelo de lenguaje de ADN (DNABERT-2) pre-entrenado en grandes corpus genómicos, el sistema captura representaciones ricas de k-mers que codifican señales estructurales y evolutivas de secuencias de TEs, sin requerir homología explícita con bases de datos.</w:t>
      </w:r>
    </w:p>
    <w:p>
      <w:r>
        <w:br w:type="page"/>
      </w:r>
    </w:p>
    <w:p>
      <w:pPr>
        <w:pStyle w:val="Heading1"/>
      </w:pPr>
      <w:r>
        <w:t xml:space="preserve">Sección 3: Arquitectura del Sistema</w:t>
      </w:r>
    </w:p>
    <w:p>
      <w:pPr>
        <w:pStyle w:val="Heading2"/>
      </w:pPr>
      <w:r>
        <w:t xml:space="preserve">3.1 Diseño General</w:t>
      </w:r>
    </w:p>
    <w:p>
      <w:pPr>
        <w:spacing w:after="240"/>
      </w:pPr>
      <w:r>
        <w:t xml:space="preserve">TEGER está estructurado como un pipeline de dos módulos. El primer módulo (Te_annotator.py) realiza inferencia de aprendizaje profundo sobre el genoma. El segundo módulo (library_builder.py) post-procesa la salida de la inferencia para generar una librería de TEs de consenso curada.</w:t>
      </w:r>
    </w:p>
    <w:p>
      <w:pPr>
        <w:pStyle w:val="Heading2"/>
      </w:pPr>
      <w:r>
        <w:t xml:space="preserve">3.2 Arquitectura de la Red Neuronal: DNABERT-2 + BiLSTM</w:t>
      </w:r>
    </w:p>
    <w:p>
      <w:r>
        <w:t xml:space="preserve">El motor de inferencia central es una arquitectura híbrida compuesta por tres componentes secuenciales:</w:t>
      </w:r>
    </w:p>
    <w:p>
      <w:pPr>
        <w:pStyle w:val="Heading2"/>
      </w:pPr>
      <w:r>
        <w:t xml:space="preserve">Componente 1: Codificador DNABERT-2</w:t>
      </w:r>
    </w:p>
    <w:p>
      <w:pPr>
        <w:spacing w:after="240"/>
      </w:pPr>
      <w:r>
        <w:t xml:space="preserve">DNABERT-2 (Genome Foundation Model, 117M parámetros) es un modelo de lenguaje de ADN basado en transformers pre-entrenado en el genoma de referencia humano completo mediante modelado de lenguaje enmascarado. Toma secuencias de ADN tokenizadas de hasta 512 pares de bases como entrada y produce embeddings contextuales densos para cada posición.</w:t>
      </w:r>
    </w:p>
    <w:p>
      <w:pPr>
        <w:pStyle w:val="Heading2"/>
      </w:pPr>
      <w:r>
        <w:t xml:space="preserve">Componente 2: LSTM Bidireccional (BiLSTM)</w:t>
      </w:r>
    </w:p>
    <w:p>
      <w:pPr>
        <w:spacing w:after="240"/>
      </w:pPr>
      <w:r>
        <w:t xml:space="preserve">Un BiLSTM de dos capas con tamaño oculto de 256 por dirección (512 total) procesa los embeddings de BERT secuencialmente. Este componente captura dependencias secuenciales de largo alcance a lo largo de la secuencia genómica — particularmente útil para identificar los límites de los TEs y señales estructurales internas que la ventana de contexto fija de BERT puede no capturar globalmente.</w:t>
      </w:r>
    </w:p>
    <w:p>
      <w:pPr>
        <w:pStyle w:val="Heading2"/>
      </w:pPr>
      <w:r>
        <w:t xml:space="preserve">Componente 3: Clasificador de Tokens</w:t>
      </w:r>
    </w:p>
    <w:p>
      <w:pPr>
        <w:spacing w:after="240"/>
      </w:pPr>
      <w:r>
        <w:t xml:space="preserve">Una capa de proyección lineal mapea los estados ocultos del BiLSTM a un espacio de etiquetas correspondiente a las clases de TEs objetivo (ej.: LTR, LINE, SINE, Background). El modelo realiza clasificación a nivel de token, asignando una etiqueta de clase a cada posición nucleotídica mediante el esquema BIO (Beginning-Inside-Outside).</w:t>
      </w:r>
    </w:p>
    <w:p>
      <w:pPr>
        <w:pStyle w:val="Heading2"/>
      </w:pPr>
      <w:r>
        <w:t xml:space="preserve">3.3 Pipeline de Inferencia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r>
              <w:rPr>
                <w:b/>
                <w:bCs/>
                <w:color w:val="FFFFFF"/>
              </w:rPr>
              <w:t xml:space="preserve">Paso</w:t>
            </w:r>
          </w:p>
        </w:tc>
        <w:tc>
          <w:tcPr>
            <w:tcW w:type="dxa" w:w="18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r>
              <w:rPr>
                <w:b/>
                <w:bCs/>
                <w:color w:val="FFFFFF"/>
              </w:rPr>
              <w:t xml:space="preserve">Etapa</w:t>
            </w:r>
          </w:p>
        </w:tc>
        <w:tc>
          <w:tcPr>
            <w:tcW w:type="dxa" w:w="61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r>
              <w:rPr>
                <w:b/>
                <w:bCs/>
                <w:color w:val="FFFFFF"/>
              </w:rPr>
              <w:t xml:space="preserve">Descripción</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Mega-Chunking</w:t>
            </w:r>
          </w:p>
        </w:tc>
        <w:tc>
          <w:tcPr>
            <w:tcW w:type="dxa" w:w="6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El genoma se divide en fragmentos grandes (configurable, por defecto 1 Mpb) para saturar la VRAM de GPU sin desbordamiento.</w:t>
            </w:r>
          </w:p>
        </w:tc>
      </w:tr>
      <w:tr>
        <w:tc>
          <w:tcPr>
            <w:tcW w:type="dxa" w:w="14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2</w:t>
            </w:r>
          </w:p>
        </w:tc>
        <w:tc>
          <w:tcPr>
            <w:tcW w:type="dxa" w:w="1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Ventana Deslizante</w:t>
            </w:r>
          </w:p>
        </w:tc>
        <w:tc>
          <w:tcPr>
            <w:tcW w:type="dxa" w:w="61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Cada chunk se tokeniza con una ventana de 512 pb y un stride de 128 pb, produciendo subsecuencias solapadas.</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3</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Inferencia en Lotes</w:t>
            </w:r>
          </w:p>
        </w:tc>
        <w:tc>
          <w:tcPr>
            <w:tcW w:type="dxa" w:w="6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Todas las ventanas de un chunk se procesan en un único lote GPU usando DataParallel en todas las GPUs seleccionadas.</w:t>
            </w:r>
          </w:p>
        </w:tc>
      </w:tr>
      <w:tr>
        <w:tc>
          <w:tcPr>
            <w:tcW w:type="dxa" w:w="14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4</w:t>
            </w:r>
          </w:p>
        </w:tc>
        <w:tc>
          <w:tcPr>
            <w:tcW w:type="dxa" w:w="1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Precisión Mixta FP16</w:t>
            </w:r>
          </w:p>
        </w:tc>
        <w:tc>
          <w:tcPr>
            <w:tcW w:type="dxa" w:w="61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Automatic Mixed Precision (AMP) reduce el consumo de VRAM a la mitad y acelera la inferencia en GPUs NVIDIA RTX/Ampere.</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5</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Reconstrucción Vectorizada</w:t>
            </w:r>
          </w:p>
        </w:tc>
        <w:tc>
          <w:tcPr>
            <w:tcW w:type="dxa" w:w="61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Las predicciones se decodifican mediante máscaras booleanas NumPy, mapeando etiquetas a nivel de token de vuelta a coordenadas genómicas.</w:t>
            </w:r>
          </w:p>
        </w:tc>
      </w:tr>
      <w:tr>
        <w:tc>
          <w:tcPr>
            <w:tcW w:type="dxa" w:w="14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6</w:t>
            </w:r>
          </w:p>
        </w:tc>
        <w:tc>
          <w:tcPr>
            <w:tcW w:type="dxa" w:w="1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Fusión de Gaps</w:t>
            </w:r>
          </w:p>
        </w:tc>
        <w:tc>
          <w:tcPr>
            <w:tcW w:type="dxa" w:w="61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Las predicciones adyacentes de la misma clase dentro de 10 pb se fusionan para producir anotaciones de TE contiguas.</w:t>
            </w:r>
          </w:p>
        </w:tc>
      </w:tr>
    </w:tbl>
    <w:p>
      <w:pPr>
        <w:pStyle w:val="Heading2"/>
        <w:spacing w:before="240"/>
      </w:pPr>
      <w:r>
        <w:t xml:space="preserve">3.4 Pipeline del Library Builder</w:t>
      </w:r>
    </w:p>
    <w:p>
      <w:r>
        <w:t xml:space="preserve">El módulo library_builder.py implementa un pipeline de post-procesamiento de tres etapas:</w:t>
      </w:r>
    </w:p>
    <w:p>
      <w:pPr>
        <w:pStyle w:val="ListParagraph"/>
        <w:numPr>
          <w:ilvl w:val="0"/>
          <w:numId w:val="2"/>
        </w:numPr>
      </w:pPr>
      <w:r>
        <w:t xml:space="preserve">MMseqs2 easy-cluster: Agrupa secuencias candidatas por identidad de secuencia y cobertura para agrupar copias de TEs relacionadas.</w:t>
      </w:r>
    </w:p>
    <w:p>
      <w:pPr>
        <w:pStyle w:val="ListParagraph"/>
        <w:numPr>
          <w:ilvl w:val="0"/>
          <w:numId w:val="2"/>
        </w:numPr>
      </w:pPr>
      <w:r>
        <w:t xml:space="preserve">MAFFT --auto: Genera un alineamiento múltiple de secuencias (MSA) para cada cluster usando la estrategia adaptativa.</w:t>
      </w:r>
    </w:p>
    <w:p>
      <w:pPr>
        <w:pStyle w:val="ListParagraph"/>
        <w:numPr>
          <w:ilvl w:val="0"/>
          <w:numId w:val="2"/>
        </w:numPr>
        <w:spacing w:after="240"/>
      </w:pPr>
      <w:r>
        <w:t xml:space="preserve">CIAlign / Fallback Python: Extrae una secuencia consenso por voto mayoritario de cada MSA, produciendo un representante por familia de TEs.</w:t>
      </w:r>
    </w:p>
    <w:p>
      <w:pPr>
        <w:spacing w:after="240"/>
      </w:pPr>
      <w:r>
        <w:t xml:space="preserve">Todos los pasos de MAFFT y consenso se paralelizan usando multiprocessing.Pool de Python, con número de workers configurable.</w:t>
      </w:r>
    </w:p>
    <w:p>
      <w:pPr>
        <w:pStyle w:val="Heading2"/>
      </w:pPr>
      <w:r>
        <w:t xml:space="preserve">3.5 Soporte Multi-GPU</w:t>
      </w:r>
    </w:p>
    <w:p>
      <w:pPr>
        <w:spacing w:after="240"/>
      </w:pPr>
      <w:r>
        <w:t xml:space="preserve">TEGER usa nn.DataParallel de PyTorch para distribuir las cargas de trabajo de inferencia entre múltiples GPUs. El usuario puede controlar el uso de GPU mediante dos parámetros CLI: --gpu-ids (seleccionar dispositivos específicos por ID) y --num-gpus (limitar el número de dispositivos). Si no se especifica ninguno, todas las GPUs disponibles se usan automáticamente.</w:t>
      </w:r>
    </w:p>
    <w:p>
      <w:r>
        <w:br w:type="page"/>
      </w:r>
    </w:p>
    <w:p>
      <w:pPr>
        <w:pStyle w:val="Heading1"/>
      </w:pPr>
      <w:r>
        <w:t xml:space="preserve">Sección 4: Especificaciones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r>
              <w:rPr>
                <w:b/>
                <w:bCs/>
                <w:color w:val="FFFFFF"/>
              </w:rPr>
              <w:t xml:space="preserve">Especificación</w:t>
            </w:r>
          </w:p>
        </w:tc>
        <w:tc>
          <w:tcPr>
            <w:tcW w:type="dxa" w:w="63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r>
              <w:rPr>
                <w:b/>
                <w:bCs/>
                <w:color w:val="FFFFFF"/>
              </w:rPr>
              <w:t xml:space="preserve">Valor</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Modelo base</w:t>
            </w:r>
          </w:p>
        </w:tc>
        <w:tc>
          <w:tcPr>
            <w:tcW w:type="dxa" w:w="63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DNABERT-2-117M (quietflamingo/dnabert2-no-flashattention)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Capas BiLSTM</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 capas bidireccionales, tamaño oculto 256 por dirección</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Parámetros totales (BERT+BiLSTM)</w:t>
            </w:r>
          </w:p>
        </w:tc>
        <w:tc>
          <w:tcPr>
            <w:tcW w:type="dxa" w:w="63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~117M (BERT) + ~2.6M (BiLSTM + clasificador)</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Ventana del tokenizador</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512 tokens (pares de bases)</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Stride de inferencia</w:t>
            </w:r>
          </w:p>
        </w:tc>
        <w:tc>
          <w:tcPr>
            <w:tcW w:type="dxa" w:w="63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128 pares de bases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Precisión</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FP16 (Precisión Mixta vía torch.amp.autocast)</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Estrategia multi-GPU</w:t>
            </w:r>
          </w:p>
        </w:tc>
        <w:tc>
          <w:tcPr>
            <w:tcW w:type="dxa" w:w="63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DataParallel (máquina única, multi-GPU)</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Formato de salida</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GFF3 (anotación) + FASTA (librería candidata)</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Niveles de clasificación</w:t>
            </w:r>
          </w:p>
        </w:tc>
        <w:tc>
          <w:tcPr>
            <w:tcW w:type="dxa" w:w="63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Binario, Orden, Superfamilia</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Formato de entrada</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FASTA (.fasta, .fa, .fna)</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SO soportado</w:t>
            </w:r>
          </w:p>
        </w:tc>
        <w:tc>
          <w:tcPr>
            <w:tcW w:type="dxa" w:w="63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Linux (Ubuntu 20.04 / 22.04)</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Licencia</w:t>
            </w:r>
          </w:p>
        </w:tc>
        <w:tc>
          <w:tcPr>
            <w:tcW w:type="dxa" w:w="6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MIT</w:t>
            </w:r>
          </w:p>
        </w:tc>
      </w:tr>
    </w:tbl>
    <w:p>
      <w:r>
        <w:br w:type="page"/>
      </w:r>
    </w:p>
    <w:p>
      <w:pPr>
        <w:pStyle w:val="Heading1"/>
      </w:pPr>
      <w:r>
        <w:t xml:space="preserve">Sección 5: Capacidades y Limitaciones</w:t>
      </w:r>
    </w:p>
    <w:p>
      <w:pPr>
        <w:pStyle w:val="Heading2"/>
      </w:pPr>
      <w:r>
        <w:t xml:space="preserve">5.1 Capacidades</w:t>
      </w:r>
    </w:p>
    <w:p>
      <w:pPr>
        <w:pStyle w:val="ListParagraph"/>
        <w:numPr>
          <w:ilvl w:val="0"/>
          <w:numId w:val="2"/>
        </w:numPr>
      </w:pPr>
      <w:r>
        <w:t xml:space="preserve">Detección de elementos transponibles directamente desde ensamblados de genoma sin procesar y sin anotar.</w:t>
      </w:r>
    </w:p>
    <w:p>
      <w:pPr>
        <w:pStyle w:val="ListParagraph"/>
        <w:numPr>
          <w:ilvl w:val="0"/>
          <w:numId w:val="2"/>
        </w:numPr>
      </w:pPr>
      <w:r>
        <w:t xml:space="preserve">Tres niveles de resolución taxonómica: presencia/ausencia binaria, orden de TE y superfamilia de TE.</w:t>
      </w:r>
    </w:p>
    <w:p>
      <w:pPr>
        <w:pStyle w:val="ListParagraph"/>
        <w:numPr>
          <w:ilvl w:val="0"/>
          <w:numId w:val="2"/>
        </w:numPr>
      </w:pPr>
      <w:r>
        <w:t xml:space="preserve">Inferencia multi-GPU eficiente compatible con servidores con hasta 8+ GPUs NVIDIA.</w:t>
      </w:r>
    </w:p>
    <w:p>
      <w:pPr>
        <w:pStyle w:val="ListParagraph"/>
        <w:numPr>
          <w:ilvl w:val="0"/>
          <w:numId w:val="2"/>
        </w:numPr>
      </w:pPr>
      <w:r>
        <w:t xml:space="preserve">Selección flexible de GPU: los usuarios pueden especificar IDs exactos de GPU o limitar el número de dispositivos para evitar conflictos en entornos compartidos.</w:t>
      </w:r>
    </w:p>
    <w:p>
      <w:pPr>
        <w:pStyle w:val="ListParagraph"/>
        <w:numPr>
          <w:ilvl w:val="0"/>
          <w:numId w:val="2"/>
        </w:numPr>
      </w:pPr>
      <w:r>
        <w:t xml:space="preserve">Verificación automática de carga de pesos para detectar archivos de modelo mal configurados o faltantes antes de la inferencia.</w:t>
      </w:r>
    </w:p>
    <w:p>
      <w:pPr>
        <w:pStyle w:val="ListParagraph"/>
        <w:numPr>
          <w:ilvl w:val="0"/>
          <w:numId w:val="2"/>
        </w:numPr>
      </w:pPr>
      <w:r>
        <w:t xml:space="preserve">Generación de librería de consenso posterior compatible con RepeatMasker (-lib).</w:t>
      </w:r>
    </w:p>
    <w:p>
      <w:pPr>
        <w:pStyle w:val="ListParagraph"/>
        <w:numPr>
          <w:ilvl w:val="0"/>
          <w:numId w:val="2"/>
        </w:numPr>
        <w:spacing w:after="240"/>
      </w:pPr>
      <w:r>
        <w:t xml:space="preserve">Post-procesamiento paralelo mediante multiprocessing de Python para construcción escalable de librerías.</w:t>
      </w:r>
    </w:p>
    <w:p>
      <w:pPr>
        <w:pStyle w:val="Heading2"/>
      </w:pPr>
      <w:r>
        <w:t xml:space="preserve">5.2 Limitaciones Actuales</w:t>
      </w:r>
    </w:p>
    <w:p>
      <w:pPr>
        <w:pStyle w:val="ListParagraph"/>
        <w:numPr>
          <w:ilvl w:val="0"/>
          <w:numId w:val="2"/>
        </w:numPr>
      </w:pPr>
      <w:r>
        <w:t xml:space="preserve">Diseñado exclusivamente para entornos Linux con GPUs NVIDIA CUDA. El modo solo CPU está soportado pero es significativamente más lento.</w:t>
      </w:r>
    </w:p>
    <w:p>
      <w:pPr>
        <w:pStyle w:val="ListParagraph"/>
        <w:numPr>
          <w:ilvl w:val="0"/>
          <w:numId w:val="2"/>
        </w:numPr>
      </w:pPr>
      <w:r>
        <w:t xml:space="preserve">El modelo base (DNABERT-2) tiene una ventana de contexto fija de 512 pb; las copias de TEs muy largas se procesan a través de ventanas solapadas, lo que puede introducir artefactos en los límites.</w:t>
      </w:r>
    </w:p>
    <w:p>
      <w:pPr>
        <w:pStyle w:val="ListParagraph"/>
        <w:numPr>
          <w:ilvl w:val="0"/>
          <w:numId w:val="2"/>
        </w:numPr>
      </w:pPr>
      <w:r>
        <w:t xml:space="preserve">La implementación multi-GPU usa DataParallel, lo que requiere que todas las GPUs estén en el mismo nodo físico. La inferencia multi-nodo distribuida no está soportada en esta versión.</w:t>
      </w:r>
    </w:p>
    <w:p>
      <w:pPr>
        <w:pStyle w:val="ListParagraph"/>
        <w:numPr>
          <w:ilvl w:val="0"/>
          <w:numId w:val="2"/>
        </w:numPr>
        <w:spacing w:after="240"/>
      </w:pPr>
      <w:r>
        <w:t xml:space="preserve">La generalización del modelo a familias de TEs altamente divergentes o subrepresentadas depende de los datos de entrenamiento usados para ajustar los clasificadores.</w:t>
      </w:r>
    </w:p>
    <w:p>
      <w:r>
        <w:br w:type="page"/>
      </w:r>
    </w:p>
    <w:p>
      <w:pPr>
        <w:pStyle w:val="Heading1"/>
      </w:pPr>
      <w:r>
        <w:t xml:space="preserve">Sección 6: Dependencias del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r>
              <w:rPr>
                <w:b/>
                <w:bCs/>
                <w:color w:val="FFFFFF"/>
              </w:rPr>
              <w:t xml:space="preserve">Paquete</w:t>
            </w:r>
          </w:p>
        </w:tc>
        <w:tc>
          <w:tcPr>
            <w:tcW w:type="dxa" w:w="15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r>
              <w:rPr>
                <w:b/>
                <w:bCs/>
                <w:color w:val="FFFFFF"/>
              </w:rPr>
              <w:t xml:space="preserve">Versión</w:t>
            </w:r>
          </w:p>
        </w:tc>
        <w:tc>
          <w:tcPr>
            <w:tcW w:type="dxa" w:w="50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r>
              <w:rPr>
                <w:b/>
                <w:bCs/>
                <w:color w:val="FFFFFF"/>
              </w:rPr>
              <w:t xml:space="preserve">Propósito</w:t>
            </w:r>
          </w:p>
        </w:tc>
      </w:tr>
      <w:tr>
        <w:tc>
          <w:tcPr>
            <w:tcW w:type="dxa" w:w="2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torch (PyTorch)</w:t>
            </w:r>
          </w:p>
        </w:tc>
        <w:tc>
          <w:tcPr>
            <w:tcW w:type="dxa" w:w="15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 2.0</w:t>
            </w:r>
          </w:p>
        </w:tc>
        <w:tc>
          <w:tcPr>
            <w:tcW w:type="dxa" w:w="50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Framework de aprendizaje profundo y gestión de GPU</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transformers</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 4.30</w:t>
            </w:r>
          </w:p>
        </w:tc>
        <w:tc>
          <w:tcPr>
            <w:tcW w:type="dxa" w:w="5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Carga del modelo DNABERT-2 y tokenización</w:t>
            </w:r>
          </w:p>
        </w:tc>
      </w:tr>
      <w:tr>
        <w:tc>
          <w:tcPr>
            <w:tcW w:type="dxa" w:w="2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biopython</w:t>
            </w:r>
          </w:p>
        </w:tc>
        <w:tc>
          <w:tcPr>
            <w:tcW w:type="dxa" w:w="15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 1.80</w:t>
            </w:r>
          </w:p>
        </w:tc>
        <w:tc>
          <w:tcPr>
            <w:tcW w:type="dxa" w:w="50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Parseo de FASTA y GFF3</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typer</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 0.9</w:t>
            </w:r>
          </w:p>
        </w:tc>
        <w:tc>
          <w:tcPr>
            <w:tcW w:type="dxa" w:w="5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Interfaz de línea de comandos</w:t>
            </w:r>
          </w:p>
        </w:tc>
      </w:tr>
      <w:tr>
        <w:tc>
          <w:tcPr>
            <w:tcW w:type="dxa" w:w="2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numpy</w:t>
            </w:r>
          </w:p>
        </w:tc>
        <w:tc>
          <w:tcPr>
            <w:tcW w:type="dxa" w:w="15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 1.24</w:t>
            </w:r>
          </w:p>
        </w:tc>
        <w:tc>
          <w:tcPr>
            <w:tcW w:type="dxa" w:w="50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Post-procesamiento vectorizado</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pandas</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 2.0</w:t>
            </w:r>
          </w:p>
        </w:tc>
        <w:tc>
          <w:tcPr>
            <w:tcW w:type="dxa" w:w="5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Gestión de datos</w:t>
            </w:r>
          </w:p>
        </w:tc>
      </w:tr>
      <w:tr>
        <w:tc>
          <w:tcPr>
            <w:tcW w:type="dxa" w:w="2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tqdm</w:t>
            </w:r>
          </w:p>
        </w:tc>
        <w:tc>
          <w:tcPr>
            <w:tcW w:type="dxa" w:w="15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 4.65</w:t>
            </w:r>
          </w:p>
        </w:tc>
        <w:tc>
          <w:tcPr>
            <w:tcW w:type="dxa" w:w="50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Visualización de barra de progreso</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mmseqs2 (conda)</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 14.x</w:t>
            </w:r>
          </w:p>
        </w:tc>
        <w:tc>
          <w:tcPr>
            <w:tcW w:type="dxa" w:w="5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Clustering de secuencias (library_builder)</w:t>
            </w:r>
          </w:p>
        </w:tc>
      </w:tr>
      <w:tr>
        <w:tc>
          <w:tcPr>
            <w:tcW w:type="dxa" w:w="2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mafft (conda)</w:t>
            </w:r>
          </w:p>
        </w:tc>
        <w:tc>
          <w:tcPr>
            <w:tcW w:type="dxa" w:w="15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 7.5</w:t>
            </w:r>
          </w:p>
        </w:tc>
        <w:tc>
          <w:tcPr>
            <w:tcW w:type="dxa" w:w="50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Alineamiento múltiple de secuencias (library_builder)</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cialign (pip, opcional)</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 1.0</w:t>
            </w:r>
          </w:p>
        </w:tc>
        <w:tc>
          <w:tcPr>
            <w:tcW w:type="dxa" w:w="5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Generación de consenso (library_builder)</w:t>
            </w:r>
          </w:p>
        </w:tc>
      </w:tr>
    </w:tbl>
    <w:p>
      <w:r>
        <w:br w:type="page"/>
      </w:r>
    </w:p>
    <w:p>
      <w:pPr>
        <w:pStyle w:val="Heading1"/>
      </w:pPr>
      <w:r>
        <w:t xml:space="preserve">Sección 7: Estructura de Archivos del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r>
              <w:rPr>
                <w:b/>
                <w:bCs/>
                <w:color w:val="FFFFFF"/>
              </w:rPr>
              <w:t xml:space="preserve">Archivo / Directorio</w:t>
            </w:r>
          </w:p>
        </w:tc>
        <w:tc>
          <w:tcPr>
            <w:tcW w:type="dxa" w:w="656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r>
              <w:rPr>
                <w:b/>
                <w:bCs/>
                <w:color w:val="FFFFFF"/>
              </w:rPr>
              <w:t xml:space="preserve">Descripción</w:t>
            </w:r>
          </w:p>
        </w:tc>
      </w:tr>
      <w:tr>
        <w:tc>
          <w:tcPr>
            <w:tcW w:type="dxa" w:w="2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Te_annotator.py</w:t>
            </w:r>
          </w:p>
        </w:tc>
        <w:tc>
          <w:tcPr>
            <w:tcW w:type="dxa" w:w="65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Script principal de inferencia. Punto de entrada CLI para anotación de genomas.</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library_builder.py</w:t>
            </w:r>
          </w:p>
        </w:tc>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Módulo de post-procesamiento para generación de librería de consenso.</w:t>
            </w:r>
          </w:p>
        </w:tc>
      </w:tr>
      <w:tr>
        <w:tc>
          <w:tcPr>
            <w:tcW w:type="dxa" w:w="2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requirements.txt</w:t>
            </w:r>
          </w:p>
        </w:tc>
        <w:tc>
          <w:tcPr>
            <w:tcW w:type="dxa" w:w="65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Lista de dependencias Python para instalación con pip.</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models/binary/</w:t>
            </w:r>
          </w:p>
        </w:tc>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Pesos entrenados y config para clasificación binaria.</w:t>
            </w:r>
          </w:p>
        </w:tc>
      </w:tr>
      <w:tr>
        <w:tc>
          <w:tcPr>
            <w:tcW w:type="dxa" w:w="2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models/order/</w:t>
            </w:r>
          </w:p>
        </w:tc>
        <w:tc>
          <w:tcPr>
            <w:tcW w:type="dxa" w:w="65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Pesos entrenados y config para clasificación de orden de TE.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models/superfamilies/</w:t>
            </w:r>
          </w:p>
        </w:tc>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Pesos entrenados y config para clasificación de superfamilia.</w:t>
            </w:r>
          </w:p>
        </w:tc>
      </w:tr>
      <w:tr>
        <w:tc>
          <w:tcPr>
            <w:tcW w:type="dxa" w:w="28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test/</w:t>
            </w:r>
          </w:p>
        </w:tc>
        <w:tc>
          <w:tcPr>
            <w:tcW w:type="dxa" w:w="65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t xml:space="preserve">Archivos FASTA y GFF3 de ejemplo para validación de la instalación.</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README.md</w:t>
            </w:r>
          </w:p>
        </w:tc>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Documentación del proyecto con instrucciones de uso.</w:t>
            </w:r>
          </w:p>
        </w:tc>
      </w:tr>
    </w:tbl>
    <w:p>
      <w:r>
        <w:br w:type="page"/>
      </w:r>
    </w:p>
    <w:p>
      <w:pPr>
        <w:pStyle w:val="Heading1"/>
      </w:pPr>
      <w:r>
        <w:t xml:space="preserve">Sección 8: Referencias</w:t>
      </w:r>
    </w:p>
    <w:p>
      <w:pPr>
        <w:pStyle w:val="ListParagraph"/>
        <w:numPr>
          <w:ilvl w:val="0"/>
          <w:numId w:val="3"/>
        </w:numPr>
      </w:pPr>
      <w:r>
        <w:t xml:space="preserve">Zhou, Z. et al. (2023). DNABERT-2: Efficient Foundation Model and Benchmark for Multi-Species Genome. arXiv:2306.15006.</w:t>
      </w:r>
    </w:p>
    <w:p>
      <w:pPr>
        <w:pStyle w:val="ListParagraph"/>
        <w:numPr>
          <w:ilvl w:val="0"/>
          <w:numId w:val="3"/>
        </w:numPr>
      </w:pPr>
      <w:r>
        <w:t xml:space="preserve">Steinegger, M. &amp; Söding, J. (2017). MMseqs2 enables sensitive protein sequence searching for the analysis of massive data sets. Nature Biotechnology, 35, 1026–1028.</w:t>
      </w:r>
    </w:p>
    <w:p>
      <w:pPr>
        <w:pStyle w:val="ListParagraph"/>
        <w:numPr>
          <w:ilvl w:val="0"/>
          <w:numId w:val="3"/>
        </w:numPr>
      </w:pPr>
      <w:r>
        <w:t xml:space="preserve">Katoh, K. &amp; Standley, D.M. (2013). MAFFT Multiple Sequence Alignment Software Version 7: Improvements in Performance and Usability. Molecular Biology and Evolution, 30(4), 772–780.</w:t>
      </w:r>
    </w:p>
    <w:p>
      <w:pPr>
        <w:pStyle w:val="ListParagraph"/>
        <w:numPr>
          <w:ilvl w:val="0"/>
          <w:numId w:val="3"/>
        </w:numPr>
      </w:pPr>
      <w:r>
        <w:t xml:space="preserve">Brown, K. et al. (2022). CIAlign: A highly customisable command line tool to clean, interpret and visualise multiple sequence alignments. PeerJ, 10:e12983.</w:t>
      </w:r>
    </w:p>
    <w:p>
      <w:pPr>
        <w:pStyle w:val="ListParagraph"/>
        <w:numPr>
          <w:ilvl w:val="0"/>
          <w:numId w:val="3"/>
        </w:numPr>
      </w:pPr>
      <w:hyperlink w:history="1" r:id="rIdihccsvotncxp7fctfkb1s">
        <w:r>
          <w:rPr>
            <w:rStyle w:val="Hyperlink"/>
          </w:rPr>
          <w:t xml:space="preserve">Smit, A., Hubley, R., &amp; Green, P. (2013). RepeatMasker Open-4.0. http://www.repeatmasker.org.</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595959"/>
        <w:sz w:val="20"/>
        <w:szCs w:val="20"/>
      </w:rPr>
      <w:t xml:space="preserve">TEGER | Desarrollado por Johan S. Piña — Maestría en Bioinformática,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jc w:val="center"/>
    </w:pPr>
    <w:r>
      <w:rPr>
        <w:rFonts w:ascii="Arial" w:cs="Arial" w:eastAsia="Arial" w:hAnsi="Arial"/>
        <w:color w:val="1F4E79"/>
        <w:sz w:val="20"/>
        <w:szCs w:val="20"/>
      </w:rPr>
      <w:t xml:space="preserve">TEGER | Descripción del Software | Versión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hccsvotncxp7fctfkb1s" Type="http://schemas.openxmlformats.org/officeDocument/2006/relationships/hyperlink" Target="http://www.repeatmasker.or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2026-03-20T14:35:54.032Z</dcterms:created>
  <dcterms:modified xsi:type="dcterms:W3CDTF">2026-03-20T14:35:54.032Z</dcterms:modified>
</cp:coreProperties>
</file>

<file path=docProps/custom.xml><?xml version="1.0" encoding="utf-8"?>
<Properties xmlns="http://schemas.openxmlformats.org/officeDocument/2006/custom-properties" xmlns:vt="http://schemas.openxmlformats.org/officeDocument/2006/docPropsVTypes"/>
</file>