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72"/>
          <w:szCs w:val="72"/>
        </w:rPr>
        <w:t xml:space="preserve">PinaNet</w:t>
      </w:r>
    </w:p>
    <w:p>
      <w:pPr>
        <w:spacing w:after="120" w:before="0"/>
        <w:jc w:val="center"/>
      </w:pPr>
      <w:r>
        <w:rPr>
          <w:rFonts w:ascii="Arial" w:cs="Arial" w:eastAsia="Arial" w:hAnsi="Arial"/>
          <w:color w:val="2E75B6"/>
          <w:sz w:val="32"/>
          <w:szCs w:val="32"/>
        </w:rPr>
        <w:t xml:space="preserve">Deep Learning Transposable Element Annotator</w:t>
      </w:r>
    </w:p>
    <w:p>
      <w:pPr>
        <w:spacing w:after="600" w:before="0"/>
        <w:jc w:val="center"/>
      </w:pPr>
      <w:r>
        <w:rPr>
          <w:rFonts w:ascii="Arial" w:cs="Arial" w:eastAsia="Arial" w:hAnsi="Arial"/>
          <w:b/>
          <w:bCs/>
          <w:color w:val="555555"/>
          <w:sz w:val="28"/>
          <w:szCs w:val="28"/>
        </w:rPr>
        <w:t xml:space="preserve">SOFTWARE DESCRIPTION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Software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PinaNet — TE Annotator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Johan S. Piña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Affiliation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Master's Program in Bioinformatics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Contact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jspinad@gmail.com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Year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2025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License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MIT License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Repository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https://github.com/johanpina/PinaNet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Programming Language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3.9+</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Operating System</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Linux (Ubuntu 20.04 / 22.04)</w:t>
            </w:r>
          </w:p>
        </w:tc>
      </w:tr>
    </w:tbl>
    <w:p>
      <w:pPr>
        <w:spacing w:after="100" w:before="100"/>
      </w:pPr>
    </w:p>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1. Executive Summary</w:t>
      </w:r>
    </w:p>
    <w:p>
      <w:pPr>
        <w:spacing w:after="80" w:before="80"/>
        <w:jc w:val="both"/>
      </w:pPr>
      <w:r>
        <w:rPr>
          <w:rFonts w:ascii="Arial" w:cs="Arial" w:eastAsia="Arial" w:hAnsi="Arial"/>
          <w:sz w:val="22"/>
          <w:szCs w:val="22"/>
        </w:rPr>
        <w:t xml:space="preserve">PinaNet is a bioinformatics software tool developed for the automatic detection and annotation of Transposable Elements (TEs) in raw genomic DNA sequences. The software applies a state-of-the-art hybrid deep learning architecture to address one of the fundamental challenges in comparative and functional genomics: the accurate, high-throughput identification of repetitive elements that constitute a large fraction of most eukaryotic genomes.</w:t>
      </w:r>
    </w:p>
    <w:p>
      <w:pPr>
        <w:spacing w:after="100" w:before="100"/>
      </w:pPr>
    </w:p>
    <w:p>
      <w:pPr>
        <w:spacing w:after="80" w:before="80"/>
        <w:jc w:val="both"/>
      </w:pPr>
      <w:r>
        <w:rPr>
          <w:rFonts w:ascii="Arial" w:cs="Arial" w:eastAsia="Arial" w:hAnsi="Arial"/>
          <w:sz w:val="22"/>
          <w:szCs w:val="22"/>
        </w:rPr>
        <w:t xml:space="preserve">PinaNet accepts genome assemblies in FASTA format as input and produces standard GFF3 annotation files as output, along with FASTA libraries of candidate TE sequences that can be used in downstream analyses such as repeat masking, phylogenomics, and TE dynamics studies.</w:t>
      </w:r>
    </w:p>
    <w:p>
      <w:pPr>
        <w:spacing w:after="100" w:before="100"/>
      </w:pPr>
    </w:p>
    <w:p>
      <w:pPr>
        <w:pBdr>
          <w:left w:val="single" w:color="375623" w:sz="12" w:space="8"/>
        </w:pBdr>
        <w:shd w:fill="E2EFDA" w:val="clear"/>
        <w:spacing w:after="120" w:before="120"/>
        <w:ind w:left="360"/>
      </w:pPr>
      <w:r>
        <w:rPr>
          <w:rFonts w:ascii="Arial" w:cs="Arial" w:eastAsia="Arial" w:hAnsi="Arial"/>
          <w:color w:val="375623"/>
          <w:sz w:val="20"/>
          <w:szCs w:val="20"/>
        </w:rPr>
        <w:t xml:space="preserve">PinaNet is designed to operate on multi-GPU server environments and is capable of processing large eukaryotic genomes (&gt;1 Gbp) through a parallelised, memory-efficient chunking strategy.</w:t>
      </w:r>
    </w:p>
    <w:p>
      <w:pPr>
        <w:pStyle w:val="Heading1"/>
        <w:pBdr>
          <w:bottom w:val="single" w:color="2E75B6" w:sz="6" w:space="4"/>
        </w:pBdr>
        <w:spacing w:after="160" w:before="360"/>
      </w:pPr>
      <w:r>
        <w:rPr>
          <w:rFonts w:ascii="Arial" w:cs="Arial" w:eastAsia="Arial" w:hAnsi="Arial"/>
          <w:b/>
          <w:bCs/>
          <w:color w:val="1F4E79"/>
          <w:sz w:val="32"/>
          <w:szCs w:val="32"/>
        </w:rPr>
        <w:t xml:space="preserve">2. Scientific Background and Motivation</w:t>
      </w:r>
    </w:p>
    <w:p>
      <w:pPr>
        <w:pStyle w:val="Heading2"/>
        <w:spacing w:after="120" w:before="280"/>
      </w:pPr>
      <w:r>
        <w:rPr>
          <w:rFonts w:ascii="Arial" w:cs="Arial" w:eastAsia="Arial" w:hAnsi="Arial"/>
          <w:b/>
          <w:bCs/>
          <w:color w:val="2E75B6"/>
          <w:sz w:val="26"/>
          <w:szCs w:val="26"/>
        </w:rPr>
        <w:t xml:space="preserve">2.1 Transposable Elements in Eukaryotic Genomes</w:t>
      </w:r>
    </w:p>
    <w:p>
      <w:pPr>
        <w:spacing w:after="80" w:before="80"/>
        <w:jc w:val="both"/>
      </w:pPr>
      <w:r>
        <w:rPr>
          <w:rFonts w:ascii="Arial" w:cs="Arial" w:eastAsia="Arial" w:hAnsi="Arial"/>
          <w:sz w:val="22"/>
          <w:szCs w:val="22"/>
        </w:rPr>
        <w:t xml:space="preserve">Transposable Elements are mobile DNA sequences that can replicate and insert themselves at new positions within a genome. They represent a major component of eukaryotic genomes, constituting approximately 45% of the human genome, over 85% of the maize genome, and a substantial fraction of most plant and animal genomes. TEs play critical roles in genome evolution, gene regulation, chromatin organization, and speciation.</w:t>
      </w:r>
    </w:p>
    <w:p>
      <w:pPr>
        <w:spacing w:after="100" w:before="100"/>
      </w:pPr>
    </w:p>
    <w:p>
      <w:pPr>
        <w:spacing w:after="80" w:before="80"/>
        <w:jc w:val="both"/>
      </w:pPr>
      <w:r>
        <w:rPr>
          <w:rFonts w:ascii="Arial" w:cs="Arial" w:eastAsia="Arial" w:hAnsi="Arial"/>
          <w:sz w:val="22"/>
          <w:szCs w:val="22"/>
        </w:rPr>
        <w:t xml:space="preserve">The accurate identification and classification of TEs is an essential step in genome annotation pipelines, TE dynamics studies, and the construction of TE libraries for repeat-masking tools such as RepeatMasker.</w:t>
      </w:r>
    </w:p>
    <w:p>
      <w:pPr>
        <w:spacing w:after="100" w:before="100"/>
      </w:pPr>
    </w:p>
    <w:p>
      <w:pPr>
        <w:pStyle w:val="Heading2"/>
        <w:spacing w:after="120" w:before="280"/>
      </w:pPr>
      <w:r>
        <w:rPr>
          <w:rFonts w:ascii="Arial" w:cs="Arial" w:eastAsia="Arial" w:hAnsi="Arial"/>
          <w:b/>
          <w:bCs/>
          <w:color w:val="2E75B6"/>
          <w:sz w:val="26"/>
          <w:szCs w:val="26"/>
        </w:rPr>
        <w:t xml:space="preserve">2.2 Limitations of Existing Approaches</w:t>
      </w:r>
    </w:p>
    <w:p>
      <w:pPr>
        <w:spacing w:after="80" w:before="80"/>
        <w:jc w:val="both"/>
      </w:pPr>
      <w:r>
        <w:rPr>
          <w:rFonts w:ascii="Arial" w:cs="Arial" w:eastAsia="Arial" w:hAnsi="Arial"/>
          <w:sz w:val="22"/>
          <w:szCs w:val="22"/>
        </w:rPr>
        <w:t xml:space="preserve">Traditional TE annotation methods (RepeatMasker, RepeatModeler, EDTA) rely on homology-based searches against curated databases or de novo computational models. These approaches have several limitations:</w:t>
      </w:r>
    </w:p>
    <w:p>
      <w:pPr>
        <w:pStyle w:val="ListParagraph"/>
        <w:numPr>
          <w:ilvl w:val="0"/>
          <w:numId w:val="2"/>
        </w:numPr>
        <w:spacing w:after="60" w:before="60"/>
      </w:pPr>
      <w:r>
        <w:rPr>
          <w:rFonts w:ascii="Arial" w:cs="Arial" w:eastAsia="Arial" w:hAnsi="Arial"/>
          <w:sz w:val="22"/>
          <w:szCs w:val="22"/>
        </w:rPr>
        <w:t xml:space="preserve">High dependency on existing curated databases, which are incomplete for non-model organisms.</w:t>
      </w:r>
    </w:p>
    <w:p>
      <w:pPr>
        <w:pStyle w:val="ListParagraph"/>
        <w:numPr>
          <w:ilvl w:val="0"/>
          <w:numId w:val="2"/>
        </w:numPr>
        <w:spacing w:after="60" w:before="60"/>
      </w:pPr>
      <w:r>
        <w:rPr>
          <w:rFonts w:ascii="Arial" w:cs="Arial" w:eastAsia="Arial" w:hAnsi="Arial"/>
          <w:sz w:val="22"/>
          <w:szCs w:val="22"/>
        </w:rPr>
        <w:t xml:space="preserve">Difficulty annotating divergent or novel TE families with low sequence conservation.</w:t>
      </w:r>
    </w:p>
    <w:p>
      <w:pPr>
        <w:pStyle w:val="ListParagraph"/>
        <w:numPr>
          <w:ilvl w:val="0"/>
          <w:numId w:val="2"/>
        </w:numPr>
        <w:spacing w:after="60" w:before="60"/>
      </w:pPr>
      <w:r>
        <w:rPr>
          <w:rFonts w:ascii="Arial" w:cs="Arial" w:eastAsia="Arial" w:hAnsi="Arial"/>
          <w:sz w:val="22"/>
          <w:szCs w:val="22"/>
        </w:rPr>
        <w:t xml:space="preserve">Computational scalability challenges for very large genomes without GPU acceleration.</w:t>
      </w:r>
    </w:p>
    <w:p>
      <w:pPr>
        <w:pStyle w:val="ListParagraph"/>
        <w:numPr>
          <w:ilvl w:val="0"/>
          <w:numId w:val="2"/>
        </w:numPr>
        <w:spacing w:after="60" w:before="60"/>
      </w:pPr>
      <w:r>
        <w:rPr>
          <w:rFonts w:ascii="Arial" w:cs="Arial" w:eastAsia="Arial" w:hAnsi="Arial"/>
          <w:sz w:val="22"/>
          <w:szCs w:val="22"/>
        </w:rPr>
        <w:t xml:space="preserve">Limited ability to capture context-dependent signals across long genomic regions.</w:t>
      </w:r>
    </w:p>
    <w:p>
      <w:pPr>
        <w:spacing w:after="100" w:before="100"/>
      </w:pPr>
    </w:p>
    <w:p>
      <w:pPr>
        <w:pStyle w:val="Heading2"/>
        <w:spacing w:after="120" w:before="280"/>
      </w:pPr>
      <w:r>
        <w:rPr>
          <w:rFonts w:ascii="Arial" w:cs="Arial" w:eastAsia="Arial" w:hAnsi="Arial"/>
          <w:b/>
          <w:bCs/>
          <w:color w:val="2E75B6"/>
          <w:sz w:val="26"/>
          <w:szCs w:val="26"/>
        </w:rPr>
        <w:t xml:space="preserve">2.3 PinaNet's Approach</w:t>
      </w:r>
    </w:p>
    <w:p>
      <w:pPr>
        <w:spacing w:after="80" w:before="80"/>
        <w:jc w:val="both"/>
      </w:pPr>
      <w:r>
        <w:rPr>
          <w:rFonts w:ascii="Arial" w:cs="Arial" w:eastAsia="Arial" w:hAnsi="Arial"/>
          <w:sz w:val="22"/>
          <w:szCs w:val="22"/>
        </w:rPr>
        <w:t xml:space="preserve">PinaNet addresses these limitations by training a neural sequence labelling model directly on genomic data. By leveraging a DNA language model (DNABERT-2) pre-trained on large genomic corpora, the system captures rich k-mer representations that encode structural and evolutionary signals of TE sequences, without requiring explicit database homology.</w:t>
      </w:r>
    </w:p>
    <w:p>
      <w:pPr>
        <w:spacing w:after="100" w:before="100"/>
      </w:pPr>
    </w:p>
    <w:p>
      <w:pPr>
        <w:pStyle w:val="Heading1"/>
        <w:pBdr>
          <w:bottom w:val="single" w:color="2E75B6" w:sz="6" w:space="4"/>
        </w:pBdr>
        <w:spacing w:after="160" w:before="360"/>
      </w:pPr>
      <w:r>
        <w:rPr>
          <w:rFonts w:ascii="Arial" w:cs="Arial" w:eastAsia="Arial" w:hAnsi="Arial"/>
          <w:b/>
          <w:bCs/>
          <w:color w:val="1F4E79"/>
          <w:sz w:val="32"/>
          <w:szCs w:val="32"/>
        </w:rPr>
        <w:t xml:space="preserve">3. System Architecture</w:t>
      </w:r>
    </w:p>
    <w:p>
      <w:pPr>
        <w:pStyle w:val="Heading2"/>
        <w:spacing w:after="120" w:before="280"/>
      </w:pPr>
      <w:r>
        <w:rPr>
          <w:rFonts w:ascii="Arial" w:cs="Arial" w:eastAsia="Arial" w:hAnsi="Arial"/>
          <w:b/>
          <w:bCs/>
          <w:color w:val="2E75B6"/>
          <w:sz w:val="26"/>
          <w:szCs w:val="26"/>
        </w:rPr>
        <w:t xml:space="preserve">3.1 Overall Design</w:t>
      </w:r>
    </w:p>
    <w:p>
      <w:pPr>
        <w:spacing w:after="80" w:before="80"/>
        <w:jc w:val="both"/>
      </w:pPr>
      <w:r>
        <w:rPr>
          <w:rFonts w:ascii="Arial" w:cs="Arial" w:eastAsia="Arial" w:hAnsi="Arial"/>
          <w:sz w:val="22"/>
          <w:szCs w:val="22"/>
        </w:rPr>
        <w:t xml:space="preserve">PinaNet is structured as a two-module pipeline. The first module (Te_annotator.py) performs deep learning inference on the genome. The second module (library_builder.py) post-processes the inference output to generate a curated consensus TE library.</w:t>
      </w:r>
    </w:p>
    <w:p>
      <w:pPr>
        <w:spacing w:after="100" w:before="100"/>
      </w:pPr>
    </w:p>
    <w:p>
      <w:pPr>
        <w:pStyle w:val="Heading2"/>
        <w:spacing w:after="120" w:before="280"/>
      </w:pPr>
      <w:r>
        <w:rPr>
          <w:rFonts w:ascii="Arial" w:cs="Arial" w:eastAsia="Arial" w:hAnsi="Arial"/>
          <w:b/>
          <w:bCs/>
          <w:color w:val="2E75B6"/>
          <w:sz w:val="26"/>
          <w:szCs w:val="26"/>
        </w:rPr>
        <w:t xml:space="preserve">3.2 Neural Network Architecture: DNABERT-2 + BiLSTM</w:t>
      </w:r>
    </w:p>
    <w:p>
      <w:pPr>
        <w:spacing w:after="80" w:before="80"/>
        <w:jc w:val="both"/>
      </w:pPr>
      <w:r>
        <w:rPr>
          <w:rFonts w:ascii="Arial" w:cs="Arial" w:eastAsia="Arial" w:hAnsi="Arial"/>
          <w:sz w:val="22"/>
          <w:szCs w:val="22"/>
        </w:rPr>
        <w:t xml:space="preserve">The core inference engine is a hybrid architecture composed of three sequential components:</w:t>
      </w:r>
    </w:p>
    <w:p>
      <w:pPr>
        <w:spacing w:after="100" w:before="100"/>
      </w:pPr>
    </w:p>
    <w:p>
      <w:pPr>
        <w:pStyle w:val="Heading3"/>
        <w:spacing w:after="80" w:before="180"/>
      </w:pPr>
      <w:r>
        <w:rPr>
          <w:rFonts w:ascii="Arial" w:cs="Arial" w:eastAsia="Arial" w:hAnsi="Arial"/>
          <w:b/>
          <w:bCs/>
          <w:color w:val="404040"/>
          <w:sz w:val="22"/>
          <w:szCs w:val="22"/>
        </w:rPr>
        <w:t xml:space="preserve">Component 1: DNABERT-2 Encoder</w:t>
      </w:r>
    </w:p>
    <w:p>
      <w:pPr>
        <w:spacing w:after="80" w:before="80"/>
        <w:jc w:val="both"/>
      </w:pPr>
      <w:r>
        <w:rPr>
          <w:rFonts w:ascii="Arial" w:cs="Arial" w:eastAsia="Arial" w:hAnsi="Arial"/>
          <w:b/>
          <w:bCs/>
          <w:sz w:val="22"/>
          <w:szCs w:val="22"/>
        </w:rPr>
        <w:t xml:space="preserve">DNABERT-2 </w:t>
      </w:r>
      <w:r>
        <w:rPr>
          <w:rFonts w:ascii="Arial" w:cs="Arial" w:eastAsia="Arial" w:hAnsi="Arial"/>
          <w:sz w:val="22"/>
          <w:szCs w:val="22"/>
        </w:rPr>
        <w:t xml:space="preserve">(Genome Foundation Model, 117M parameters) is a transformer-based DNA language model pre-trained on the full human reference genome using masked language modelling. It takes tokenised DNA sequences of up to 512 base pairs as input and produces dense contextual embeddings for each position.</w:t>
      </w:r>
    </w:p>
    <w:p>
      <w:pPr>
        <w:spacing w:after="100" w:before="100"/>
      </w:pPr>
    </w:p>
    <w:p>
      <w:pPr>
        <w:pStyle w:val="Heading3"/>
        <w:spacing w:after="80" w:before="180"/>
      </w:pPr>
      <w:r>
        <w:rPr>
          <w:rFonts w:ascii="Arial" w:cs="Arial" w:eastAsia="Arial" w:hAnsi="Arial"/>
          <w:b/>
          <w:bCs/>
          <w:color w:val="404040"/>
          <w:sz w:val="22"/>
          <w:szCs w:val="22"/>
        </w:rPr>
        <w:t xml:space="preserve">Component 2: Bidirectional LSTM (BiLSTM)</w:t>
      </w:r>
    </w:p>
    <w:p>
      <w:pPr>
        <w:spacing w:after="80" w:before="80"/>
        <w:jc w:val="both"/>
      </w:pPr>
      <w:r>
        <w:rPr>
          <w:rFonts w:ascii="Arial" w:cs="Arial" w:eastAsia="Arial" w:hAnsi="Arial"/>
          <w:b/>
          <w:bCs/>
          <w:sz w:val="22"/>
          <w:szCs w:val="22"/>
        </w:rPr>
        <w:t xml:space="preserve">A two-layer Bidirectional LSTM </w:t>
      </w:r>
      <w:r>
        <w:rPr>
          <w:rFonts w:ascii="Arial" w:cs="Arial" w:eastAsia="Arial" w:hAnsi="Arial"/>
          <w:sz w:val="22"/>
          <w:szCs w:val="22"/>
        </w:rPr>
        <w:t xml:space="preserve">with hidden size 256 per direction (512 total) processes the BERT embeddings sequentially. This component captures long-range sequential dependencies along the genomic sequence — particularly useful for identifying TE boundaries and internal structural signals that BERT's fixed context window may not capture globally.</w:t>
      </w:r>
    </w:p>
    <w:p>
      <w:pPr>
        <w:spacing w:after="100" w:before="100"/>
      </w:pPr>
    </w:p>
    <w:p>
      <w:pPr>
        <w:pStyle w:val="Heading3"/>
        <w:spacing w:after="80" w:before="180"/>
      </w:pPr>
      <w:r>
        <w:rPr>
          <w:rFonts w:ascii="Arial" w:cs="Arial" w:eastAsia="Arial" w:hAnsi="Arial"/>
          <w:b/>
          <w:bCs/>
          <w:color w:val="404040"/>
          <w:sz w:val="22"/>
          <w:szCs w:val="22"/>
        </w:rPr>
        <w:t xml:space="preserve">Component 3: Token Classifier</w:t>
      </w:r>
    </w:p>
    <w:p>
      <w:pPr>
        <w:spacing w:after="80" w:before="80"/>
        <w:jc w:val="both"/>
      </w:pPr>
      <w:r>
        <w:rPr>
          <w:rFonts w:ascii="Arial" w:cs="Arial" w:eastAsia="Arial" w:hAnsi="Arial"/>
          <w:sz w:val="22"/>
          <w:szCs w:val="22"/>
        </w:rPr>
        <w:t xml:space="preserve">A linear projection layer maps the BiLSTM hidden states to a label space corresponding to the target TE classes (e.g., LTR, LINE, SINE, Background). The model performs token-level classification, assigning a class label to each nucleotide position via the BIO (Beginning-Inside-Outside) scheme.</w:t>
      </w:r>
    </w:p>
    <w:p>
      <w:pPr>
        <w:spacing w:after="100" w:before="100"/>
      </w:pPr>
    </w:p>
    <w:p>
      <w:pPr>
        <w:pStyle w:val="Heading2"/>
        <w:spacing w:after="120" w:before="280"/>
      </w:pPr>
      <w:r>
        <w:rPr>
          <w:rFonts w:ascii="Arial" w:cs="Arial" w:eastAsia="Arial" w:hAnsi="Arial"/>
          <w:b/>
          <w:bCs/>
          <w:color w:val="2E75B6"/>
          <w:sz w:val="26"/>
          <w:szCs w:val="26"/>
        </w:rPr>
        <w:t xml:space="preserve">3.3 Inference Pipeline</w:t>
      </w:r>
    </w:p>
    <w:p>
      <w:pPr>
        <w:spacing w:after="80" w:before="80"/>
        <w:jc w:val="both"/>
      </w:pPr>
      <w:r>
        <w:rPr>
          <w:rFonts w:ascii="Arial" w:cs="Arial" w:eastAsia="Arial" w:hAnsi="Arial"/>
          <w:sz w:val="22"/>
          <w:szCs w:val="22"/>
        </w:rPr>
        <w:t xml:space="preserve">The inference pipeline is designed for memory efficiency and GPU saturation: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606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6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Mega-Chunking</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The genome is divided into large fragments (configurable, default 1 Mbp) to saturate GPU VRAM without overflow.</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Sliding Window</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Each chunk is tokenised with a 512 bp window and a 128 bp stride, producing overlapping sub-sequences.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Batched Inference</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windows from a chunk are processed in a single GPU batch using DataParallel across all selected GPUs.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4</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FP16 Mixed Precision</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Automatic Mixed Precision (AMP) halves VRAM consumption and accelerates inference on NVIDIA RTX/Ampere GPUs.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Vectorised Reconstruction</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Predictions are decoded via NumPy boolean masks, mapping token-level labels back to genomic coordinates.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6</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Gap Merging</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Adjacent predictions of the same class within 10 bp are merged to produce contiguous TE annotations.</w:t>
            </w:r>
          </w:p>
        </w:tc>
      </w:tr>
    </w:tbl>
    <w:p>
      <w:pPr>
        <w:spacing w:after="100" w:before="100"/>
      </w:pPr>
    </w:p>
    <w:p>
      <w:pPr>
        <w:pStyle w:val="Heading2"/>
        <w:spacing w:after="120" w:before="280"/>
      </w:pPr>
      <w:r>
        <w:rPr>
          <w:rFonts w:ascii="Arial" w:cs="Arial" w:eastAsia="Arial" w:hAnsi="Arial"/>
          <w:b/>
          <w:bCs/>
          <w:color w:val="2E75B6"/>
          <w:sz w:val="26"/>
          <w:szCs w:val="26"/>
        </w:rPr>
        <w:t xml:space="preserve">3.4 Library Builder Pipeline</w:t>
      </w:r>
    </w:p>
    <w:p>
      <w:pPr>
        <w:spacing w:after="80" w:before="80"/>
        <w:jc w:val="both"/>
      </w:pPr>
      <w:r>
        <w:rPr>
          <w:rFonts w:ascii="Arial" w:cs="Arial" w:eastAsia="Arial" w:hAnsi="Arial"/>
          <w:sz w:val="22"/>
          <w:szCs w:val="22"/>
        </w:rPr>
        <w:t xml:space="preserve">The library_builder.py module implements a three-stage post-processing pipeline:</w:t>
      </w:r>
    </w:p>
    <w:p>
      <w:pPr>
        <w:pStyle w:val="ListParagraph"/>
        <w:numPr>
          <w:ilvl w:val="0"/>
          <w:numId w:val="2"/>
        </w:numPr>
        <w:spacing w:after="60" w:before="60"/>
      </w:pPr>
      <w:r>
        <w:rPr>
          <w:rFonts w:ascii="Arial" w:cs="Arial" w:eastAsia="Arial" w:hAnsi="Arial"/>
          <w:b/>
          <w:bCs/>
          <w:sz w:val="22"/>
          <w:szCs w:val="22"/>
        </w:rPr>
        <w:t xml:space="preserve">Clusters candidate sequences by sequence identity and coverage to group related TE copies: </w:t>
      </w:r>
      <w:r>
        <w:rPr>
          <w:rFonts w:ascii="Arial" w:cs="Arial" w:eastAsia="Arial" w:hAnsi="Arial"/>
          <w:sz w:val="22"/>
          <w:szCs w:val="22"/>
        </w:rPr>
        <w:t xml:space="preserve">MMseqs2 easy-cluster</w:t>
      </w:r>
    </w:p>
    <w:p>
      <w:pPr>
        <w:pStyle w:val="ListParagraph"/>
        <w:numPr>
          <w:ilvl w:val="0"/>
          <w:numId w:val="2"/>
        </w:numPr>
        <w:spacing w:after="60" w:before="60"/>
      </w:pPr>
      <w:r>
        <w:rPr>
          <w:rFonts w:ascii="Arial" w:cs="Arial" w:eastAsia="Arial" w:hAnsi="Arial"/>
          <w:b/>
          <w:bCs/>
          <w:sz w:val="22"/>
          <w:szCs w:val="22"/>
        </w:rPr>
        <w:t xml:space="preserve">Generates a multiple sequence alignment (MSA) for each cluster using the adaptive strategy: </w:t>
      </w:r>
      <w:r>
        <w:rPr>
          <w:rFonts w:ascii="Arial" w:cs="Arial" w:eastAsia="Arial" w:hAnsi="Arial"/>
          <w:sz w:val="22"/>
          <w:szCs w:val="22"/>
        </w:rPr>
        <w:t xml:space="preserve">MAFFT --auto</w:t>
      </w:r>
    </w:p>
    <w:p>
      <w:pPr>
        <w:pStyle w:val="ListParagraph"/>
        <w:numPr>
          <w:ilvl w:val="0"/>
          <w:numId w:val="2"/>
        </w:numPr>
        <w:spacing w:after="60" w:before="60"/>
      </w:pPr>
      <w:r>
        <w:rPr>
          <w:rFonts w:ascii="Arial" w:cs="Arial" w:eastAsia="Arial" w:hAnsi="Arial"/>
          <w:b/>
          <w:bCs/>
          <w:sz w:val="22"/>
          <w:szCs w:val="22"/>
        </w:rPr>
        <w:t xml:space="preserve">Extracts a majority-vote consensus sequence from each MSA, producing one representative per TE family: </w:t>
      </w:r>
      <w:r>
        <w:rPr>
          <w:rFonts w:ascii="Arial" w:cs="Arial" w:eastAsia="Arial" w:hAnsi="Arial"/>
          <w:sz w:val="22"/>
          <w:szCs w:val="22"/>
        </w:rPr>
        <w:t xml:space="preserve">CIAlign / Python fallback</w:t>
      </w:r>
    </w:p>
    <w:p>
      <w:pPr>
        <w:spacing w:after="80" w:before="80"/>
        <w:jc w:val="both"/>
      </w:pPr>
      <w:r>
        <w:rPr>
          <w:rFonts w:ascii="Arial" w:cs="Arial" w:eastAsia="Arial" w:hAnsi="Arial"/>
          <w:sz w:val="22"/>
          <w:szCs w:val="22"/>
        </w:rPr>
        <w:t xml:space="preserve">All MAFFT and consensus steps are parallelised using Python's multiprocessing.Pool, with configurable worker count.</w:t>
      </w:r>
    </w:p>
    <w:p>
      <w:pPr>
        <w:spacing w:after="100" w:before="100"/>
      </w:pPr>
    </w:p>
    <w:p>
      <w:pPr>
        <w:pStyle w:val="Heading2"/>
        <w:spacing w:after="120" w:before="280"/>
      </w:pPr>
      <w:r>
        <w:rPr>
          <w:rFonts w:ascii="Arial" w:cs="Arial" w:eastAsia="Arial" w:hAnsi="Arial"/>
          <w:b/>
          <w:bCs/>
          <w:color w:val="2E75B6"/>
          <w:sz w:val="26"/>
          <w:szCs w:val="26"/>
        </w:rPr>
        <w:t xml:space="preserve">3.5 Multi-GPU Support</w:t>
      </w:r>
    </w:p>
    <w:p>
      <w:pPr>
        <w:spacing w:after="80" w:before="80"/>
        <w:jc w:val="both"/>
      </w:pPr>
      <w:r>
        <w:rPr>
          <w:rFonts w:ascii="Arial" w:cs="Arial" w:eastAsia="Arial" w:hAnsi="Arial"/>
          <w:sz w:val="22"/>
          <w:szCs w:val="22"/>
        </w:rPr>
        <w:t xml:space="preserve">PinaNet uses PyTorch's nn.DataParallel to distribute inference workloads across multiple GPUs. The user can control GPU usage via two CLI parameters: --gpu-ids (select specific devices by ID) and --num-gpus (limit the number of devices). If neither is specified, all available GPUs are used automatically.</w:t>
      </w:r>
    </w:p>
    <w:p>
      <w:pPr>
        <w:spacing w:after="100" w:before="100"/>
      </w:pPr>
    </w:p>
    <w:p>
      <w:pPr>
        <w:pStyle w:val="Heading1"/>
        <w:pBdr>
          <w:bottom w:val="single" w:color="2E75B6" w:sz="6" w:space="4"/>
        </w:pBdr>
        <w:spacing w:after="160" w:before="360"/>
      </w:pPr>
      <w:r>
        <w:rPr>
          <w:rFonts w:ascii="Arial" w:cs="Arial" w:eastAsia="Arial" w:hAnsi="Arial"/>
          <w:b/>
          <w:bCs/>
          <w:color w:val="1F4E79"/>
          <w:sz w:val="32"/>
          <w:szCs w:val="32"/>
        </w:rPr>
        <w:t xml:space="preserve">4. Technical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Base 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DNABERT-2-117M (quietflamingo/dnabert2-no-flashattention)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BiLSTM layers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bidirectional layers, hidden size 256 per direction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Total parameters (BERT+BiLSTM)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~117M (BERT) + ~2.6M (BiLSTM + classifier)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Tokeniser window</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512 tokens (base pairs)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Inference stride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 base pairs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Precision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FP16 (Mixed Precision via torch.amp.autocast)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Multi-GPU strategy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DataParallel (single-machine, multi-GPU)</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Output format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GFF3 (annotation) + FASTA (candidate library)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Classification levels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Binary, Order, Superfamily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Input format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FASTA (.fasta, .fa, .fna)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Supported 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Linux (Ubuntu 20.04 / 22.04)</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License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MIT</w:t>
            </w:r>
          </w:p>
        </w:tc>
      </w:tr>
    </w:tbl>
    <w:p>
      <w:pPr>
        <w:spacing w:after="100" w:before="100"/>
      </w:pPr>
    </w:p>
    <w:p>
      <w:pPr>
        <w:pStyle w:val="Heading1"/>
        <w:pBdr>
          <w:bottom w:val="single" w:color="2E75B6" w:sz="6" w:space="4"/>
        </w:pBdr>
        <w:spacing w:after="160" w:before="360"/>
      </w:pPr>
      <w:r>
        <w:rPr>
          <w:rFonts w:ascii="Arial" w:cs="Arial" w:eastAsia="Arial" w:hAnsi="Arial"/>
          <w:b/>
          <w:bCs/>
          <w:color w:val="1F4E79"/>
          <w:sz w:val="32"/>
          <w:szCs w:val="32"/>
        </w:rPr>
        <w:t xml:space="preserve">5. Capabilities and Limitations</w:t>
      </w:r>
    </w:p>
    <w:p>
      <w:pPr>
        <w:pStyle w:val="Heading2"/>
        <w:spacing w:after="120" w:before="280"/>
      </w:pPr>
      <w:r>
        <w:rPr>
          <w:rFonts w:ascii="Arial" w:cs="Arial" w:eastAsia="Arial" w:hAnsi="Arial"/>
          <w:b/>
          <w:bCs/>
          <w:color w:val="2E75B6"/>
          <w:sz w:val="26"/>
          <w:szCs w:val="26"/>
        </w:rPr>
        <w:t xml:space="preserve">5.1 Capabilities</w:t>
      </w:r>
    </w:p>
    <w:p>
      <w:pPr>
        <w:pStyle w:val="ListParagraph"/>
        <w:numPr>
          <w:ilvl w:val="0"/>
          <w:numId w:val="2"/>
        </w:numPr>
        <w:spacing w:after="60" w:before="60"/>
      </w:pPr>
      <w:r>
        <w:rPr>
          <w:rFonts w:ascii="Arial" w:cs="Arial" w:eastAsia="Arial" w:hAnsi="Arial"/>
          <w:sz w:val="22"/>
          <w:szCs w:val="22"/>
        </w:rPr>
        <w:t xml:space="preserve">Detection of transposable elements directly from raw, unannotated genome assemblies.</w:t>
      </w:r>
    </w:p>
    <w:p>
      <w:pPr>
        <w:pStyle w:val="ListParagraph"/>
        <w:numPr>
          <w:ilvl w:val="0"/>
          <w:numId w:val="2"/>
        </w:numPr>
        <w:spacing w:after="60" w:before="60"/>
      </w:pPr>
      <w:r>
        <w:rPr>
          <w:rFonts w:ascii="Arial" w:cs="Arial" w:eastAsia="Arial" w:hAnsi="Arial"/>
          <w:sz w:val="22"/>
          <w:szCs w:val="22"/>
        </w:rPr>
        <w:t xml:space="preserve">Three levels of taxonomic resolution: binary presence/absence, TE order, and TE superfamily.</w:t>
      </w:r>
    </w:p>
    <w:p>
      <w:pPr>
        <w:pStyle w:val="ListParagraph"/>
        <w:numPr>
          <w:ilvl w:val="0"/>
          <w:numId w:val="2"/>
        </w:numPr>
        <w:spacing w:after="60" w:before="60"/>
      </w:pPr>
      <w:r>
        <w:rPr>
          <w:rFonts w:ascii="Arial" w:cs="Arial" w:eastAsia="Arial" w:hAnsi="Arial"/>
          <w:sz w:val="22"/>
          <w:szCs w:val="22"/>
        </w:rPr>
        <w:t xml:space="preserve">Efficient multi-GPU inference supporting servers with up to 8+ NVIDIA GPUs.</w:t>
      </w:r>
    </w:p>
    <w:p>
      <w:pPr>
        <w:pStyle w:val="ListParagraph"/>
        <w:numPr>
          <w:ilvl w:val="0"/>
          <w:numId w:val="2"/>
        </w:numPr>
        <w:spacing w:after="60" w:before="60"/>
      </w:pPr>
      <w:r>
        <w:rPr>
          <w:rFonts w:ascii="Arial" w:cs="Arial" w:eastAsia="Arial" w:hAnsi="Arial"/>
          <w:sz w:val="22"/>
          <w:szCs w:val="22"/>
        </w:rPr>
        <w:t xml:space="preserve">Flexible GPU selection: users can specify exact GPU IDs or limit device count to avoid conflicts in shared environments.</w:t>
      </w:r>
    </w:p>
    <w:p>
      <w:pPr>
        <w:pStyle w:val="ListParagraph"/>
        <w:numPr>
          <w:ilvl w:val="0"/>
          <w:numId w:val="2"/>
        </w:numPr>
        <w:spacing w:after="60" w:before="60"/>
      </w:pPr>
      <w:r>
        <w:rPr>
          <w:rFonts w:ascii="Arial" w:cs="Arial" w:eastAsia="Arial" w:hAnsi="Arial"/>
          <w:sz w:val="22"/>
          <w:szCs w:val="22"/>
        </w:rPr>
        <w:t xml:space="preserve">Automated weight loading verification to detect misconfigured or missing model files before inference.</w:t>
      </w:r>
    </w:p>
    <w:p>
      <w:pPr>
        <w:pStyle w:val="ListParagraph"/>
        <w:numPr>
          <w:ilvl w:val="0"/>
          <w:numId w:val="2"/>
        </w:numPr>
        <w:spacing w:after="60" w:before="60"/>
      </w:pPr>
      <w:r>
        <w:rPr>
          <w:rFonts w:ascii="Arial" w:cs="Arial" w:eastAsia="Arial" w:hAnsi="Arial"/>
          <w:sz w:val="22"/>
          <w:szCs w:val="22"/>
        </w:rPr>
        <w:t xml:space="preserve">Downstream consensus library generation compatible with RepeatMasker (-lib).</w:t>
      </w:r>
    </w:p>
    <w:p>
      <w:pPr>
        <w:pStyle w:val="ListParagraph"/>
        <w:numPr>
          <w:ilvl w:val="0"/>
          <w:numId w:val="2"/>
        </w:numPr>
        <w:spacing w:after="60" w:before="60"/>
      </w:pPr>
      <w:r>
        <w:rPr>
          <w:rFonts w:ascii="Arial" w:cs="Arial" w:eastAsia="Arial" w:hAnsi="Arial"/>
          <w:sz w:val="22"/>
          <w:szCs w:val="22"/>
        </w:rPr>
        <w:t xml:space="preserve">Parallel post-processing using Python multiprocessing for scalable library building.</w:t>
      </w:r>
    </w:p>
    <w:p>
      <w:pPr>
        <w:spacing w:after="100" w:before="100"/>
      </w:pPr>
    </w:p>
    <w:p>
      <w:pPr>
        <w:pStyle w:val="Heading2"/>
        <w:spacing w:after="120" w:before="280"/>
      </w:pPr>
      <w:r>
        <w:rPr>
          <w:rFonts w:ascii="Arial" w:cs="Arial" w:eastAsia="Arial" w:hAnsi="Arial"/>
          <w:b/>
          <w:bCs/>
          <w:color w:val="2E75B6"/>
          <w:sz w:val="26"/>
          <w:szCs w:val="26"/>
        </w:rPr>
        <w:t xml:space="preserve">5.2 Current Limitations</w:t>
      </w:r>
    </w:p>
    <w:p>
      <w:pPr>
        <w:pStyle w:val="ListParagraph"/>
        <w:numPr>
          <w:ilvl w:val="0"/>
          <w:numId w:val="2"/>
        </w:numPr>
        <w:spacing w:after="60" w:before="60"/>
      </w:pPr>
      <w:r>
        <w:rPr>
          <w:rFonts w:ascii="Arial" w:cs="Arial" w:eastAsia="Arial" w:hAnsi="Arial"/>
          <w:sz w:val="22"/>
          <w:szCs w:val="22"/>
        </w:rPr>
        <w:t xml:space="preserve">Designed exclusively for Linux environments with NVIDIA CUDA GPUs. CPU-only mode is supported but significantly slower.</w:t>
      </w:r>
    </w:p>
    <w:p>
      <w:pPr>
        <w:pStyle w:val="ListParagraph"/>
        <w:numPr>
          <w:ilvl w:val="0"/>
          <w:numId w:val="2"/>
        </w:numPr>
        <w:spacing w:after="60" w:before="60"/>
      </w:pPr>
      <w:r>
        <w:rPr>
          <w:rFonts w:ascii="Arial" w:cs="Arial" w:eastAsia="Arial" w:hAnsi="Arial"/>
          <w:sz w:val="22"/>
          <w:szCs w:val="22"/>
        </w:rPr>
        <w:t xml:space="preserve">The base model (DNABERT-2) has a fixed context window of 512 bp; very long TE copies are processed through overlapping windows, which may introduce boundary artefacts.</w:t>
      </w:r>
    </w:p>
    <w:p>
      <w:pPr>
        <w:pStyle w:val="ListParagraph"/>
        <w:numPr>
          <w:ilvl w:val="0"/>
          <w:numId w:val="2"/>
        </w:numPr>
        <w:spacing w:after="60" w:before="60"/>
      </w:pPr>
      <w:r>
        <w:rPr>
          <w:rFonts w:ascii="Arial" w:cs="Arial" w:eastAsia="Arial" w:hAnsi="Arial"/>
          <w:sz w:val="22"/>
          <w:szCs w:val="22"/>
        </w:rPr>
        <w:t xml:space="preserve">The multi-GPU implementation uses DataParallel, which requires all GPUs to be on the same physical node. Distributed multi-node inference is not supported in this version.</w:t>
      </w:r>
    </w:p>
    <w:p>
      <w:pPr>
        <w:pStyle w:val="ListParagraph"/>
        <w:numPr>
          <w:ilvl w:val="0"/>
          <w:numId w:val="2"/>
        </w:numPr>
        <w:spacing w:after="60" w:before="60"/>
      </w:pPr>
      <w:r>
        <w:rPr>
          <w:rFonts w:ascii="Arial" w:cs="Arial" w:eastAsia="Arial" w:hAnsi="Arial"/>
          <w:sz w:val="22"/>
          <w:szCs w:val="22"/>
        </w:rPr>
        <w:t xml:space="preserve">Model generalisation to highly divergent or underrepresented TE families depends on the training data used to fine-tune the classification heads.</w:t>
      </w:r>
    </w:p>
    <w:p>
      <w:pPr>
        <w:spacing w:after="100" w:before="100"/>
      </w:pPr>
    </w:p>
    <w:p>
      <w:pPr>
        <w:pStyle w:val="Heading1"/>
        <w:pBdr>
          <w:bottom w:val="single" w:color="2E75B6" w:sz="6" w:space="4"/>
        </w:pBdr>
        <w:spacing w:after="160" w:before="360"/>
      </w:pPr>
      <w:r>
        <w:rPr>
          <w:rFonts w:ascii="Arial" w:cs="Arial" w:eastAsia="Arial" w:hAnsi="Arial"/>
          <w:b/>
          <w:bCs/>
          <w:color w:val="1F4E79"/>
          <w:sz w:val="32"/>
          <w:szCs w:val="32"/>
        </w:rPr>
        <w:t xml:space="preserve">6. Software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torch (PyTorch)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2.0</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Deep learning framework and GPU management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transformers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 4.30</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DNABERT-2 model loading and tokenization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biopython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1.80</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FASTA and GFF3 parsing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typer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 0.9</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Command-line interface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numpy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1.24</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Vectorized post-processing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pandas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 2.0</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Data management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tqdm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4.65</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Progress bar display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mmseqs2 (conda)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 14.x</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Sequence clustering (library_builder)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mafft (conda)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7.5</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Multiple sequence alignment (library_builder)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cialign (pip, optional)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 1.0</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Consensus generation (library_builder)</w:t>
            </w:r>
          </w:p>
        </w:tc>
      </w:tr>
    </w:tbl>
    <w:p>
      <w:pPr>
        <w:spacing w:after="100" w:before="100"/>
      </w:pPr>
    </w:p>
    <w:p>
      <w:pPr>
        <w:pStyle w:val="Heading1"/>
        <w:pBdr>
          <w:bottom w:val="single" w:color="2E75B6" w:sz="6" w:space="4"/>
        </w:pBdr>
        <w:spacing w:after="160" w:before="360"/>
      </w:pPr>
      <w:r>
        <w:rPr>
          <w:rFonts w:ascii="Arial" w:cs="Arial" w:eastAsia="Arial" w:hAnsi="Arial"/>
          <w:b/>
          <w:bCs/>
          <w:color w:val="1F4E79"/>
          <w:sz w:val="32"/>
          <w:szCs w:val="32"/>
        </w:rPr>
        <w:t xml:space="preserve">7. Software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 / Directory</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Te_annotator.py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Main inference script. CLI entry point for genome annotation.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library_builder.py</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Post-processing module for consensus library generation.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requirements.txt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Python dependency list for pip installation.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models/binary/</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Trained weights and config for binary classification.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models/order/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Trained weights and config for TE order classification.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models/superfamilies/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Trained weights and config for superfamily classification.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test/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Example FASTA and GFF3 files for installation validation.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README.md</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Project documentation with usage instructions.</w:t>
            </w:r>
          </w:p>
        </w:tc>
      </w:tr>
    </w:tbl>
    <w:p>
      <w:pPr>
        <w:spacing w:after="100" w:before="100"/>
      </w:pPr>
    </w:p>
    <w:p>
      <w:pPr>
        <w:pStyle w:val="Heading1"/>
        <w:pBdr>
          <w:bottom w:val="single" w:color="2E75B6" w:sz="6" w:space="4"/>
        </w:pBdr>
        <w:spacing w:after="160" w:before="360"/>
      </w:pPr>
      <w:r>
        <w:rPr>
          <w:rFonts w:ascii="Arial" w:cs="Arial" w:eastAsia="Arial" w:hAnsi="Arial"/>
          <w:b/>
          <w:bCs/>
          <w:color w:val="1F4E79"/>
          <w:sz w:val="32"/>
          <w:szCs w:val="32"/>
        </w:rPr>
        <w:t xml:space="preserve">8. References</w:t>
      </w:r>
    </w:p>
    <w:p>
      <w:pPr>
        <w:spacing w:after="80" w:before="80"/>
        <w:jc w:val="both"/>
      </w:pPr>
      <w:r>
        <w:rPr>
          <w:rFonts w:ascii="Arial" w:cs="Arial" w:eastAsia="Arial" w:hAnsi="Arial"/>
          <w:b/>
          <w:bCs/>
          <w:sz w:val="22"/>
          <w:szCs w:val="22"/>
        </w:rPr>
        <w:t xml:space="preserve">Zhou, Z. et al. (2023). </w:t>
      </w:r>
      <w:r>
        <w:rPr>
          <w:rFonts w:ascii="Arial" w:cs="Arial" w:eastAsia="Arial" w:hAnsi="Arial"/>
          <w:sz w:val="22"/>
          <w:szCs w:val="22"/>
        </w:rPr>
        <w:t xml:space="preserve">DNABERT-2: Efficient Foundation Model and Benchmark for Multi-Species Genome. </w:t>
      </w:r>
      <w:r>
        <w:rPr>
          <w:rFonts w:ascii="Arial" w:cs="Arial" w:eastAsia="Arial" w:hAnsi="Arial"/>
          <w:i/>
          <w:iCs/>
          <w:sz w:val="22"/>
          <w:szCs w:val="22"/>
        </w:rPr>
        <w:t xml:space="preserve">arXiv:2306.15006.</w:t>
      </w:r>
    </w:p>
    <w:p>
      <w:pPr>
        <w:spacing w:after="100" w:before="100"/>
      </w:pPr>
    </w:p>
    <w:p>
      <w:pPr>
        <w:spacing w:after="80" w:before="80"/>
        <w:jc w:val="both"/>
      </w:pPr>
      <w:r>
        <w:rPr>
          <w:rFonts w:ascii="Arial" w:cs="Arial" w:eastAsia="Arial" w:hAnsi="Arial"/>
          <w:b/>
          <w:bCs/>
          <w:sz w:val="22"/>
          <w:szCs w:val="22"/>
        </w:rPr>
        <w:t xml:space="preserve">Steinegger, M. &amp; Söding, J. (2017). </w:t>
      </w:r>
      <w:r>
        <w:rPr>
          <w:rFonts w:ascii="Arial" w:cs="Arial" w:eastAsia="Arial" w:hAnsi="Arial"/>
          <w:sz w:val="22"/>
          <w:szCs w:val="22"/>
        </w:rPr>
        <w:t xml:space="preserve">MMseqs2 enables sensitive protein sequence searching for the analysis of massive data sets. </w:t>
      </w:r>
      <w:r>
        <w:rPr>
          <w:rFonts w:ascii="Arial" w:cs="Arial" w:eastAsia="Arial" w:hAnsi="Arial"/>
          <w:i/>
          <w:iCs/>
          <w:sz w:val="22"/>
          <w:szCs w:val="22"/>
        </w:rPr>
        <w:t xml:space="preserve">Nature Biotechnology, 35, 1026–1028.</w:t>
      </w:r>
    </w:p>
    <w:p>
      <w:pPr>
        <w:spacing w:after="100" w:before="100"/>
      </w:pPr>
    </w:p>
    <w:p>
      <w:pPr>
        <w:spacing w:after="80" w:before="80"/>
        <w:jc w:val="both"/>
      </w:pPr>
      <w:r>
        <w:rPr>
          <w:rFonts w:ascii="Arial" w:cs="Arial" w:eastAsia="Arial" w:hAnsi="Arial"/>
          <w:b/>
          <w:bCs/>
          <w:sz w:val="22"/>
          <w:szCs w:val="22"/>
        </w:rPr>
        <w:t xml:space="preserve">Katoh, K. &amp; Standley, D.M. (2013). </w:t>
      </w:r>
      <w:r>
        <w:rPr>
          <w:rFonts w:ascii="Arial" w:cs="Arial" w:eastAsia="Arial" w:hAnsi="Arial"/>
          <w:sz w:val="22"/>
          <w:szCs w:val="22"/>
        </w:rPr>
        <w:t xml:space="preserve">MAFFT Multiple Sequence Alignment Software Version 7: Improvements in Performance and Usability. </w:t>
      </w:r>
      <w:r>
        <w:rPr>
          <w:rFonts w:ascii="Arial" w:cs="Arial" w:eastAsia="Arial" w:hAnsi="Arial"/>
          <w:i/>
          <w:iCs/>
          <w:sz w:val="22"/>
          <w:szCs w:val="22"/>
        </w:rPr>
        <w:t xml:space="preserve">Molecular Biology and Evolution, 30(4), 772–780.</w:t>
      </w:r>
    </w:p>
    <w:p>
      <w:pPr>
        <w:spacing w:after="100" w:before="100"/>
      </w:pPr>
    </w:p>
    <w:p>
      <w:pPr>
        <w:spacing w:after="80" w:before="80"/>
        <w:jc w:val="both"/>
      </w:pPr>
      <w:r>
        <w:rPr>
          <w:rFonts w:ascii="Arial" w:cs="Arial" w:eastAsia="Arial" w:hAnsi="Arial"/>
          <w:b/>
          <w:bCs/>
          <w:sz w:val="22"/>
          <w:szCs w:val="22"/>
        </w:rPr>
        <w:t xml:space="preserve">Brown, K. et al. (2022). </w:t>
      </w:r>
      <w:r>
        <w:rPr>
          <w:rFonts w:ascii="Arial" w:cs="Arial" w:eastAsia="Arial" w:hAnsi="Arial"/>
          <w:sz w:val="22"/>
          <w:szCs w:val="22"/>
        </w:rPr>
        <w:t xml:space="preserve">CIAlign: A highly customisable command line tool to clean, interpret and visualise multiple sequence alignments. </w:t>
      </w:r>
      <w:r>
        <w:rPr>
          <w:rFonts w:ascii="Arial" w:cs="Arial" w:eastAsia="Arial" w:hAnsi="Arial"/>
          <w:i/>
          <w:iCs/>
          <w:sz w:val="22"/>
          <w:szCs w:val="22"/>
        </w:rPr>
        <w:t xml:space="preserve">PeerJ, 10:e12983.</w:t>
      </w:r>
    </w:p>
    <w:p>
      <w:pPr>
        <w:spacing w:after="100" w:before="100"/>
      </w:pPr>
    </w:p>
    <w:p>
      <w:pPr>
        <w:spacing w:after="80" w:before="80"/>
        <w:jc w:val="both"/>
      </w:pPr>
      <w:r>
        <w:rPr>
          <w:rFonts w:ascii="Arial" w:cs="Arial" w:eastAsia="Arial" w:hAnsi="Arial"/>
          <w:b/>
          <w:bCs/>
          <w:sz w:val="22"/>
          <w:szCs w:val="22"/>
        </w:rPr>
        <w:t xml:space="preserve">Smit, A., Hubley, R., &amp; Green, P. (2013). </w:t>
      </w:r>
      <w:r>
        <w:rPr>
          <w:rFonts w:ascii="Arial" w:cs="Arial" w:eastAsia="Arial" w:hAnsi="Arial"/>
          <w:sz w:val="22"/>
          <w:szCs w:val="22"/>
        </w:rPr>
        <w:t xml:space="preserve">RepeatMasker Open-4.0. </w:t>
      </w:r>
      <w:r>
        <w:rPr>
          <w:rFonts w:ascii="Arial" w:cs="Arial" w:eastAsia="Arial" w:hAnsi="Arial"/>
          <w:i/>
          <w:iCs/>
          <w:sz w:val="22"/>
          <w:szCs w:val="22"/>
        </w:rPr>
        <w:t xml:space="preserve">http://www.repeatmasker.org.</w:t>
      </w:r>
    </w:p>
    <w:p>
      <w:pPr>
        <w:spacing w:after="100" w:before="100"/>
      </w:pPr>
    </w:p>
    <w:p>
      <w:pPr>
        <w:spacing w:before="480"/>
        <w:jc w:val="center"/>
      </w:pPr>
      <w:r>
        <w:rPr>
          <w:rFonts w:ascii="Arial" w:cs="Arial" w:eastAsia="Arial" w:hAnsi="Arial"/>
          <w:i/>
          <w:iCs/>
          <w:color w:val="888888"/>
          <w:sz w:val="18"/>
          <w:szCs w:val="18"/>
        </w:rPr>
        <w:t xml:space="preserve">PinaNet  |  Developed by Johan S. Piña — Master's in Bioinformatics,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555555"/>
        <w:sz w:val="18"/>
        <w:szCs w:val="18"/>
      </w:rPr>
      <w:t xml:space="preserve">PinaNet — Software Description Document    |    v1.0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2026-03-19T16:16:29.664Z</dcterms:created>
  <dcterms:modified xsi:type="dcterms:W3CDTF">2026-03-19T16:16:29.664Z</dcterms:modified>
</cp:coreProperties>
</file>

<file path=docProps/custom.xml><?xml version="1.0" encoding="utf-8"?>
<Properties xmlns="http://schemas.openxmlformats.org/officeDocument/2006/custom-properties" xmlns:vt="http://schemas.openxmlformats.org/officeDocument/2006/docPropsVTypes"/>
</file>