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0E18" w14:textId="77777777" w:rsidR="00EA3D00" w:rsidRPr="00AA1873" w:rsidRDefault="00000000">
      <w:pPr>
        <w:pStyle w:val="Heading1"/>
        <w:spacing w:after="60"/>
        <w:rPr>
          <w:color w:val="000000" w:themeColor="text1"/>
        </w:rPr>
      </w:pPr>
      <w:r w:rsidRPr="00AA1873">
        <w:rPr>
          <w:b/>
          <w:bCs/>
          <w:color w:val="000000" w:themeColor="text1"/>
          <w:sz w:val="22"/>
          <w:szCs w:val="22"/>
        </w:rPr>
        <w:t>Chapter 1</w:t>
      </w:r>
    </w:p>
    <w:p w14:paraId="36C2754D" w14:textId="77777777" w:rsidR="00EA3D00" w:rsidRPr="00AA1873" w:rsidRDefault="00000000">
      <w:pPr>
        <w:pStyle w:val="Heading1"/>
        <w:spacing w:after="240"/>
        <w:rPr>
          <w:color w:val="000000" w:themeColor="text1"/>
        </w:rPr>
      </w:pPr>
      <w:r w:rsidRPr="00AA1873">
        <w:rPr>
          <w:b/>
          <w:bCs/>
          <w:color w:val="000000" w:themeColor="text1"/>
          <w:sz w:val="36"/>
          <w:szCs w:val="36"/>
        </w:rPr>
        <w:t>System Study</w:t>
      </w:r>
    </w:p>
    <w:p w14:paraId="5D1AE8DB"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1.1 Introduction</w:t>
      </w:r>
    </w:p>
    <w:p w14:paraId="6C640A40" w14:textId="77777777" w:rsidR="00EA3D00" w:rsidRPr="00AA1873" w:rsidRDefault="00000000">
      <w:pPr>
        <w:spacing w:after="160" w:line="300" w:lineRule="auto"/>
        <w:jc w:val="both"/>
        <w:rPr>
          <w:color w:val="000000" w:themeColor="text1"/>
        </w:rPr>
      </w:pPr>
      <w:r w:rsidRPr="00AA1873">
        <w:rPr>
          <w:color w:val="000000" w:themeColor="text1"/>
          <w:sz w:val="22"/>
          <w:szCs w:val="22"/>
        </w:rPr>
        <w:t>This chapter presents a detailed study of the problem domain addressed by TraceFund, the systems and initiatives that currently exist in this space, the limitations of those systems, the proposed solution, and a formal analysis of the technical, operational, economic, and schedule feasibility of building the system within the constraints of the project.</w:t>
      </w:r>
    </w:p>
    <w:p w14:paraId="54EA1A48"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1.2 Problem Statement</w:t>
      </w:r>
    </w:p>
    <w:p w14:paraId="33FF1EB0" w14:textId="77777777" w:rsidR="00EA3D00" w:rsidRPr="00AA1873" w:rsidRDefault="00000000">
      <w:pPr>
        <w:spacing w:after="160" w:line="300" w:lineRule="auto"/>
        <w:jc w:val="both"/>
        <w:rPr>
          <w:color w:val="000000" w:themeColor="text1"/>
        </w:rPr>
      </w:pPr>
      <w:r w:rsidRPr="00AA1873">
        <w:rPr>
          <w:color w:val="000000" w:themeColor="text1"/>
          <w:sz w:val="22"/>
          <w:szCs w:val="22"/>
        </w:rPr>
        <w:t>Public funds such as government subsidies, disaster relief, and welfare payments are disbursed as cash or standard bank transfers. Once such a transfer reaches a beneficiary, it becomes ordinary, unrestricted money. Two specific, distinct problems follow from this:</w:t>
      </w:r>
    </w:p>
    <w:p w14:paraId="5D491A4E"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(i) The fund's purpose cannot be enforced. A disaster-relief payment intended for food and medicine can, in practice, be spent on anything at all, because a bank balance carries no memory of what it was meant for.</w:t>
      </w:r>
    </w:p>
    <w:p w14:paraId="58831068"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(ii) Misuse is discoverable only in hindsight. Where audits or investigations exist, they occur long after the money has moved, by which point diverted funds are typically unrecoverable and no continuous, structural view of transaction patterns is available to catch fraud as it develops.</w:t>
      </w:r>
    </w:p>
    <w:p w14:paraId="3719391A" w14:textId="77777777" w:rsidR="00EA3D00" w:rsidRPr="00AA1873" w:rsidRDefault="00000000">
      <w:pPr>
        <w:spacing w:after="160" w:line="300" w:lineRule="auto"/>
        <w:jc w:val="both"/>
        <w:rPr>
          <w:color w:val="000000" w:themeColor="text1"/>
        </w:rPr>
      </w:pPr>
      <w:r w:rsidRPr="00AA1873">
        <w:rPr>
          <w:color w:val="000000" w:themeColor="text1"/>
          <w:sz w:val="22"/>
          <w:szCs w:val="22"/>
        </w:rPr>
        <w:t>These two problems compound each other: a welfare program today can, at best, monitor fund disbursement in aggregate and investigate individual complaints reactively, but cannot prevent misuse at the moment it happens or trace it reliably back through an unbroken record.</w:t>
      </w:r>
    </w:p>
    <w:p w14:paraId="5DB073AF"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1.3 Existing Systems and Literature Survey</w:t>
      </w:r>
    </w:p>
    <w:p w14:paraId="5552E73A" w14:textId="77777777" w:rsidR="00EA3D00" w:rsidRPr="00AA1873" w:rsidRDefault="00000000">
      <w:pPr>
        <w:spacing w:after="160" w:line="300" w:lineRule="auto"/>
        <w:jc w:val="both"/>
        <w:rPr>
          <w:color w:val="000000" w:themeColor="text1"/>
        </w:rPr>
      </w:pPr>
      <w:r w:rsidRPr="00AA1873">
        <w:rPr>
          <w:color w:val="000000" w:themeColor="text1"/>
          <w:sz w:val="22"/>
          <w:szCs w:val="22"/>
        </w:rPr>
        <w:t>A survey of existing initiatives, platform-level pilots, and the surrounding research relevant to this problem is summarized in Table 1.1.</w:t>
      </w:r>
    </w:p>
    <w:p w14:paraId="687D7010" w14:textId="77777777" w:rsidR="00EA3D00" w:rsidRPr="00AA1873" w:rsidRDefault="00000000">
      <w:pPr>
        <w:spacing w:before="60" w:after="100"/>
        <w:rPr>
          <w:color w:val="000000" w:themeColor="text1"/>
        </w:rPr>
      </w:pPr>
      <w:r w:rsidRPr="00AA1873">
        <w:rPr>
          <w:b/>
          <w:bCs/>
          <w:i/>
          <w:iCs/>
          <w:color w:val="000000" w:themeColor="text1"/>
          <w:sz w:val="19"/>
          <w:szCs w:val="19"/>
        </w:rPr>
        <w:t>Table 1.1: Existing systems, initiatives, and their limitations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EA3D00" w:rsidRPr="00AA1873" w14:paraId="7E892155" w14:textId="77777777" w:rsidTr="00AA1873">
        <w:tblPrEx>
          <w:tblCellMar>
            <w:top w:w="0" w:type="dxa"/>
            <w:bottom w:w="0" w:type="dxa"/>
          </w:tblCellMar>
        </w:tblPrEx>
        <w:tc>
          <w:tcPr>
            <w:tcW w:w="3000" w:type="dxa"/>
            <w:tcMar>
              <w:top w:w="80" w:type="dxa"/>
              <w:left w:w="100" w:type="dxa"/>
              <w:bottom w:w="80" w:type="dxa"/>
              <w:right w:w="100" w:type="dxa"/>
            </w:tcMar>
            <w:vAlign w:val="center"/>
          </w:tcPr>
          <w:p w14:paraId="2F410768" w14:textId="77777777" w:rsidR="00EA3D00" w:rsidRPr="00AA1873" w:rsidRDefault="00000000">
            <w:pPr>
              <w:rPr>
                <w:color w:val="000000" w:themeColor="text1"/>
              </w:rPr>
            </w:pPr>
            <w:r w:rsidRPr="00AA1873">
              <w:rPr>
                <w:b/>
                <w:bCs/>
                <w:color w:val="000000" w:themeColor="text1"/>
              </w:rPr>
              <w:t>System / Research</w:t>
            </w:r>
          </w:p>
        </w:tc>
        <w:tc>
          <w:tcPr>
            <w:tcW w:w="6400" w:type="dxa"/>
            <w:tcMar>
              <w:top w:w="80" w:type="dxa"/>
              <w:left w:w="100" w:type="dxa"/>
              <w:bottom w:w="80" w:type="dxa"/>
              <w:right w:w="100" w:type="dxa"/>
            </w:tcMar>
            <w:vAlign w:val="center"/>
          </w:tcPr>
          <w:p w14:paraId="6CC5E257" w14:textId="77777777" w:rsidR="00EA3D00" w:rsidRPr="00AA1873" w:rsidRDefault="00000000">
            <w:pPr>
              <w:rPr>
                <w:color w:val="000000" w:themeColor="text1"/>
              </w:rPr>
            </w:pPr>
            <w:r w:rsidRPr="00AA1873">
              <w:rPr>
                <w:b/>
                <w:bCs/>
                <w:color w:val="000000" w:themeColor="text1"/>
              </w:rPr>
              <w:t>Limitation addressed by TraceFund</w:t>
            </w:r>
          </w:p>
        </w:tc>
      </w:tr>
      <w:tr w:rsidR="00EA3D00" w:rsidRPr="00AA1873" w14:paraId="1A2B03A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6DD0B249" w14:textId="77777777" w:rsidR="00EA3D00" w:rsidRPr="00AA1873" w:rsidRDefault="00000000">
            <w:pPr>
              <w:rPr>
                <w:color w:val="000000" w:themeColor="text1"/>
              </w:rPr>
            </w:pPr>
            <w:r w:rsidRPr="00AA1873">
              <w:rPr>
                <w:color w:val="000000" w:themeColor="text1"/>
              </w:rPr>
              <w:t>WFP Building Blocks (blockchain cash transfers for refugees, Jordan/Bangladesh)</w:t>
            </w:r>
          </w:p>
        </w:tc>
        <w:tc>
          <w:tcPr>
            <w:tcW w:w="6400" w:type="dxa"/>
            <w:shd w:val="clear" w:color="auto" w:fill="F2F2F2"/>
            <w:tcMar>
              <w:top w:w="80" w:type="dxa"/>
              <w:left w:w="100" w:type="dxa"/>
              <w:bottom w:w="80" w:type="dxa"/>
              <w:right w:w="100" w:type="dxa"/>
            </w:tcMar>
            <w:vAlign w:val="center"/>
          </w:tcPr>
          <w:p w14:paraId="7A5496D3" w14:textId="77777777" w:rsidR="00EA3D00" w:rsidRPr="00AA1873" w:rsidRDefault="00000000">
            <w:pPr>
              <w:rPr>
                <w:color w:val="000000" w:themeColor="text1"/>
              </w:rPr>
            </w:pPr>
            <w:r w:rsidRPr="00AA1873">
              <w:rPr>
                <w:color w:val="000000" w:themeColor="text1"/>
              </w:rPr>
              <w:t>Demonstrates that a permissioned blockchain ledger can move public assistance funds transparently and at very large scale, but the ledger records that a transfer occurred — it does not embed automated, category-level spending rules or vendor-approval logic into the token itself, nor does it run a fraud-pattern detection layer on top of transaction flows.</w:t>
            </w:r>
          </w:p>
        </w:tc>
      </w:tr>
      <w:tr w:rsidR="00EA3D00" w:rsidRPr="00AA1873" w14:paraId="2E2E09CA"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7F38FAC1" w14:textId="77777777" w:rsidR="00EA3D00" w:rsidRPr="00AA1873" w:rsidRDefault="00000000">
            <w:pPr>
              <w:rPr>
                <w:color w:val="000000" w:themeColor="text1"/>
              </w:rPr>
            </w:pPr>
            <w:r w:rsidRPr="00AA1873">
              <w:rPr>
                <w:color w:val="000000" w:themeColor="text1"/>
              </w:rPr>
              <w:t>UNICEF CryptoFund</w:t>
            </w:r>
          </w:p>
        </w:tc>
        <w:tc>
          <w:tcPr>
            <w:tcW w:w="6400" w:type="dxa"/>
            <w:shd w:val="clear" w:color="auto" w:fill="FFFFFF"/>
            <w:tcMar>
              <w:top w:w="80" w:type="dxa"/>
              <w:left w:w="100" w:type="dxa"/>
              <w:bottom w:w="80" w:type="dxa"/>
              <w:right w:w="100" w:type="dxa"/>
            </w:tcMar>
            <w:vAlign w:val="center"/>
          </w:tcPr>
          <w:p w14:paraId="47F8C86E" w14:textId="77777777" w:rsidR="00EA3D00" w:rsidRPr="00AA1873" w:rsidRDefault="00000000">
            <w:pPr>
              <w:rPr>
                <w:color w:val="000000" w:themeColor="text1"/>
              </w:rPr>
            </w:pPr>
            <w:r w:rsidRPr="00AA1873">
              <w:rPr>
                <w:color w:val="000000" w:themeColor="text1"/>
              </w:rPr>
              <w:t>Provides public, real-time visibility into how a pooled cryptocurrency fund moves from donor to grantee, but this is fund-level donor transparency for an investment fund, not last-mile enforcement of what a beneficiary is allowed to buy with a specific token at the point of sale.</w:t>
            </w:r>
          </w:p>
        </w:tc>
      </w:tr>
      <w:tr w:rsidR="00EA3D00" w:rsidRPr="00AA1873" w14:paraId="0704790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373A5E74" w14:textId="77777777" w:rsidR="00EA3D00" w:rsidRPr="00AA1873" w:rsidRDefault="00000000">
            <w:pPr>
              <w:rPr>
                <w:color w:val="000000" w:themeColor="text1"/>
              </w:rPr>
            </w:pPr>
            <w:r w:rsidRPr="00AA1873">
              <w:rPr>
                <w:color w:val="000000" w:themeColor="text1"/>
              </w:rPr>
              <w:t>RBI e-Rupee (CBDC) retail and wholesale pilots</w:t>
            </w:r>
          </w:p>
        </w:tc>
        <w:tc>
          <w:tcPr>
            <w:tcW w:w="6400" w:type="dxa"/>
            <w:shd w:val="clear" w:color="auto" w:fill="F2F2F2"/>
            <w:tcMar>
              <w:top w:w="80" w:type="dxa"/>
              <w:left w:w="100" w:type="dxa"/>
              <w:bottom w:w="80" w:type="dxa"/>
              <w:right w:w="100" w:type="dxa"/>
            </w:tcMar>
            <w:vAlign w:val="center"/>
          </w:tcPr>
          <w:p w14:paraId="55465A56" w14:textId="77777777" w:rsidR="00EA3D00" w:rsidRPr="00AA1873" w:rsidRDefault="00000000">
            <w:pPr>
              <w:rPr>
                <w:color w:val="000000" w:themeColor="text1"/>
              </w:rPr>
            </w:pPr>
            <w:r w:rsidRPr="00AA1873">
              <w:rPr>
                <w:color w:val="000000" w:themeColor="text1"/>
              </w:rPr>
              <w:t>A regulator-issued digital currency pilot with programmability explicitly identified as a future direction for targeted subsidies, but as of the current pilot stage it functions as general-purpose digital cash; it does not yet implement per-category spending restriction smart contracts, graph-based fraud detection, or a public aggregate-utilization dashboard for welfare disbursement specifically.</w:t>
            </w:r>
          </w:p>
        </w:tc>
      </w:tr>
      <w:tr w:rsidR="00EA3D00" w:rsidRPr="00AA1873" w14:paraId="310079F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1A4991A" w14:textId="77777777" w:rsidR="00EA3D00" w:rsidRPr="00AA1873" w:rsidRDefault="00000000">
            <w:pPr>
              <w:rPr>
                <w:color w:val="000000" w:themeColor="text1"/>
              </w:rPr>
            </w:pPr>
            <w:r w:rsidRPr="00AA1873">
              <w:rPr>
                <w:color w:val="000000" w:themeColor="text1"/>
              </w:rPr>
              <w:lastRenderedPageBreak/>
              <w:t>Aadhaar-based Direct Benefit Transfer (DBT) / Public Distribution System</w:t>
            </w:r>
          </w:p>
        </w:tc>
        <w:tc>
          <w:tcPr>
            <w:tcW w:w="6400" w:type="dxa"/>
            <w:shd w:val="clear" w:color="auto" w:fill="FFFFFF"/>
            <w:tcMar>
              <w:top w:w="80" w:type="dxa"/>
              <w:left w:w="100" w:type="dxa"/>
              <w:bottom w:w="80" w:type="dxa"/>
              <w:right w:w="100" w:type="dxa"/>
            </w:tcMar>
            <w:vAlign w:val="center"/>
          </w:tcPr>
          <w:p w14:paraId="329248D2" w14:textId="77777777" w:rsidR="00EA3D00" w:rsidRPr="00AA1873" w:rsidRDefault="00000000">
            <w:pPr>
              <w:rPr>
                <w:color w:val="000000" w:themeColor="text1"/>
              </w:rPr>
            </w:pPr>
            <w:r w:rsidRPr="00AA1873">
              <w:rPr>
                <w:color w:val="000000" w:themeColor="text1"/>
              </w:rPr>
              <w:t>Uses biometric identity verification to authenticate the correct beneficiary and eliminate duplicate or ghost recipients at the point of disbursement, but once funds land in a beneficiary's bank account they become ordinary, unrestricted currency — there is no mechanism to control or trace how the money is subsequently spent.</w:t>
            </w:r>
          </w:p>
        </w:tc>
      </w:tr>
      <w:tr w:rsidR="00EA3D00" w:rsidRPr="00AA1873" w14:paraId="5933C5EA"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7A5455EA" w14:textId="77777777" w:rsidR="00EA3D00" w:rsidRPr="00AA1873" w:rsidRDefault="00000000">
            <w:pPr>
              <w:rPr>
                <w:color w:val="000000" w:themeColor="text1"/>
              </w:rPr>
            </w:pPr>
            <w:r w:rsidRPr="00AA1873">
              <w:rPr>
                <w:color w:val="000000" w:themeColor="text1"/>
              </w:rPr>
              <w:t>Graph-based fraud detection literature (financial-network / AML analytics)</w:t>
            </w:r>
          </w:p>
        </w:tc>
        <w:tc>
          <w:tcPr>
            <w:tcW w:w="6400" w:type="dxa"/>
            <w:shd w:val="clear" w:color="auto" w:fill="F2F2F2"/>
            <w:tcMar>
              <w:top w:w="80" w:type="dxa"/>
              <w:left w:w="100" w:type="dxa"/>
              <w:bottom w:w="80" w:type="dxa"/>
              <w:right w:w="100" w:type="dxa"/>
            </w:tcMar>
            <w:vAlign w:val="center"/>
          </w:tcPr>
          <w:p w14:paraId="1070FA02" w14:textId="77777777" w:rsidR="00EA3D00" w:rsidRPr="00AA1873" w:rsidRDefault="00000000">
            <w:pPr>
              <w:rPr>
                <w:color w:val="000000" w:themeColor="text1"/>
              </w:rPr>
            </w:pPr>
            <w:r w:rsidRPr="00AA1873">
              <w:rPr>
                <w:color w:val="000000" w:themeColor="text1"/>
              </w:rPr>
              <w:t>Well-established as an effective technique for surfacing structural fraud patterns such as layering and mule-account behaviour in transaction networks, but this research is predominantly applied to conventional banking and AML contexts rather than integrated directly into a smart-contract-enforced public disbursement pipeline.</w:t>
            </w:r>
          </w:p>
        </w:tc>
      </w:tr>
      <w:tr w:rsidR="00EA3D00" w:rsidRPr="00AA1873" w14:paraId="2461955D"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23C7BC6" w14:textId="77777777" w:rsidR="00EA3D00" w:rsidRPr="00AA1873" w:rsidRDefault="00000000">
            <w:pPr>
              <w:rPr>
                <w:color w:val="000000" w:themeColor="text1"/>
              </w:rPr>
            </w:pPr>
            <w:r w:rsidRPr="00AA1873">
              <w:rPr>
                <w:color w:val="000000" w:themeColor="text1"/>
              </w:rPr>
              <w:t>Generic token standards (e.g., ERC-20 / ERC-1155 on Ethereum-compatible chains)</w:t>
            </w:r>
          </w:p>
        </w:tc>
        <w:tc>
          <w:tcPr>
            <w:tcW w:w="6400" w:type="dxa"/>
            <w:shd w:val="clear" w:color="auto" w:fill="FFFFFF"/>
            <w:tcMar>
              <w:top w:w="80" w:type="dxa"/>
              <w:left w:w="100" w:type="dxa"/>
              <w:bottom w:w="80" w:type="dxa"/>
              <w:right w:w="100" w:type="dxa"/>
            </w:tcMar>
            <w:vAlign w:val="center"/>
          </w:tcPr>
          <w:p w14:paraId="556525A2" w14:textId="77777777" w:rsidR="00EA3D00" w:rsidRPr="00AA1873" w:rsidRDefault="00000000">
            <w:pPr>
              <w:rPr>
                <w:color w:val="000000" w:themeColor="text1"/>
              </w:rPr>
            </w:pPr>
            <w:r w:rsidRPr="00AA1873">
              <w:rPr>
                <w:color w:val="000000" w:themeColor="text1"/>
              </w:rPr>
              <w:t>Supply the underlying mechanism for representing programmable, transferable digital value, but are a general-purpose building block — they include no built-in concept of a fund type, an approved spending category, a vendor-approval workflow, or a fraud-flagging layer.</w:t>
            </w:r>
          </w:p>
        </w:tc>
      </w:tr>
    </w:tbl>
    <w:p w14:paraId="4EABDEA3" w14:textId="77777777" w:rsidR="00EA3D00" w:rsidRPr="00AA1873" w:rsidRDefault="00000000">
      <w:pPr>
        <w:spacing w:before="200" w:after="100"/>
        <w:rPr>
          <w:color w:val="000000" w:themeColor="text1"/>
        </w:rPr>
      </w:pPr>
      <w:r w:rsidRPr="00AA1873">
        <w:rPr>
          <w:b/>
          <w:bCs/>
          <w:i/>
          <w:iCs/>
          <w:color w:val="000000" w:themeColor="text1"/>
          <w:sz w:val="22"/>
          <w:szCs w:val="22"/>
        </w:rPr>
        <w:t>1.3.1 Key Differentiator</w:t>
      </w:r>
    </w:p>
    <w:p w14:paraId="3288E27D" w14:textId="77777777" w:rsidR="00EA3D00" w:rsidRPr="00AA1873" w:rsidRDefault="00000000">
      <w:pPr>
        <w:spacing w:after="160" w:line="300" w:lineRule="auto"/>
        <w:jc w:val="both"/>
        <w:rPr>
          <w:color w:val="000000" w:themeColor="text1"/>
        </w:rPr>
      </w:pPr>
      <w:r w:rsidRPr="00AA1873">
        <w:rPr>
          <w:color w:val="000000" w:themeColor="text1"/>
          <w:sz w:val="22"/>
          <w:szCs w:val="22"/>
        </w:rPr>
        <w:t>The survey confirms that blockchain-based disbursement at scale (WFP Building Blocks), fund-level crypto transparency (UNICEF CryptoFund), regulator-issued programmable digital currency (RBI e-Rupee), biometric beneficiary authentication (Aadhaar-based DBT), graph-based fraud analytics (AML literature), and generic programmable-token standards all exist independently, but no system combines them into a single pipeline that enforces a spending category automatically at the point of transaction, records the result immutably, continuously screens the resulting transaction graph for fraud, and publishes a privacy-preserving aggregate view to the public. This integration — purpose-restricted tokens, smart-contract enforcement, immutable audit trail, and graph-based fraud detection combined in one welfare-disbursement-specific system — is TraceFund's original contribution.</w:t>
      </w:r>
    </w:p>
    <w:p w14:paraId="4865B5FE"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1.4 Limitations of the Existing System</w:t>
      </w:r>
    </w:p>
    <w:p w14:paraId="0103B049" w14:textId="77777777" w:rsidR="00EA3D00" w:rsidRPr="00AA1873" w:rsidRDefault="00000000">
      <w:pPr>
        <w:spacing w:after="160" w:line="300" w:lineRule="auto"/>
        <w:jc w:val="both"/>
        <w:rPr>
          <w:color w:val="000000" w:themeColor="text1"/>
        </w:rPr>
      </w:pPr>
      <w:r w:rsidRPr="00AA1873">
        <w:rPr>
          <w:color w:val="000000" w:themeColor="text1"/>
          <w:sz w:val="22"/>
          <w:szCs w:val="22"/>
        </w:rPr>
        <w:t>In the absence of a system such as TraceFund, the currently available options for controlling how a disbursed public fund is spent reduce to:</w:t>
      </w:r>
    </w:p>
    <w:p w14:paraId="058EA04A"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Trusting the beneficiary to spend the funds appropriately, with no technical enforcement of any kind;</w:t>
      </w:r>
    </w:p>
    <w:p w14:paraId="4BA7DA1A"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Conducting periodic manual audits or field verification, which are slow, resource-intensive, and structurally reactive rather than preventive;</w:t>
      </w:r>
    </w:p>
    <w:p w14:paraId="0166E4A9"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Restricting disbursement to physical vouchers or ration cards for specific goods, which do not generalize well, are costly to print and distribute, and are themselves vulnerable to forgery and resale;</w:t>
      </w:r>
    </w:p>
    <w:p w14:paraId="635EC703"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Using a general-purpose digital currency or CBDC pilot that authenticates the payer but does not restrict the payee category or run any fraud-pattern analysis on the resulting transaction network.</w:t>
      </w:r>
    </w:p>
    <w:p w14:paraId="4605B0F5" w14:textId="77777777" w:rsidR="00EA3D00" w:rsidRPr="00AA1873" w:rsidRDefault="00000000">
      <w:pPr>
        <w:spacing w:after="160" w:line="300" w:lineRule="auto"/>
        <w:jc w:val="both"/>
        <w:rPr>
          <w:color w:val="000000" w:themeColor="text1"/>
        </w:rPr>
      </w:pPr>
      <w:r w:rsidRPr="00AA1873">
        <w:rPr>
          <w:color w:val="000000" w:themeColor="text1"/>
          <w:sz w:val="22"/>
          <w:szCs w:val="22"/>
        </w:rPr>
        <w:t>None of these options provide an automatic, real-time, rule-enforcing channel that both restricts spending to its intended purpose and produces a continuously monitored, tamper-proof audit trail.</w:t>
      </w:r>
    </w:p>
    <w:p w14:paraId="63627766"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1.5 Proposed System</w:t>
      </w:r>
    </w:p>
    <w:p w14:paraId="538B806F" w14:textId="77777777" w:rsidR="00EA3D00" w:rsidRPr="00AA1873" w:rsidRDefault="00000000">
      <w:pPr>
        <w:spacing w:after="160" w:line="300" w:lineRule="auto"/>
        <w:jc w:val="both"/>
        <w:rPr>
          <w:color w:val="000000" w:themeColor="text1"/>
        </w:rPr>
      </w:pPr>
      <w:r w:rsidRPr="00AA1873">
        <w:rPr>
          <w:color w:val="000000" w:themeColor="text1"/>
          <w:sz w:val="22"/>
          <w:szCs w:val="22"/>
        </w:rPr>
        <w:t>TraceFund is proposed as a blockchain-based platform that issues public funds as programmable digital tokens and solves both the enforcement and the visibility problem simultaneously:</w:t>
      </w:r>
    </w:p>
    <w:p w14:paraId="29CB103F"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Rule-Restricted Issuance: A government admin issues tokens tied to a specific fund type (e.g., Disaster Relief, Education Subsidy) and a single allowed spending category.</w:t>
      </w:r>
    </w:p>
    <w:p w14:paraId="6E3B0645"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lastRenderedPageBreak/>
        <w:t>Automated Spend Enforcement: When a beneficiary attempts to spend a token, a smart contract checks in real time whether the receiving vendor is approved for that category, approving or rejecting the transaction within seconds and without manual intervention.</w:t>
      </w:r>
    </w:p>
    <w:p w14:paraId="696C668C"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Immutable Audit Trail: Every transaction — approved or rejected — is recorded permanently on the blockchain, from issuance to final redemption.</w:t>
      </w:r>
    </w:p>
    <w:p w14:paraId="7EA6EED5"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Graph-Based Fraud Detection: Transaction flows across wallets are continuously analyzed to surface structural fraud patterns, such as fund layering through intermediary accounts, flagging suspicious activity for auditor review.</w:t>
      </w:r>
    </w:p>
    <w:p w14:paraId="652569BF"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Privacy-Preserving Public Transparency: A public dashboard displays aggregate, category-wise fund utilization without exposing any individual beneficiary's identity or personal transaction history.</w:t>
      </w:r>
    </w:p>
    <w:p w14:paraId="6756B4B4" w14:textId="77777777" w:rsidR="00EA3D00" w:rsidRPr="00AA1873" w:rsidRDefault="00000000">
      <w:pPr>
        <w:spacing w:after="160" w:line="300" w:lineRule="auto"/>
        <w:jc w:val="both"/>
        <w:rPr>
          <w:color w:val="000000" w:themeColor="text1"/>
        </w:rPr>
      </w:pPr>
      <w:r w:rsidRPr="00AA1873">
        <w:rPr>
          <w:color w:val="000000" w:themeColor="text1"/>
          <w:sz w:val="22"/>
          <w:szCs w:val="22"/>
        </w:rPr>
        <w:t>Because rule enforcement is embedded in the token itself rather than applied after the fact, misuse is blocked at the moment of attempted spending rather than merely detected later.</w:t>
      </w:r>
    </w:p>
    <w:p w14:paraId="045F41F3"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1.6 Objectives of the Proposed System</w:t>
      </w:r>
    </w:p>
    <w:p w14:paraId="5571B19C" w14:textId="77777777" w:rsidR="00EA3D00" w:rsidRPr="00AA1873" w:rsidRDefault="00000000">
      <w:pPr>
        <w:spacing w:after="160" w:line="300" w:lineRule="auto"/>
        <w:jc w:val="both"/>
        <w:rPr>
          <w:color w:val="000000" w:themeColor="text1"/>
        </w:rPr>
      </w:pPr>
      <w:r w:rsidRPr="00AA1873">
        <w:rPr>
          <w:color w:val="000000" w:themeColor="text1"/>
          <w:sz w:val="22"/>
          <w:szCs w:val="22"/>
        </w:rPr>
        <w:t>The system is designed against the measurable objectives shown in Table 1.2. As the project is at the system-study and design stage, these are stated as build-and-demo targets to be verified during implementation and testing, rather than results already measured.</w:t>
      </w:r>
    </w:p>
    <w:p w14:paraId="05B79F91" w14:textId="77777777" w:rsidR="00EA3D00" w:rsidRPr="00AA1873" w:rsidRDefault="00000000">
      <w:pPr>
        <w:spacing w:before="60" w:after="100"/>
        <w:rPr>
          <w:color w:val="000000" w:themeColor="text1"/>
        </w:rPr>
      </w:pPr>
      <w:r w:rsidRPr="00AA1873">
        <w:rPr>
          <w:b/>
          <w:bCs/>
          <w:i/>
          <w:iCs/>
          <w:color w:val="000000" w:themeColor="text1"/>
          <w:sz w:val="19"/>
          <w:szCs w:val="19"/>
        </w:rPr>
        <w:t>Table 1.2: Measurable objectives and targets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400"/>
      </w:tblGrid>
      <w:tr w:rsidR="00EA3D00" w:rsidRPr="00AA1873" w14:paraId="6C4372D5" w14:textId="77777777" w:rsidTr="00AA1873">
        <w:tblPrEx>
          <w:tblCellMar>
            <w:top w:w="0" w:type="dxa"/>
            <w:bottom w:w="0" w:type="dxa"/>
          </w:tblCellMar>
        </w:tblPrEx>
        <w:tc>
          <w:tcPr>
            <w:tcW w:w="700" w:type="dxa"/>
            <w:tcMar>
              <w:top w:w="80" w:type="dxa"/>
              <w:left w:w="100" w:type="dxa"/>
              <w:bottom w:w="80" w:type="dxa"/>
              <w:right w:w="100" w:type="dxa"/>
            </w:tcMar>
            <w:vAlign w:val="center"/>
          </w:tcPr>
          <w:p w14:paraId="707134BF" w14:textId="77777777" w:rsidR="00EA3D00" w:rsidRPr="00AA1873" w:rsidRDefault="00000000">
            <w:pPr>
              <w:rPr>
                <w:color w:val="000000" w:themeColor="text1"/>
              </w:rPr>
            </w:pPr>
            <w:r w:rsidRPr="00AA1873">
              <w:rPr>
                <w:b/>
                <w:bCs/>
                <w:color w:val="000000" w:themeColor="text1"/>
              </w:rPr>
              <w:t>#</w:t>
            </w:r>
          </w:p>
        </w:tc>
        <w:tc>
          <w:tcPr>
            <w:tcW w:w="3300" w:type="dxa"/>
            <w:tcMar>
              <w:top w:w="80" w:type="dxa"/>
              <w:left w:w="100" w:type="dxa"/>
              <w:bottom w:w="80" w:type="dxa"/>
              <w:right w:w="100" w:type="dxa"/>
            </w:tcMar>
            <w:vAlign w:val="center"/>
          </w:tcPr>
          <w:p w14:paraId="420170A2" w14:textId="77777777" w:rsidR="00EA3D00" w:rsidRPr="00AA1873" w:rsidRDefault="00000000">
            <w:pPr>
              <w:rPr>
                <w:color w:val="000000" w:themeColor="text1"/>
              </w:rPr>
            </w:pPr>
            <w:r w:rsidRPr="00AA1873">
              <w:rPr>
                <w:b/>
                <w:bCs/>
                <w:color w:val="000000" w:themeColor="text1"/>
              </w:rPr>
              <w:t>Objective</w:t>
            </w:r>
          </w:p>
        </w:tc>
        <w:tc>
          <w:tcPr>
            <w:tcW w:w="5400" w:type="dxa"/>
            <w:tcMar>
              <w:top w:w="80" w:type="dxa"/>
              <w:left w:w="100" w:type="dxa"/>
              <w:bottom w:w="80" w:type="dxa"/>
              <w:right w:w="100" w:type="dxa"/>
            </w:tcMar>
            <w:vAlign w:val="center"/>
          </w:tcPr>
          <w:p w14:paraId="4C4ACA65" w14:textId="77777777" w:rsidR="00EA3D00" w:rsidRPr="00AA1873" w:rsidRDefault="00000000">
            <w:pPr>
              <w:rPr>
                <w:color w:val="000000" w:themeColor="text1"/>
              </w:rPr>
            </w:pPr>
            <w:r w:rsidRPr="00AA1873">
              <w:rPr>
                <w:b/>
                <w:bCs/>
                <w:color w:val="000000" w:themeColor="text1"/>
              </w:rPr>
              <w:t>Target</w:t>
            </w:r>
          </w:p>
        </w:tc>
      </w:tr>
      <w:tr w:rsidR="00EA3D00" w:rsidRPr="00AA1873" w14:paraId="65EA7A9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2995607" w14:textId="77777777" w:rsidR="00EA3D00" w:rsidRPr="00AA1873" w:rsidRDefault="00000000">
            <w:pPr>
              <w:rPr>
                <w:color w:val="000000" w:themeColor="text1"/>
              </w:rPr>
            </w:pPr>
            <w:r w:rsidRPr="00AA1873">
              <w:rPr>
                <w:color w:val="000000" w:themeColor="text1"/>
              </w:rPr>
              <w:t>O1</w:t>
            </w:r>
          </w:p>
        </w:tc>
        <w:tc>
          <w:tcPr>
            <w:tcW w:w="3300" w:type="dxa"/>
            <w:shd w:val="clear" w:color="auto" w:fill="F2F2F2"/>
            <w:tcMar>
              <w:top w:w="80" w:type="dxa"/>
              <w:left w:w="100" w:type="dxa"/>
              <w:bottom w:w="80" w:type="dxa"/>
              <w:right w:w="100" w:type="dxa"/>
            </w:tcMar>
            <w:vAlign w:val="center"/>
          </w:tcPr>
          <w:p w14:paraId="7F864619" w14:textId="77777777" w:rsidR="00EA3D00" w:rsidRPr="00AA1873" w:rsidRDefault="00000000">
            <w:pPr>
              <w:rPr>
                <w:color w:val="000000" w:themeColor="text1"/>
              </w:rPr>
            </w:pPr>
            <w:r w:rsidRPr="00AA1873">
              <w:rPr>
                <w:color w:val="000000" w:themeColor="text1"/>
              </w:rPr>
              <w:t>Government issuance of category-restricted fund tokens</w:t>
            </w:r>
          </w:p>
        </w:tc>
        <w:tc>
          <w:tcPr>
            <w:tcW w:w="5400" w:type="dxa"/>
            <w:shd w:val="clear" w:color="auto" w:fill="F2F2F2"/>
            <w:tcMar>
              <w:top w:w="80" w:type="dxa"/>
              <w:left w:w="100" w:type="dxa"/>
              <w:bottom w:w="80" w:type="dxa"/>
              <w:right w:w="100" w:type="dxa"/>
            </w:tcMar>
            <w:vAlign w:val="center"/>
          </w:tcPr>
          <w:p w14:paraId="5D3C1B26" w14:textId="77777777" w:rsidR="00EA3D00" w:rsidRPr="00AA1873" w:rsidRDefault="00000000">
            <w:pPr>
              <w:rPr>
                <w:color w:val="000000" w:themeColor="text1"/>
              </w:rPr>
            </w:pPr>
            <w:r w:rsidRPr="00AA1873">
              <w:rPr>
                <w:color w:val="000000" w:themeColor="text1"/>
              </w:rPr>
              <w:t>Government admin can mint tokens tied to a fund type and a single allowed spending category</w:t>
            </w:r>
          </w:p>
        </w:tc>
      </w:tr>
      <w:tr w:rsidR="00EA3D00" w:rsidRPr="00AA1873" w14:paraId="45E9F57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F6CC685" w14:textId="77777777" w:rsidR="00EA3D00" w:rsidRPr="00AA1873" w:rsidRDefault="00000000">
            <w:pPr>
              <w:rPr>
                <w:color w:val="000000" w:themeColor="text1"/>
              </w:rPr>
            </w:pPr>
            <w:r w:rsidRPr="00AA1873">
              <w:rPr>
                <w:color w:val="000000" w:themeColor="text1"/>
              </w:rPr>
              <w:t>O2</w:t>
            </w:r>
          </w:p>
        </w:tc>
        <w:tc>
          <w:tcPr>
            <w:tcW w:w="3300" w:type="dxa"/>
            <w:shd w:val="clear" w:color="auto" w:fill="FFFFFF"/>
            <w:tcMar>
              <w:top w:w="80" w:type="dxa"/>
              <w:left w:w="100" w:type="dxa"/>
              <w:bottom w:w="80" w:type="dxa"/>
              <w:right w:w="100" w:type="dxa"/>
            </w:tcMar>
            <w:vAlign w:val="center"/>
          </w:tcPr>
          <w:p w14:paraId="3B08BED9" w14:textId="77777777" w:rsidR="00EA3D00" w:rsidRPr="00AA1873" w:rsidRDefault="00000000">
            <w:pPr>
              <w:rPr>
                <w:color w:val="000000" w:themeColor="text1"/>
              </w:rPr>
            </w:pPr>
            <w:r w:rsidRPr="00AA1873">
              <w:rPr>
                <w:color w:val="000000" w:themeColor="text1"/>
              </w:rPr>
              <w:t>Automated spending-rule enforcement at transaction time</w:t>
            </w:r>
          </w:p>
        </w:tc>
        <w:tc>
          <w:tcPr>
            <w:tcW w:w="5400" w:type="dxa"/>
            <w:shd w:val="clear" w:color="auto" w:fill="FFFFFF"/>
            <w:tcMar>
              <w:top w:w="80" w:type="dxa"/>
              <w:left w:w="100" w:type="dxa"/>
              <w:bottom w:w="80" w:type="dxa"/>
              <w:right w:w="100" w:type="dxa"/>
            </w:tcMar>
            <w:vAlign w:val="center"/>
          </w:tcPr>
          <w:p w14:paraId="598E5F46" w14:textId="77777777" w:rsidR="00EA3D00" w:rsidRPr="00AA1873" w:rsidRDefault="00000000">
            <w:pPr>
              <w:rPr>
                <w:color w:val="000000" w:themeColor="text1"/>
              </w:rPr>
            </w:pPr>
            <w:r w:rsidRPr="00AA1873">
              <w:rPr>
                <w:color w:val="000000" w:themeColor="text1"/>
              </w:rPr>
              <w:t>Transactions to a vendor outside the token's approved category are rejected automatically, with no manual step</w:t>
            </w:r>
          </w:p>
        </w:tc>
      </w:tr>
      <w:tr w:rsidR="00EA3D00" w:rsidRPr="00AA1873" w14:paraId="1442A70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B7ACBCB" w14:textId="77777777" w:rsidR="00EA3D00" w:rsidRPr="00AA1873" w:rsidRDefault="00000000">
            <w:pPr>
              <w:rPr>
                <w:color w:val="000000" w:themeColor="text1"/>
              </w:rPr>
            </w:pPr>
            <w:r w:rsidRPr="00AA1873">
              <w:rPr>
                <w:color w:val="000000" w:themeColor="text1"/>
              </w:rPr>
              <w:t>O3</w:t>
            </w:r>
          </w:p>
        </w:tc>
        <w:tc>
          <w:tcPr>
            <w:tcW w:w="3300" w:type="dxa"/>
            <w:shd w:val="clear" w:color="auto" w:fill="F2F2F2"/>
            <w:tcMar>
              <w:top w:w="80" w:type="dxa"/>
              <w:left w:w="100" w:type="dxa"/>
              <w:bottom w:w="80" w:type="dxa"/>
              <w:right w:w="100" w:type="dxa"/>
            </w:tcMar>
            <w:vAlign w:val="center"/>
          </w:tcPr>
          <w:p w14:paraId="70E9045C" w14:textId="77777777" w:rsidR="00EA3D00" w:rsidRPr="00AA1873" w:rsidRDefault="00000000">
            <w:pPr>
              <w:rPr>
                <w:color w:val="000000" w:themeColor="text1"/>
              </w:rPr>
            </w:pPr>
            <w:r w:rsidRPr="00AA1873">
              <w:rPr>
                <w:color w:val="000000" w:themeColor="text1"/>
              </w:rPr>
              <w:t>Transaction validation latency</w:t>
            </w:r>
          </w:p>
        </w:tc>
        <w:tc>
          <w:tcPr>
            <w:tcW w:w="5400" w:type="dxa"/>
            <w:shd w:val="clear" w:color="auto" w:fill="F2F2F2"/>
            <w:tcMar>
              <w:top w:w="80" w:type="dxa"/>
              <w:left w:w="100" w:type="dxa"/>
              <w:bottom w:w="80" w:type="dxa"/>
              <w:right w:w="100" w:type="dxa"/>
            </w:tcMar>
            <w:vAlign w:val="center"/>
          </w:tcPr>
          <w:p w14:paraId="3659208E" w14:textId="77777777" w:rsidR="00EA3D00" w:rsidRPr="00AA1873" w:rsidRDefault="00000000">
            <w:pPr>
              <w:rPr>
                <w:color w:val="000000" w:themeColor="text1"/>
              </w:rPr>
            </w:pPr>
            <w:r w:rsidRPr="00AA1873">
              <w:rPr>
                <w:color w:val="000000" w:themeColor="text1"/>
              </w:rPr>
              <w:t>≤ a few seconds end-to-end, for a usable demo experience</w:t>
            </w:r>
          </w:p>
        </w:tc>
      </w:tr>
      <w:tr w:rsidR="00EA3D00" w:rsidRPr="00AA1873" w14:paraId="059EF1CE"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0F71CA" w14:textId="77777777" w:rsidR="00EA3D00" w:rsidRPr="00AA1873" w:rsidRDefault="00000000">
            <w:pPr>
              <w:rPr>
                <w:color w:val="000000" w:themeColor="text1"/>
              </w:rPr>
            </w:pPr>
            <w:r w:rsidRPr="00AA1873">
              <w:rPr>
                <w:color w:val="000000" w:themeColor="text1"/>
              </w:rPr>
              <w:t>O4</w:t>
            </w:r>
          </w:p>
        </w:tc>
        <w:tc>
          <w:tcPr>
            <w:tcW w:w="3300" w:type="dxa"/>
            <w:shd w:val="clear" w:color="auto" w:fill="FFFFFF"/>
            <w:tcMar>
              <w:top w:w="80" w:type="dxa"/>
              <w:left w:w="100" w:type="dxa"/>
              <w:bottom w:w="80" w:type="dxa"/>
              <w:right w:w="100" w:type="dxa"/>
            </w:tcMar>
            <w:vAlign w:val="center"/>
          </w:tcPr>
          <w:p w14:paraId="578D4AF1" w14:textId="77777777" w:rsidR="00EA3D00" w:rsidRPr="00AA1873" w:rsidRDefault="00000000">
            <w:pPr>
              <w:rPr>
                <w:color w:val="000000" w:themeColor="text1"/>
              </w:rPr>
            </w:pPr>
            <w:r w:rsidRPr="00AA1873">
              <w:rPr>
                <w:color w:val="000000" w:themeColor="text1"/>
              </w:rPr>
              <w:t>Immutable on-chain audit trail</w:t>
            </w:r>
          </w:p>
        </w:tc>
        <w:tc>
          <w:tcPr>
            <w:tcW w:w="5400" w:type="dxa"/>
            <w:shd w:val="clear" w:color="auto" w:fill="FFFFFF"/>
            <w:tcMar>
              <w:top w:w="80" w:type="dxa"/>
              <w:left w:w="100" w:type="dxa"/>
              <w:bottom w:w="80" w:type="dxa"/>
              <w:right w:w="100" w:type="dxa"/>
            </w:tcMar>
            <w:vAlign w:val="center"/>
          </w:tcPr>
          <w:p w14:paraId="6280E35A" w14:textId="77777777" w:rsidR="00EA3D00" w:rsidRPr="00AA1873" w:rsidRDefault="00000000">
            <w:pPr>
              <w:rPr>
                <w:color w:val="000000" w:themeColor="text1"/>
              </w:rPr>
            </w:pPr>
            <w:r w:rsidRPr="00AA1873">
              <w:rPr>
                <w:color w:val="000000" w:themeColor="text1"/>
              </w:rPr>
              <w:t>100% of approved and rejected transactions recorded on-chain with a retrievable transaction hash</w:t>
            </w:r>
          </w:p>
        </w:tc>
      </w:tr>
      <w:tr w:rsidR="00EA3D00" w:rsidRPr="00AA1873" w14:paraId="71636923"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DAF13D9" w14:textId="77777777" w:rsidR="00EA3D00" w:rsidRPr="00AA1873" w:rsidRDefault="00000000">
            <w:pPr>
              <w:rPr>
                <w:color w:val="000000" w:themeColor="text1"/>
              </w:rPr>
            </w:pPr>
            <w:r w:rsidRPr="00AA1873">
              <w:rPr>
                <w:color w:val="000000" w:themeColor="text1"/>
              </w:rPr>
              <w:t>O5</w:t>
            </w:r>
          </w:p>
        </w:tc>
        <w:tc>
          <w:tcPr>
            <w:tcW w:w="3300" w:type="dxa"/>
            <w:shd w:val="clear" w:color="auto" w:fill="F2F2F2"/>
            <w:tcMar>
              <w:top w:w="80" w:type="dxa"/>
              <w:left w:w="100" w:type="dxa"/>
              <w:bottom w:w="80" w:type="dxa"/>
              <w:right w:w="100" w:type="dxa"/>
            </w:tcMar>
            <w:vAlign w:val="center"/>
          </w:tcPr>
          <w:p w14:paraId="00994587" w14:textId="77777777" w:rsidR="00EA3D00" w:rsidRPr="00AA1873" w:rsidRDefault="00000000">
            <w:pPr>
              <w:rPr>
                <w:color w:val="000000" w:themeColor="text1"/>
              </w:rPr>
            </w:pPr>
            <w:r w:rsidRPr="00AA1873">
              <w:rPr>
                <w:color w:val="000000" w:themeColor="text1"/>
              </w:rPr>
              <w:t>Graph-based fraud flagging</w:t>
            </w:r>
          </w:p>
        </w:tc>
        <w:tc>
          <w:tcPr>
            <w:tcW w:w="5400" w:type="dxa"/>
            <w:shd w:val="clear" w:color="auto" w:fill="F2F2F2"/>
            <w:tcMar>
              <w:top w:w="80" w:type="dxa"/>
              <w:left w:w="100" w:type="dxa"/>
              <w:bottom w:w="80" w:type="dxa"/>
              <w:right w:w="100" w:type="dxa"/>
            </w:tcMar>
            <w:vAlign w:val="center"/>
          </w:tcPr>
          <w:p w14:paraId="130CE96B" w14:textId="77777777" w:rsidR="00EA3D00" w:rsidRPr="00AA1873" w:rsidRDefault="00000000">
            <w:pPr>
              <w:rPr>
                <w:color w:val="000000" w:themeColor="text1"/>
              </w:rPr>
            </w:pPr>
            <w:r w:rsidRPr="00AA1873">
              <w:rPr>
                <w:color w:val="000000" w:themeColor="text1"/>
              </w:rPr>
              <w:t>Suspicious structural patterns (e.g., fund layering across intermediary wallets) surfaced to auditors without manual querying</w:t>
            </w:r>
          </w:p>
        </w:tc>
      </w:tr>
      <w:tr w:rsidR="00EA3D00" w:rsidRPr="00AA1873" w14:paraId="00FE61C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DC5630F" w14:textId="77777777" w:rsidR="00EA3D00" w:rsidRPr="00AA1873" w:rsidRDefault="00000000">
            <w:pPr>
              <w:rPr>
                <w:color w:val="000000" w:themeColor="text1"/>
              </w:rPr>
            </w:pPr>
            <w:r w:rsidRPr="00AA1873">
              <w:rPr>
                <w:color w:val="000000" w:themeColor="text1"/>
              </w:rPr>
              <w:t>O6</w:t>
            </w:r>
          </w:p>
        </w:tc>
        <w:tc>
          <w:tcPr>
            <w:tcW w:w="3300" w:type="dxa"/>
            <w:shd w:val="clear" w:color="auto" w:fill="FFFFFF"/>
            <w:tcMar>
              <w:top w:w="80" w:type="dxa"/>
              <w:left w:w="100" w:type="dxa"/>
              <w:bottom w:w="80" w:type="dxa"/>
              <w:right w:w="100" w:type="dxa"/>
            </w:tcMar>
            <w:vAlign w:val="center"/>
          </w:tcPr>
          <w:p w14:paraId="6875F191" w14:textId="77777777" w:rsidR="00EA3D00" w:rsidRPr="00AA1873" w:rsidRDefault="00000000">
            <w:pPr>
              <w:rPr>
                <w:color w:val="000000" w:themeColor="text1"/>
              </w:rPr>
            </w:pPr>
            <w:r w:rsidRPr="00AA1873">
              <w:rPr>
                <w:color w:val="000000" w:themeColor="text1"/>
              </w:rPr>
              <w:t>Privacy-preserving public transparency</w:t>
            </w:r>
          </w:p>
        </w:tc>
        <w:tc>
          <w:tcPr>
            <w:tcW w:w="5400" w:type="dxa"/>
            <w:shd w:val="clear" w:color="auto" w:fill="FFFFFF"/>
            <w:tcMar>
              <w:top w:w="80" w:type="dxa"/>
              <w:left w:w="100" w:type="dxa"/>
              <w:bottom w:w="80" w:type="dxa"/>
              <w:right w:w="100" w:type="dxa"/>
            </w:tcMar>
            <w:vAlign w:val="center"/>
          </w:tcPr>
          <w:p w14:paraId="0FC12D95" w14:textId="77777777" w:rsidR="00EA3D00" w:rsidRPr="00AA1873" w:rsidRDefault="00000000">
            <w:pPr>
              <w:rPr>
                <w:color w:val="000000" w:themeColor="text1"/>
              </w:rPr>
            </w:pPr>
            <w:r w:rsidRPr="00AA1873">
              <w:rPr>
                <w:color w:val="000000" w:themeColor="text1"/>
              </w:rPr>
              <w:t>Public dashboard shows category-wise aggregate utilization with zero exposure of individual beneficiary identity or transaction history</w:t>
            </w:r>
          </w:p>
        </w:tc>
      </w:tr>
      <w:tr w:rsidR="00EA3D00" w:rsidRPr="00AA1873" w14:paraId="1D84CC5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9FAE9E9" w14:textId="77777777" w:rsidR="00EA3D00" w:rsidRPr="00AA1873" w:rsidRDefault="00000000">
            <w:pPr>
              <w:rPr>
                <w:color w:val="000000" w:themeColor="text1"/>
              </w:rPr>
            </w:pPr>
            <w:r w:rsidRPr="00AA1873">
              <w:rPr>
                <w:color w:val="000000" w:themeColor="text1"/>
              </w:rPr>
              <w:t>O7</w:t>
            </w:r>
          </w:p>
        </w:tc>
        <w:tc>
          <w:tcPr>
            <w:tcW w:w="3300" w:type="dxa"/>
            <w:shd w:val="clear" w:color="auto" w:fill="F2F2F2"/>
            <w:tcMar>
              <w:top w:w="80" w:type="dxa"/>
              <w:left w:w="100" w:type="dxa"/>
              <w:bottom w:w="80" w:type="dxa"/>
              <w:right w:w="100" w:type="dxa"/>
            </w:tcMar>
            <w:vAlign w:val="center"/>
          </w:tcPr>
          <w:p w14:paraId="69EC73D3" w14:textId="77777777" w:rsidR="00EA3D00" w:rsidRPr="00AA1873" w:rsidRDefault="00000000">
            <w:pPr>
              <w:rPr>
                <w:color w:val="000000" w:themeColor="text1"/>
              </w:rPr>
            </w:pPr>
            <w:r w:rsidRPr="00AA1873">
              <w:rPr>
                <w:color w:val="000000" w:themeColor="text1"/>
              </w:rPr>
              <w:t>Vendor onboarding and approval</w:t>
            </w:r>
          </w:p>
        </w:tc>
        <w:tc>
          <w:tcPr>
            <w:tcW w:w="5400" w:type="dxa"/>
            <w:shd w:val="clear" w:color="auto" w:fill="F2F2F2"/>
            <w:tcMar>
              <w:top w:w="80" w:type="dxa"/>
              <w:left w:w="100" w:type="dxa"/>
              <w:bottom w:w="80" w:type="dxa"/>
              <w:right w:w="100" w:type="dxa"/>
            </w:tcMar>
            <w:vAlign w:val="center"/>
          </w:tcPr>
          <w:p w14:paraId="2F244556" w14:textId="77777777" w:rsidR="00EA3D00" w:rsidRPr="00AA1873" w:rsidRDefault="00000000">
            <w:pPr>
              <w:rPr>
                <w:color w:val="000000" w:themeColor="text1"/>
              </w:rPr>
            </w:pPr>
            <w:r w:rsidRPr="00AA1873">
              <w:rPr>
                <w:color w:val="000000" w:themeColor="text1"/>
              </w:rPr>
              <w:t>Vendors can register under a category and only accept matching tokens once approved by a government admin</w:t>
            </w:r>
          </w:p>
        </w:tc>
      </w:tr>
    </w:tbl>
    <w:p w14:paraId="0AA0B047"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1.7 Scope of the System</w:t>
      </w:r>
    </w:p>
    <w:p w14:paraId="519758E0" w14:textId="77777777" w:rsidR="00EA3D00" w:rsidRPr="00AA1873" w:rsidRDefault="00000000">
      <w:pPr>
        <w:spacing w:after="160" w:line="300" w:lineRule="auto"/>
        <w:jc w:val="both"/>
        <w:rPr>
          <w:color w:val="000000" w:themeColor="text1"/>
        </w:rPr>
      </w:pPr>
      <w:r w:rsidRPr="00AA1873">
        <w:rPr>
          <w:color w:val="000000" w:themeColor="text1"/>
          <w:sz w:val="22"/>
          <w:szCs w:val="22"/>
        </w:rPr>
        <w:t>The scope of TraceFund, as planned, includes:</w:t>
      </w:r>
    </w:p>
    <w:p w14:paraId="36397559"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Government issuance of tokens tied to a defined fund type and a single allowed spending category;</w:t>
      </w:r>
    </w:p>
    <w:p w14:paraId="5557A75B"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Vendor registration and admin approval against specific spending categories;</w:t>
      </w:r>
    </w:p>
    <w:p w14:paraId="1EBC279A"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Smart-contract enforcement that automatically rejects transactions to a vendor outside the token's approved category;</w:t>
      </w:r>
    </w:p>
    <w:p w14:paraId="3347F4BF"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An immutable on-chain record of every transaction, viewable by auditors as a full transaction trail;</w:t>
      </w:r>
    </w:p>
    <w:p w14:paraId="6A8506E5"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lastRenderedPageBreak/>
        <w:t>A graph-based fraud detection module that flags suspicious transaction patterns for auditor review;</w:t>
      </w:r>
    </w:p>
    <w:p w14:paraId="0C667249" w14:textId="77777777" w:rsidR="00EA3D00" w:rsidRPr="00AA1873" w:rsidRDefault="00000000">
      <w:pPr>
        <w:pStyle w:val="ListParagraph"/>
        <w:numPr>
          <w:ilvl w:val="0"/>
          <w:numId w:val="2"/>
        </w:numPr>
        <w:spacing w:after="90" w:line="280" w:lineRule="auto"/>
        <w:rPr>
          <w:color w:val="000000" w:themeColor="text1"/>
        </w:rPr>
      </w:pPr>
      <w:r w:rsidRPr="00AA1873">
        <w:rPr>
          <w:color w:val="000000" w:themeColor="text1"/>
          <w:sz w:val="22"/>
          <w:szCs w:val="22"/>
        </w:rPr>
        <w:t>A public, aggregate, category-wise transparency dashboard with no individual-level data exposure.</w:t>
      </w:r>
    </w:p>
    <w:p w14:paraId="513B0DFF" w14:textId="77777777" w:rsidR="00EA3D00" w:rsidRPr="00AA1873" w:rsidRDefault="00000000">
      <w:pPr>
        <w:spacing w:after="160" w:line="300" w:lineRule="auto"/>
        <w:jc w:val="both"/>
        <w:rPr>
          <w:color w:val="000000" w:themeColor="text1"/>
        </w:rPr>
      </w:pPr>
      <w:r w:rsidRPr="00AA1873">
        <w:rPr>
          <w:color w:val="000000" w:themeColor="text1"/>
          <w:sz w:val="22"/>
          <w:szCs w:val="22"/>
        </w:rPr>
        <w:t>The scope explicitly excludes, in the current version: integration with a live national payment system or real currency, dynamic or cross-chain interoperability with other CBDC or blockchain networks, and fully autonomous (non-reviewed) blocking of accounts based on fraud flags — all flagged activity is routed to a human auditor rather than acted on automatically.</w:t>
      </w:r>
    </w:p>
    <w:p w14:paraId="6194C14F"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1.8 System Requirements</w:t>
      </w:r>
    </w:p>
    <w:p w14:paraId="22C8CD17" w14:textId="77777777" w:rsidR="00EA3D00" w:rsidRPr="00AA1873" w:rsidRDefault="00000000">
      <w:pPr>
        <w:spacing w:before="200" w:after="100"/>
        <w:rPr>
          <w:color w:val="000000" w:themeColor="text1"/>
        </w:rPr>
      </w:pPr>
      <w:r w:rsidRPr="00AA1873">
        <w:rPr>
          <w:b/>
          <w:bCs/>
          <w:i/>
          <w:iCs/>
          <w:color w:val="000000" w:themeColor="text1"/>
          <w:sz w:val="22"/>
          <w:szCs w:val="22"/>
        </w:rPr>
        <w:t>1.8.1 Hardware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EA3D00" w:rsidRPr="00AA1873" w14:paraId="31A12E14" w14:textId="77777777" w:rsidTr="00AA1873">
        <w:tblPrEx>
          <w:tblCellMar>
            <w:top w:w="0" w:type="dxa"/>
            <w:bottom w:w="0" w:type="dxa"/>
          </w:tblCellMar>
        </w:tblPrEx>
        <w:tc>
          <w:tcPr>
            <w:tcW w:w="3000" w:type="dxa"/>
            <w:tcMar>
              <w:top w:w="80" w:type="dxa"/>
              <w:left w:w="100" w:type="dxa"/>
              <w:bottom w:w="80" w:type="dxa"/>
              <w:right w:w="100" w:type="dxa"/>
            </w:tcMar>
            <w:vAlign w:val="center"/>
          </w:tcPr>
          <w:p w14:paraId="0C70B996" w14:textId="77777777" w:rsidR="00EA3D00" w:rsidRPr="00AA1873" w:rsidRDefault="00000000">
            <w:pPr>
              <w:rPr>
                <w:color w:val="000000" w:themeColor="text1"/>
              </w:rPr>
            </w:pPr>
            <w:r w:rsidRPr="00AA1873">
              <w:rPr>
                <w:b/>
                <w:bCs/>
                <w:color w:val="000000" w:themeColor="text1"/>
              </w:rPr>
              <w:t>Component</w:t>
            </w:r>
          </w:p>
        </w:tc>
        <w:tc>
          <w:tcPr>
            <w:tcW w:w="6400" w:type="dxa"/>
            <w:tcMar>
              <w:top w:w="80" w:type="dxa"/>
              <w:left w:w="100" w:type="dxa"/>
              <w:bottom w:w="80" w:type="dxa"/>
              <w:right w:w="100" w:type="dxa"/>
            </w:tcMar>
            <w:vAlign w:val="center"/>
          </w:tcPr>
          <w:p w14:paraId="5B8C54E1" w14:textId="77777777" w:rsidR="00EA3D00" w:rsidRPr="00AA1873" w:rsidRDefault="00000000">
            <w:pPr>
              <w:rPr>
                <w:color w:val="000000" w:themeColor="text1"/>
              </w:rPr>
            </w:pPr>
            <w:r w:rsidRPr="00AA1873">
              <w:rPr>
                <w:b/>
                <w:bCs/>
                <w:color w:val="000000" w:themeColor="text1"/>
              </w:rPr>
              <w:t>Requirement</w:t>
            </w:r>
          </w:p>
        </w:tc>
      </w:tr>
      <w:tr w:rsidR="00EA3D00" w:rsidRPr="00AA1873" w14:paraId="16A4B9CC"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F719627" w14:textId="77777777" w:rsidR="00EA3D00" w:rsidRPr="00AA1873" w:rsidRDefault="00000000">
            <w:pPr>
              <w:rPr>
                <w:color w:val="000000" w:themeColor="text1"/>
              </w:rPr>
            </w:pPr>
            <w:r w:rsidRPr="00AA1873">
              <w:rPr>
                <w:color w:val="000000" w:themeColor="text1"/>
              </w:rPr>
              <w:t>Processor</w:t>
            </w:r>
          </w:p>
        </w:tc>
        <w:tc>
          <w:tcPr>
            <w:tcW w:w="6400" w:type="dxa"/>
            <w:shd w:val="clear" w:color="auto" w:fill="F2F2F2"/>
            <w:tcMar>
              <w:top w:w="80" w:type="dxa"/>
              <w:left w:w="100" w:type="dxa"/>
              <w:bottom w:w="80" w:type="dxa"/>
              <w:right w:w="100" w:type="dxa"/>
            </w:tcMar>
            <w:vAlign w:val="center"/>
          </w:tcPr>
          <w:p w14:paraId="139A0454" w14:textId="77777777" w:rsidR="00EA3D00" w:rsidRPr="00AA1873" w:rsidRDefault="00000000">
            <w:pPr>
              <w:rPr>
                <w:color w:val="000000" w:themeColor="text1"/>
              </w:rPr>
            </w:pPr>
            <w:r w:rsidRPr="00AA1873">
              <w:rPr>
                <w:color w:val="000000" w:themeColor="text1"/>
              </w:rPr>
              <w:t>Standard laptop/desktop CPU (sufficient for running the backend API and frontend concurrently)</w:t>
            </w:r>
          </w:p>
        </w:tc>
      </w:tr>
      <w:tr w:rsidR="00EA3D00" w:rsidRPr="00AA1873" w14:paraId="437BD635"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8789230" w14:textId="77777777" w:rsidR="00EA3D00" w:rsidRPr="00AA1873" w:rsidRDefault="00000000">
            <w:pPr>
              <w:rPr>
                <w:color w:val="000000" w:themeColor="text1"/>
              </w:rPr>
            </w:pPr>
            <w:r w:rsidRPr="00AA1873">
              <w:rPr>
                <w:color w:val="000000" w:themeColor="text1"/>
              </w:rPr>
              <w:t>Memory</w:t>
            </w:r>
          </w:p>
        </w:tc>
        <w:tc>
          <w:tcPr>
            <w:tcW w:w="6400" w:type="dxa"/>
            <w:shd w:val="clear" w:color="auto" w:fill="FFFFFF"/>
            <w:tcMar>
              <w:top w:w="80" w:type="dxa"/>
              <w:left w:w="100" w:type="dxa"/>
              <w:bottom w:w="80" w:type="dxa"/>
              <w:right w:w="100" w:type="dxa"/>
            </w:tcMar>
            <w:vAlign w:val="center"/>
          </w:tcPr>
          <w:p w14:paraId="548D156D" w14:textId="77777777" w:rsidR="00EA3D00" w:rsidRPr="00AA1873" w:rsidRDefault="00000000">
            <w:pPr>
              <w:rPr>
                <w:color w:val="000000" w:themeColor="text1"/>
              </w:rPr>
            </w:pPr>
            <w:r w:rsidRPr="00AA1873">
              <w:rPr>
                <w:color w:val="000000" w:themeColor="text1"/>
              </w:rPr>
              <w:t>8 GB RAM minimum (16 GB recommended for running a local blockchain node alongside the backend and frontend)</w:t>
            </w:r>
          </w:p>
        </w:tc>
      </w:tr>
      <w:tr w:rsidR="00EA3D00" w:rsidRPr="00AA1873" w14:paraId="6CB3ED66"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0D58068" w14:textId="77777777" w:rsidR="00EA3D00" w:rsidRPr="00AA1873" w:rsidRDefault="00000000">
            <w:pPr>
              <w:rPr>
                <w:color w:val="000000" w:themeColor="text1"/>
              </w:rPr>
            </w:pPr>
            <w:r w:rsidRPr="00AA1873">
              <w:rPr>
                <w:color w:val="000000" w:themeColor="text1"/>
              </w:rPr>
              <w:t>Storage</w:t>
            </w:r>
          </w:p>
        </w:tc>
        <w:tc>
          <w:tcPr>
            <w:tcW w:w="6400" w:type="dxa"/>
            <w:shd w:val="clear" w:color="auto" w:fill="F2F2F2"/>
            <w:tcMar>
              <w:top w:w="80" w:type="dxa"/>
              <w:left w:w="100" w:type="dxa"/>
              <w:bottom w:w="80" w:type="dxa"/>
              <w:right w:w="100" w:type="dxa"/>
            </w:tcMar>
            <w:vAlign w:val="center"/>
          </w:tcPr>
          <w:p w14:paraId="19ABBE65" w14:textId="77777777" w:rsidR="00EA3D00" w:rsidRPr="00AA1873" w:rsidRDefault="00000000">
            <w:pPr>
              <w:rPr>
                <w:color w:val="000000" w:themeColor="text1"/>
              </w:rPr>
            </w:pPr>
            <w:r w:rsidRPr="00AA1873">
              <w:rPr>
                <w:color w:val="000000" w:themeColor="text1"/>
              </w:rPr>
              <w:t>20 GB free disk space (for blockchain node data, dependencies, and the database)</w:t>
            </w:r>
          </w:p>
        </w:tc>
      </w:tr>
      <w:tr w:rsidR="00EA3D00" w:rsidRPr="00AA1873" w14:paraId="0AED1D3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DA75D0D" w14:textId="77777777" w:rsidR="00EA3D00" w:rsidRPr="00AA1873" w:rsidRDefault="00000000">
            <w:pPr>
              <w:rPr>
                <w:color w:val="000000" w:themeColor="text1"/>
              </w:rPr>
            </w:pPr>
            <w:r w:rsidRPr="00AA1873">
              <w:rPr>
                <w:color w:val="000000" w:themeColor="text1"/>
              </w:rPr>
              <w:t>Network</w:t>
            </w:r>
          </w:p>
        </w:tc>
        <w:tc>
          <w:tcPr>
            <w:tcW w:w="6400" w:type="dxa"/>
            <w:shd w:val="clear" w:color="auto" w:fill="FFFFFF"/>
            <w:tcMar>
              <w:top w:w="80" w:type="dxa"/>
              <w:left w:w="100" w:type="dxa"/>
              <w:bottom w:w="80" w:type="dxa"/>
              <w:right w:w="100" w:type="dxa"/>
            </w:tcMar>
            <w:vAlign w:val="center"/>
          </w:tcPr>
          <w:p w14:paraId="28A988AD" w14:textId="77777777" w:rsidR="00EA3D00" w:rsidRPr="00AA1873" w:rsidRDefault="00000000">
            <w:pPr>
              <w:rPr>
                <w:color w:val="000000" w:themeColor="text1"/>
              </w:rPr>
            </w:pPr>
            <w:r w:rsidRPr="00AA1873">
              <w:rPr>
                <w:color w:val="000000" w:themeColor="text1"/>
              </w:rPr>
              <w:t>Stable internet connection (for testnet access and package installation)</w:t>
            </w:r>
          </w:p>
        </w:tc>
      </w:tr>
    </w:tbl>
    <w:p w14:paraId="458725BE" w14:textId="77777777" w:rsidR="00EA3D00" w:rsidRPr="00AA1873" w:rsidRDefault="00EA3D00">
      <w:pPr>
        <w:spacing w:before="200"/>
        <w:rPr>
          <w:color w:val="000000" w:themeColor="text1"/>
        </w:rPr>
      </w:pPr>
    </w:p>
    <w:p w14:paraId="6CBFC489" w14:textId="77777777" w:rsidR="00EA3D00" w:rsidRPr="00AA1873" w:rsidRDefault="00000000">
      <w:pPr>
        <w:spacing w:before="200" w:after="100"/>
        <w:rPr>
          <w:color w:val="000000" w:themeColor="text1"/>
        </w:rPr>
      </w:pPr>
      <w:r w:rsidRPr="00AA1873">
        <w:rPr>
          <w:b/>
          <w:bCs/>
          <w:i/>
          <w:iCs/>
          <w:color w:val="000000" w:themeColor="text1"/>
          <w:sz w:val="22"/>
          <w:szCs w:val="22"/>
        </w:rPr>
        <w:t>1.8.2 Software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EA3D00" w:rsidRPr="00AA1873" w14:paraId="2FC9689D" w14:textId="77777777" w:rsidTr="00AA1873">
        <w:tblPrEx>
          <w:tblCellMar>
            <w:top w:w="0" w:type="dxa"/>
            <w:bottom w:w="0" w:type="dxa"/>
          </w:tblCellMar>
        </w:tblPrEx>
        <w:tc>
          <w:tcPr>
            <w:tcW w:w="3000" w:type="dxa"/>
            <w:tcMar>
              <w:top w:w="80" w:type="dxa"/>
              <w:left w:w="100" w:type="dxa"/>
              <w:bottom w:w="80" w:type="dxa"/>
              <w:right w:w="100" w:type="dxa"/>
            </w:tcMar>
            <w:vAlign w:val="center"/>
          </w:tcPr>
          <w:p w14:paraId="13E3A5CC" w14:textId="77777777" w:rsidR="00EA3D00" w:rsidRPr="00AA1873" w:rsidRDefault="00000000">
            <w:pPr>
              <w:rPr>
                <w:color w:val="000000" w:themeColor="text1"/>
              </w:rPr>
            </w:pPr>
            <w:r w:rsidRPr="00AA1873">
              <w:rPr>
                <w:b/>
                <w:bCs/>
                <w:color w:val="000000" w:themeColor="text1"/>
              </w:rPr>
              <w:t>Component</w:t>
            </w:r>
          </w:p>
        </w:tc>
        <w:tc>
          <w:tcPr>
            <w:tcW w:w="6400" w:type="dxa"/>
            <w:tcMar>
              <w:top w:w="80" w:type="dxa"/>
              <w:left w:w="100" w:type="dxa"/>
              <w:bottom w:w="80" w:type="dxa"/>
              <w:right w:w="100" w:type="dxa"/>
            </w:tcMar>
            <w:vAlign w:val="center"/>
          </w:tcPr>
          <w:p w14:paraId="1F5C377D" w14:textId="77777777" w:rsidR="00EA3D00" w:rsidRPr="00AA1873" w:rsidRDefault="00000000">
            <w:pPr>
              <w:rPr>
                <w:color w:val="000000" w:themeColor="text1"/>
              </w:rPr>
            </w:pPr>
            <w:r w:rsidRPr="00AA1873">
              <w:rPr>
                <w:b/>
                <w:bCs/>
                <w:color w:val="000000" w:themeColor="text1"/>
              </w:rPr>
              <w:t>Requirement</w:t>
            </w:r>
          </w:p>
        </w:tc>
      </w:tr>
      <w:tr w:rsidR="00EA3D00" w:rsidRPr="00AA1873" w14:paraId="51DD5196"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CBF1D55" w14:textId="77777777" w:rsidR="00EA3D00" w:rsidRPr="00AA1873" w:rsidRDefault="00000000">
            <w:pPr>
              <w:rPr>
                <w:color w:val="000000" w:themeColor="text1"/>
              </w:rPr>
            </w:pPr>
            <w:r w:rsidRPr="00AA1873">
              <w:rPr>
                <w:color w:val="000000" w:themeColor="text1"/>
              </w:rPr>
              <w:t>Backend</w:t>
            </w:r>
          </w:p>
        </w:tc>
        <w:tc>
          <w:tcPr>
            <w:tcW w:w="6400" w:type="dxa"/>
            <w:shd w:val="clear" w:color="auto" w:fill="F2F2F2"/>
            <w:tcMar>
              <w:top w:w="80" w:type="dxa"/>
              <w:left w:w="100" w:type="dxa"/>
              <w:bottom w:w="80" w:type="dxa"/>
              <w:right w:w="100" w:type="dxa"/>
            </w:tcMar>
            <w:vAlign w:val="center"/>
          </w:tcPr>
          <w:p w14:paraId="2AD53EF7" w14:textId="77777777" w:rsidR="00EA3D00" w:rsidRPr="00AA1873" w:rsidRDefault="00000000">
            <w:pPr>
              <w:rPr>
                <w:color w:val="000000" w:themeColor="text1"/>
              </w:rPr>
            </w:pPr>
            <w:r w:rsidRPr="00AA1873">
              <w:rPr>
                <w:color w:val="000000" w:themeColor="text1"/>
              </w:rPr>
              <w:t>Python 3.x with FastAPI</w:t>
            </w:r>
          </w:p>
        </w:tc>
      </w:tr>
      <w:tr w:rsidR="00EA3D00" w:rsidRPr="00AA1873" w14:paraId="37150CCA"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28FC8C0" w14:textId="77777777" w:rsidR="00EA3D00" w:rsidRPr="00AA1873" w:rsidRDefault="00000000">
            <w:pPr>
              <w:rPr>
                <w:color w:val="000000" w:themeColor="text1"/>
              </w:rPr>
            </w:pPr>
            <w:r w:rsidRPr="00AA1873">
              <w:rPr>
                <w:color w:val="000000" w:themeColor="text1"/>
              </w:rPr>
              <w:t>Frontend</w:t>
            </w:r>
          </w:p>
        </w:tc>
        <w:tc>
          <w:tcPr>
            <w:tcW w:w="6400" w:type="dxa"/>
            <w:shd w:val="clear" w:color="auto" w:fill="FFFFFF"/>
            <w:tcMar>
              <w:top w:w="80" w:type="dxa"/>
              <w:left w:w="100" w:type="dxa"/>
              <w:bottom w:w="80" w:type="dxa"/>
              <w:right w:w="100" w:type="dxa"/>
            </w:tcMar>
            <w:vAlign w:val="center"/>
          </w:tcPr>
          <w:p w14:paraId="51153EBF" w14:textId="77777777" w:rsidR="00EA3D00" w:rsidRPr="00AA1873" w:rsidRDefault="00000000">
            <w:pPr>
              <w:rPr>
                <w:color w:val="000000" w:themeColor="text1"/>
              </w:rPr>
            </w:pPr>
            <w:r w:rsidRPr="00AA1873">
              <w:rPr>
                <w:color w:val="000000" w:themeColor="text1"/>
              </w:rPr>
              <w:t>React / Next.js</w:t>
            </w:r>
          </w:p>
        </w:tc>
      </w:tr>
      <w:tr w:rsidR="00EA3D00" w:rsidRPr="00AA1873" w14:paraId="3ABE3C6F"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3D986E56" w14:textId="77777777" w:rsidR="00EA3D00" w:rsidRPr="00AA1873" w:rsidRDefault="00000000">
            <w:pPr>
              <w:rPr>
                <w:color w:val="000000" w:themeColor="text1"/>
              </w:rPr>
            </w:pPr>
            <w:r w:rsidRPr="00AA1873">
              <w:rPr>
                <w:color w:val="000000" w:themeColor="text1"/>
              </w:rPr>
              <w:t>Smart Contracts</w:t>
            </w:r>
          </w:p>
        </w:tc>
        <w:tc>
          <w:tcPr>
            <w:tcW w:w="6400" w:type="dxa"/>
            <w:shd w:val="clear" w:color="auto" w:fill="F2F2F2"/>
            <w:tcMar>
              <w:top w:w="80" w:type="dxa"/>
              <w:left w:w="100" w:type="dxa"/>
              <w:bottom w:w="80" w:type="dxa"/>
              <w:right w:w="100" w:type="dxa"/>
            </w:tcMar>
            <w:vAlign w:val="center"/>
          </w:tcPr>
          <w:p w14:paraId="1BCDA1A0" w14:textId="77777777" w:rsidR="00EA3D00" w:rsidRPr="00AA1873" w:rsidRDefault="00000000">
            <w:pPr>
              <w:rPr>
                <w:color w:val="000000" w:themeColor="text1"/>
              </w:rPr>
            </w:pPr>
            <w:r w:rsidRPr="00AA1873">
              <w:rPr>
                <w:color w:val="000000" w:themeColor="text1"/>
              </w:rPr>
              <w:t>Solidity</w:t>
            </w:r>
          </w:p>
        </w:tc>
      </w:tr>
      <w:tr w:rsidR="00EA3D00" w:rsidRPr="00AA1873" w14:paraId="730CF0DD"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2F2148D7" w14:textId="77777777" w:rsidR="00EA3D00" w:rsidRPr="00AA1873" w:rsidRDefault="00000000">
            <w:pPr>
              <w:rPr>
                <w:color w:val="000000" w:themeColor="text1"/>
              </w:rPr>
            </w:pPr>
            <w:r w:rsidRPr="00AA1873">
              <w:rPr>
                <w:color w:val="000000" w:themeColor="text1"/>
              </w:rPr>
              <w:t>Blockchain Integration</w:t>
            </w:r>
          </w:p>
        </w:tc>
        <w:tc>
          <w:tcPr>
            <w:tcW w:w="6400" w:type="dxa"/>
            <w:shd w:val="clear" w:color="auto" w:fill="FFFFFF"/>
            <w:tcMar>
              <w:top w:w="80" w:type="dxa"/>
              <w:left w:w="100" w:type="dxa"/>
              <w:bottom w:w="80" w:type="dxa"/>
              <w:right w:w="100" w:type="dxa"/>
            </w:tcMar>
            <w:vAlign w:val="center"/>
          </w:tcPr>
          <w:p w14:paraId="2AF423C4" w14:textId="77777777" w:rsidR="00EA3D00" w:rsidRPr="00AA1873" w:rsidRDefault="00000000">
            <w:pPr>
              <w:rPr>
                <w:color w:val="000000" w:themeColor="text1"/>
              </w:rPr>
            </w:pPr>
            <w:r w:rsidRPr="00AA1873">
              <w:rPr>
                <w:color w:val="000000" w:themeColor="text1"/>
              </w:rPr>
              <w:t>Web3.py</w:t>
            </w:r>
          </w:p>
        </w:tc>
      </w:tr>
      <w:tr w:rsidR="00EA3D00" w:rsidRPr="00AA1873" w14:paraId="3251D5EB"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281463F" w14:textId="77777777" w:rsidR="00EA3D00" w:rsidRPr="00AA1873" w:rsidRDefault="00000000">
            <w:pPr>
              <w:rPr>
                <w:color w:val="000000" w:themeColor="text1"/>
              </w:rPr>
            </w:pPr>
            <w:r w:rsidRPr="00AA1873">
              <w:rPr>
                <w:color w:val="000000" w:themeColor="text1"/>
              </w:rPr>
              <w:t>Blockchain Network</w:t>
            </w:r>
          </w:p>
        </w:tc>
        <w:tc>
          <w:tcPr>
            <w:tcW w:w="6400" w:type="dxa"/>
            <w:shd w:val="clear" w:color="auto" w:fill="F2F2F2"/>
            <w:tcMar>
              <w:top w:w="80" w:type="dxa"/>
              <w:left w:w="100" w:type="dxa"/>
              <w:bottom w:w="80" w:type="dxa"/>
              <w:right w:w="100" w:type="dxa"/>
            </w:tcMar>
            <w:vAlign w:val="center"/>
          </w:tcPr>
          <w:p w14:paraId="4470B162" w14:textId="77777777" w:rsidR="00EA3D00" w:rsidRPr="00AA1873" w:rsidRDefault="00000000">
            <w:pPr>
              <w:rPr>
                <w:color w:val="000000" w:themeColor="text1"/>
              </w:rPr>
            </w:pPr>
            <w:r w:rsidRPr="00AA1873">
              <w:rPr>
                <w:color w:val="000000" w:themeColor="text1"/>
              </w:rPr>
              <w:t>Ethereum-compatible test network (e.g., local Hardhat/Ganache node or public testnet)</w:t>
            </w:r>
          </w:p>
        </w:tc>
      </w:tr>
      <w:tr w:rsidR="00EA3D00" w:rsidRPr="00AA1873" w14:paraId="355B8264"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8885FA2" w14:textId="77777777" w:rsidR="00EA3D00" w:rsidRPr="00AA1873" w:rsidRDefault="00000000">
            <w:pPr>
              <w:rPr>
                <w:color w:val="000000" w:themeColor="text1"/>
              </w:rPr>
            </w:pPr>
            <w:r w:rsidRPr="00AA1873">
              <w:rPr>
                <w:color w:val="000000" w:themeColor="text1"/>
              </w:rPr>
              <w:t>Database</w:t>
            </w:r>
          </w:p>
        </w:tc>
        <w:tc>
          <w:tcPr>
            <w:tcW w:w="6400" w:type="dxa"/>
            <w:shd w:val="clear" w:color="auto" w:fill="FFFFFF"/>
            <w:tcMar>
              <w:top w:w="80" w:type="dxa"/>
              <w:left w:w="100" w:type="dxa"/>
              <w:bottom w:w="80" w:type="dxa"/>
              <w:right w:w="100" w:type="dxa"/>
            </w:tcMar>
            <w:vAlign w:val="center"/>
          </w:tcPr>
          <w:p w14:paraId="72C9735C" w14:textId="77777777" w:rsidR="00EA3D00" w:rsidRPr="00AA1873" w:rsidRDefault="00000000">
            <w:pPr>
              <w:rPr>
                <w:color w:val="000000" w:themeColor="text1"/>
              </w:rPr>
            </w:pPr>
            <w:r w:rsidRPr="00AA1873">
              <w:rPr>
                <w:color w:val="000000" w:themeColor="text1"/>
              </w:rPr>
              <w:t>Relational database (e.g., PostgreSQL) for off-chain application data</w:t>
            </w:r>
          </w:p>
        </w:tc>
      </w:tr>
      <w:tr w:rsidR="00EA3D00" w:rsidRPr="00AA1873" w14:paraId="1976F218"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2A5F472" w14:textId="77777777" w:rsidR="00EA3D00" w:rsidRPr="00AA1873" w:rsidRDefault="00000000">
            <w:pPr>
              <w:rPr>
                <w:color w:val="000000" w:themeColor="text1"/>
              </w:rPr>
            </w:pPr>
            <w:r w:rsidRPr="00AA1873">
              <w:rPr>
                <w:color w:val="000000" w:themeColor="text1"/>
              </w:rPr>
              <w:t>Version Control</w:t>
            </w:r>
          </w:p>
        </w:tc>
        <w:tc>
          <w:tcPr>
            <w:tcW w:w="6400" w:type="dxa"/>
            <w:shd w:val="clear" w:color="auto" w:fill="F2F2F2"/>
            <w:tcMar>
              <w:top w:w="80" w:type="dxa"/>
              <w:left w:w="100" w:type="dxa"/>
              <w:bottom w:w="80" w:type="dxa"/>
              <w:right w:w="100" w:type="dxa"/>
            </w:tcMar>
            <w:vAlign w:val="center"/>
          </w:tcPr>
          <w:p w14:paraId="039F8326" w14:textId="77777777" w:rsidR="00EA3D00" w:rsidRPr="00AA1873" w:rsidRDefault="00000000">
            <w:pPr>
              <w:rPr>
                <w:color w:val="000000" w:themeColor="text1"/>
              </w:rPr>
            </w:pPr>
            <w:r w:rsidRPr="00AA1873">
              <w:rPr>
                <w:color w:val="000000" w:themeColor="text1"/>
              </w:rPr>
              <w:t>Git / GitHub</w:t>
            </w:r>
          </w:p>
        </w:tc>
      </w:tr>
      <w:tr w:rsidR="00EA3D00" w:rsidRPr="00AA1873" w14:paraId="5965CD6E"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332396C" w14:textId="77777777" w:rsidR="00EA3D00" w:rsidRPr="00AA1873" w:rsidRDefault="00000000">
            <w:pPr>
              <w:rPr>
                <w:color w:val="000000" w:themeColor="text1"/>
              </w:rPr>
            </w:pPr>
            <w:r w:rsidRPr="00AA1873">
              <w:rPr>
                <w:color w:val="000000" w:themeColor="text1"/>
              </w:rPr>
              <w:t>Operating System</w:t>
            </w:r>
          </w:p>
        </w:tc>
        <w:tc>
          <w:tcPr>
            <w:tcW w:w="6400" w:type="dxa"/>
            <w:shd w:val="clear" w:color="auto" w:fill="FFFFFF"/>
            <w:tcMar>
              <w:top w:w="80" w:type="dxa"/>
              <w:left w:w="100" w:type="dxa"/>
              <w:bottom w:w="80" w:type="dxa"/>
              <w:right w:w="100" w:type="dxa"/>
            </w:tcMar>
            <w:vAlign w:val="center"/>
          </w:tcPr>
          <w:p w14:paraId="38D18847" w14:textId="77777777" w:rsidR="00EA3D00" w:rsidRPr="00AA1873" w:rsidRDefault="00000000">
            <w:pPr>
              <w:rPr>
                <w:color w:val="000000" w:themeColor="text1"/>
              </w:rPr>
            </w:pPr>
            <w:r w:rsidRPr="00AA1873">
              <w:rPr>
                <w:color w:val="000000" w:themeColor="text1"/>
              </w:rPr>
              <w:t>Windows / Linux / macOS (cross-platform)</w:t>
            </w:r>
          </w:p>
        </w:tc>
      </w:tr>
    </w:tbl>
    <w:p w14:paraId="3186EA4D" w14:textId="77777777" w:rsidR="00EA3D00" w:rsidRPr="00AA1873" w:rsidRDefault="00EA3D00">
      <w:pPr>
        <w:spacing w:before="200"/>
        <w:rPr>
          <w:color w:val="000000" w:themeColor="text1"/>
        </w:rPr>
      </w:pPr>
    </w:p>
    <w:p w14:paraId="1FD750AF" w14:textId="77777777" w:rsidR="00EA3D00" w:rsidRPr="00AA1873" w:rsidRDefault="00000000">
      <w:pPr>
        <w:spacing w:before="200" w:after="100"/>
        <w:rPr>
          <w:color w:val="000000" w:themeColor="text1"/>
        </w:rPr>
      </w:pPr>
      <w:r w:rsidRPr="00AA1873">
        <w:rPr>
          <w:b/>
          <w:bCs/>
          <w:i/>
          <w:iCs/>
          <w:color w:val="000000" w:themeColor="text1"/>
          <w:sz w:val="22"/>
          <w:szCs w:val="22"/>
        </w:rPr>
        <w:t>1.8.3 Functional Requirements</w:t>
      </w:r>
    </w:p>
    <w:p w14:paraId="223F12B5"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The system shall allow a government admin to issue tokens tied to a specific fund type and spending category.</w:t>
      </w:r>
    </w:p>
    <w:p w14:paraId="68BD6804"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The system shall allow beneficiaries to receive tokens into a digital wallet and view their balance and transaction history.</w:t>
      </w:r>
    </w:p>
    <w:p w14:paraId="454C5F7C"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The system shall allow vendors to register and be approved for one or more specific spending categories.</w:t>
      </w:r>
    </w:p>
    <w:p w14:paraId="1DF7DF75"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The system shall automatically reject, via smart contract, any transaction where the receiving vendor's category does not match the token's allowed category.</w:t>
      </w:r>
    </w:p>
    <w:p w14:paraId="494442F3"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lastRenderedPageBreak/>
        <w:t>The system shall record every transaction — approved or rejected — on the blockchain with a retrievable transaction hash.</w:t>
      </w:r>
    </w:p>
    <w:p w14:paraId="5AC94E00"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The system shall continuously analyze transaction flows and flag suspicious patterns for auditor review.</w:t>
      </w:r>
    </w:p>
    <w:p w14:paraId="77C23B26"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The system shall provide auditors with the full transaction trail for any fund, flag, or wallet under review.</w:t>
      </w:r>
    </w:p>
    <w:p w14:paraId="7164293F"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The system shall provide a public dashboard showing aggregate, category-wise fund utilization without exposing individual-level data.</w:t>
      </w:r>
    </w:p>
    <w:p w14:paraId="2A8F4D40" w14:textId="77777777" w:rsidR="00EA3D00" w:rsidRPr="00AA1873" w:rsidRDefault="00EA3D00">
      <w:pPr>
        <w:spacing w:before="200"/>
        <w:rPr>
          <w:color w:val="000000" w:themeColor="text1"/>
        </w:rPr>
      </w:pPr>
    </w:p>
    <w:p w14:paraId="5693515D" w14:textId="77777777" w:rsidR="00EA3D00" w:rsidRPr="00AA1873" w:rsidRDefault="00000000">
      <w:pPr>
        <w:spacing w:before="200" w:after="100"/>
        <w:rPr>
          <w:color w:val="000000" w:themeColor="text1"/>
        </w:rPr>
      </w:pPr>
      <w:r w:rsidRPr="00AA1873">
        <w:rPr>
          <w:b/>
          <w:bCs/>
          <w:i/>
          <w:iCs/>
          <w:color w:val="000000" w:themeColor="text1"/>
          <w:sz w:val="22"/>
          <w:szCs w:val="22"/>
        </w:rPr>
        <w:t>1.8.4 Non-Functional Requirements</w:t>
      </w:r>
    </w:p>
    <w:p w14:paraId="6CA530B4"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Performance: Transaction validation shall complete within a few seconds, sufficient for a usable demo experience.</w:t>
      </w:r>
    </w:p>
    <w:p w14:paraId="184A5404"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Privacy: Individual transaction details shall never be exposed on the public transparency dashboard — only aggregate, category-wise totals.</w:t>
      </w:r>
    </w:p>
    <w:p w14:paraId="7685E335"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Reliability: A transaction violating spending rules shall never be approved; rule checks are enforced in the smart contract itself, not only in the application layer.</w:t>
      </w:r>
    </w:p>
    <w:p w14:paraId="096A6C95"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Auditability: Every transaction must be traceable end-to-end via an immutable on-chain record, with no possibility of silent alteration or deletion.</w:t>
      </w:r>
    </w:p>
    <w:p w14:paraId="52D43B36" w14:textId="77777777" w:rsidR="00EA3D00" w:rsidRPr="00AA1873" w:rsidRDefault="00000000">
      <w:pPr>
        <w:pStyle w:val="ListParagraph"/>
        <w:numPr>
          <w:ilvl w:val="0"/>
          <w:numId w:val="3"/>
        </w:numPr>
        <w:spacing w:after="90" w:line="280" w:lineRule="auto"/>
        <w:rPr>
          <w:color w:val="000000" w:themeColor="text1"/>
        </w:rPr>
      </w:pPr>
      <w:r w:rsidRPr="00AA1873">
        <w:rPr>
          <w:color w:val="000000" w:themeColor="text1"/>
          <w:sz w:val="22"/>
          <w:szCs w:val="22"/>
        </w:rPr>
        <w:t>Technology consistency: The backend shall be built using Python (FastAPI) and the frontend using React/Next.js, as specified in the project requirements.</w:t>
      </w:r>
    </w:p>
    <w:p w14:paraId="32F07177"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1.9 Feasibility Study</w:t>
      </w:r>
    </w:p>
    <w:p w14:paraId="4D3DBCD1" w14:textId="77777777" w:rsidR="00EA3D00" w:rsidRPr="00AA1873" w:rsidRDefault="00000000">
      <w:pPr>
        <w:spacing w:before="200" w:after="100"/>
        <w:rPr>
          <w:color w:val="000000" w:themeColor="text1"/>
        </w:rPr>
      </w:pPr>
      <w:r w:rsidRPr="00AA1873">
        <w:rPr>
          <w:b/>
          <w:bCs/>
          <w:i/>
          <w:iCs/>
          <w:color w:val="000000" w:themeColor="text1"/>
          <w:sz w:val="22"/>
          <w:szCs w:val="22"/>
        </w:rPr>
        <w:t>1.9.1 Technical Feasibility</w:t>
      </w:r>
    </w:p>
    <w:p w14:paraId="54818EEB" w14:textId="77777777" w:rsidR="00EA3D00" w:rsidRPr="00AA1873" w:rsidRDefault="00000000">
      <w:pPr>
        <w:spacing w:after="160" w:line="300" w:lineRule="auto"/>
        <w:jc w:val="both"/>
        <w:rPr>
          <w:color w:val="000000" w:themeColor="text1"/>
        </w:rPr>
      </w:pPr>
      <w:r w:rsidRPr="00AA1873">
        <w:rPr>
          <w:color w:val="000000" w:themeColor="text1"/>
          <w:sz w:val="22"/>
          <w:szCs w:val="22"/>
        </w:rPr>
        <w:t>The proposed stack (Python/FastAPI, React/Next.js, Solidity smart contracts, Web3.py) is mature, well-documented, and within the team's existing skill set. Ethereum-compatible test networks allow full development, rule-enforcement testing, and demonstration without any real financial risk, and the core mechanism — a smart contract validating a transaction against a stored category before approving it — is a well-established pattern rather than a novel or high-risk technique.</w:t>
      </w:r>
    </w:p>
    <w:p w14:paraId="0954A3EB" w14:textId="77777777" w:rsidR="00EA3D00" w:rsidRPr="00AA1873" w:rsidRDefault="00000000">
      <w:pPr>
        <w:spacing w:before="200" w:after="100"/>
        <w:rPr>
          <w:color w:val="000000" w:themeColor="text1"/>
        </w:rPr>
      </w:pPr>
      <w:r w:rsidRPr="00AA1873">
        <w:rPr>
          <w:b/>
          <w:bCs/>
          <w:i/>
          <w:iCs/>
          <w:color w:val="000000" w:themeColor="text1"/>
          <w:sz w:val="22"/>
          <w:szCs w:val="22"/>
        </w:rPr>
        <w:t>1.9.2 Operational Feasibility</w:t>
      </w:r>
    </w:p>
    <w:p w14:paraId="0F2119FC" w14:textId="77777777" w:rsidR="00EA3D00" w:rsidRPr="00AA1873" w:rsidRDefault="00000000">
      <w:pPr>
        <w:spacing w:after="160" w:line="300" w:lineRule="auto"/>
        <w:jc w:val="both"/>
        <w:rPr>
          <w:color w:val="000000" w:themeColor="text1"/>
        </w:rPr>
      </w:pPr>
      <w:r w:rsidRPr="00AA1873">
        <w:rPr>
          <w:color w:val="000000" w:themeColor="text1"/>
          <w:sz w:val="22"/>
          <w:szCs w:val="22"/>
        </w:rPr>
        <w:t>The workflow mirrors existing disbursement processes: a government body issues funds, beneficiaries spend them, and vendors receive them, so adoption requires role-based onboarding rather than a change in the fundamental process. Automated rule enforcement reduces the manual approval workload for administrators, and auditors gain a searchable trail in place of fragmented paper or bank records.</w:t>
      </w:r>
    </w:p>
    <w:p w14:paraId="03EE8116" w14:textId="77777777" w:rsidR="00EA3D00" w:rsidRPr="00AA1873" w:rsidRDefault="00000000">
      <w:pPr>
        <w:spacing w:before="200" w:after="100"/>
        <w:rPr>
          <w:color w:val="000000" w:themeColor="text1"/>
        </w:rPr>
      </w:pPr>
      <w:r w:rsidRPr="00AA1873">
        <w:rPr>
          <w:b/>
          <w:bCs/>
          <w:i/>
          <w:iCs/>
          <w:color w:val="000000" w:themeColor="text1"/>
          <w:sz w:val="22"/>
          <w:szCs w:val="22"/>
        </w:rPr>
        <w:t>1.9.3 Economic Feasibility</w:t>
      </w:r>
    </w:p>
    <w:p w14:paraId="6FDAE6BB" w14:textId="77777777" w:rsidR="00EA3D00" w:rsidRPr="00AA1873" w:rsidRDefault="00000000">
      <w:pPr>
        <w:spacing w:after="160" w:line="300" w:lineRule="auto"/>
        <w:jc w:val="both"/>
        <w:rPr>
          <w:color w:val="000000" w:themeColor="text1"/>
        </w:rPr>
      </w:pPr>
      <w:r w:rsidRPr="00AA1873">
        <w:rPr>
          <w:color w:val="000000" w:themeColor="text1"/>
          <w:sz w:val="22"/>
          <w:szCs w:val="22"/>
        </w:rPr>
        <w:t>Development relies on open-source frameworks (FastAPI, React, Solidity, Web3.py) and free-tier blockchain test networks, keeping build cost minimal. For a production deployment, the main cost drivers would be blockchain transaction fees, cloud hosting, and compliance overhead — costs that are modest relative to the scale of leakage the system is designed to prevent, and comparable to the operating model already demonstrated by large-scale blockchain disbursement programs such as WFP's Building Blocks.</w:t>
      </w:r>
    </w:p>
    <w:p w14:paraId="3BD2878C" w14:textId="77777777" w:rsidR="00EA3D00" w:rsidRPr="00AA1873" w:rsidRDefault="00000000">
      <w:pPr>
        <w:spacing w:before="200" w:after="100"/>
        <w:rPr>
          <w:color w:val="000000" w:themeColor="text1"/>
        </w:rPr>
      </w:pPr>
      <w:r w:rsidRPr="00AA1873">
        <w:rPr>
          <w:b/>
          <w:bCs/>
          <w:i/>
          <w:iCs/>
          <w:color w:val="000000" w:themeColor="text1"/>
          <w:sz w:val="22"/>
          <w:szCs w:val="22"/>
        </w:rPr>
        <w:t>1.9.4 Schedule Feasibility</w:t>
      </w:r>
    </w:p>
    <w:p w14:paraId="16A6EA31" w14:textId="77777777" w:rsidR="00EA3D00" w:rsidRPr="00AA1873" w:rsidRDefault="00000000">
      <w:pPr>
        <w:spacing w:after="160" w:line="300" w:lineRule="auto"/>
        <w:jc w:val="both"/>
        <w:rPr>
          <w:color w:val="000000" w:themeColor="text1"/>
        </w:rPr>
      </w:pPr>
      <w:r w:rsidRPr="00AA1873">
        <w:rPr>
          <w:color w:val="000000" w:themeColor="text1"/>
          <w:sz w:val="22"/>
          <w:szCs w:val="22"/>
        </w:rPr>
        <w:t>The project is scoped for a three-person team with a modular division of work — smart contracts and blockchain integration, the rules and fraud-detection engine, the backend API, and three separate frontend dashboards — allowing parallel development within the project timeline, as outlined in the module ownership plan.</w:t>
      </w:r>
    </w:p>
    <w:p w14:paraId="1C731599" w14:textId="77777777" w:rsidR="00EA3D00" w:rsidRPr="00AA1873" w:rsidRDefault="00000000">
      <w:pPr>
        <w:spacing w:before="200" w:after="100"/>
        <w:rPr>
          <w:color w:val="000000" w:themeColor="text1"/>
        </w:rPr>
      </w:pPr>
      <w:r w:rsidRPr="00AA1873">
        <w:rPr>
          <w:b/>
          <w:bCs/>
          <w:i/>
          <w:iCs/>
          <w:color w:val="000000" w:themeColor="text1"/>
          <w:sz w:val="22"/>
          <w:szCs w:val="22"/>
        </w:rPr>
        <w:lastRenderedPageBreak/>
        <w:t>1.9.5 Legal and Regulatory Feasibility</w:t>
      </w:r>
    </w:p>
    <w:p w14:paraId="0610401D" w14:textId="77777777" w:rsidR="00EA3D00" w:rsidRPr="00AA1873" w:rsidRDefault="00000000">
      <w:pPr>
        <w:spacing w:after="160" w:line="300" w:lineRule="auto"/>
        <w:jc w:val="both"/>
        <w:rPr>
          <w:color w:val="000000" w:themeColor="text1"/>
        </w:rPr>
      </w:pPr>
      <w:r w:rsidRPr="00AA1873">
        <w:rPr>
          <w:color w:val="000000" w:themeColor="text1"/>
          <w:sz w:val="22"/>
          <w:szCs w:val="22"/>
        </w:rPr>
        <w:t>The design is conceptually aligned with regulator-sanctioned digital currency initiatives, most notably the Reserve Bank of India's e-Rupee (CBDC) pilots, which have themselves identified programmability for targeted subsidies as an intended future direction. This suggests the underlying approach fits within an emerging, recognized regulatory direction rather than operating outside it, though a production rollout using real public funds would still require formal approval from the relevant financial and data-protection authorities, which is outside the scope of the current academic prototype.</w:t>
      </w:r>
    </w:p>
    <w:p w14:paraId="38784E7C"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1.10 Risk Analysis</w:t>
      </w:r>
    </w:p>
    <w:p w14:paraId="7A67BC7E" w14:textId="77777777" w:rsidR="00EA3D00" w:rsidRPr="00AA1873" w:rsidRDefault="00000000">
      <w:pPr>
        <w:spacing w:after="160" w:line="300" w:lineRule="auto"/>
        <w:jc w:val="both"/>
        <w:rPr>
          <w:color w:val="000000" w:themeColor="text1"/>
        </w:rPr>
      </w:pPr>
      <w:r w:rsidRPr="00AA1873">
        <w:rPr>
          <w:color w:val="000000" w:themeColor="text1"/>
          <w:sz w:val="22"/>
          <w:szCs w:val="22"/>
        </w:rPr>
        <w:t>The following risks were identified during the system study, along with their likelihood and planned mitigation, summarized in Table 1.3.</w:t>
      </w:r>
    </w:p>
    <w:p w14:paraId="78B7189E" w14:textId="77777777" w:rsidR="00EA3D00" w:rsidRPr="00AA1873" w:rsidRDefault="00000000">
      <w:pPr>
        <w:spacing w:before="60" w:after="100"/>
        <w:rPr>
          <w:color w:val="000000" w:themeColor="text1"/>
        </w:rPr>
      </w:pPr>
      <w:r w:rsidRPr="00AA1873">
        <w:rPr>
          <w:b/>
          <w:bCs/>
          <w:i/>
          <w:iCs/>
          <w:color w:val="000000" w:themeColor="text1"/>
          <w:sz w:val="19"/>
          <w:szCs w:val="19"/>
        </w:rPr>
        <w:t>Table 1.3: Identified risks and mitigations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100"/>
      </w:tblGrid>
      <w:tr w:rsidR="00EA3D00" w:rsidRPr="00AA1873" w14:paraId="216FB3EF" w14:textId="77777777" w:rsidTr="00AA1873">
        <w:tblPrEx>
          <w:tblCellMar>
            <w:top w:w="0" w:type="dxa"/>
            <w:bottom w:w="0" w:type="dxa"/>
          </w:tblCellMar>
        </w:tblPrEx>
        <w:tc>
          <w:tcPr>
            <w:tcW w:w="3000" w:type="dxa"/>
            <w:tcMar>
              <w:top w:w="80" w:type="dxa"/>
              <w:left w:w="100" w:type="dxa"/>
              <w:bottom w:w="80" w:type="dxa"/>
              <w:right w:w="100" w:type="dxa"/>
            </w:tcMar>
            <w:vAlign w:val="center"/>
          </w:tcPr>
          <w:p w14:paraId="23386681" w14:textId="77777777" w:rsidR="00EA3D00" w:rsidRPr="00AA1873" w:rsidRDefault="00000000">
            <w:pPr>
              <w:rPr>
                <w:color w:val="000000" w:themeColor="text1"/>
              </w:rPr>
            </w:pPr>
            <w:r w:rsidRPr="00AA1873">
              <w:rPr>
                <w:b/>
                <w:bCs/>
                <w:color w:val="000000" w:themeColor="text1"/>
              </w:rPr>
              <w:t>Risk</w:t>
            </w:r>
          </w:p>
        </w:tc>
        <w:tc>
          <w:tcPr>
            <w:tcW w:w="1300" w:type="dxa"/>
            <w:tcMar>
              <w:top w:w="80" w:type="dxa"/>
              <w:left w:w="100" w:type="dxa"/>
              <w:bottom w:w="80" w:type="dxa"/>
              <w:right w:w="100" w:type="dxa"/>
            </w:tcMar>
            <w:vAlign w:val="center"/>
          </w:tcPr>
          <w:p w14:paraId="45C11524" w14:textId="77777777" w:rsidR="00EA3D00" w:rsidRPr="00AA1873" w:rsidRDefault="00000000">
            <w:pPr>
              <w:rPr>
                <w:color w:val="000000" w:themeColor="text1"/>
              </w:rPr>
            </w:pPr>
            <w:r w:rsidRPr="00AA1873">
              <w:rPr>
                <w:b/>
                <w:bCs/>
                <w:color w:val="000000" w:themeColor="text1"/>
              </w:rPr>
              <w:t>Likelihood</w:t>
            </w:r>
          </w:p>
        </w:tc>
        <w:tc>
          <w:tcPr>
            <w:tcW w:w="5100" w:type="dxa"/>
            <w:tcMar>
              <w:top w:w="80" w:type="dxa"/>
              <w:left w:w="100" w:type="dxa"/>
              <w:bottom w:w="80" w:type="dxa"/>
              <w:right w:w="100" w:type="dxa"/>
            </w:tcMar>
            <w:vAlign w:val="center"/>
          </w:tcPr>
          <w:p w14:paraId="1B54DB59" w14:textId="77777777" w:rsidR="00EA3D00" w:rsidRPr="00AA1873" w:rsidRDefault="00000000">
            <w:pPr>
              <w:rPr>
                <w:color w:val="000000" w:themeColor="text1"/>
              </w:rPr>
            </w:pPr>
            <w:r w:rsidRPr="00AA1873">
              <w:rPr>
                <w:b/>
                <w:bCs/>
                <w:color w:val="000000" w:themeColor="text1"/>
              </w:rPr>
              <w:t>Mitigation</w:t>
            </w:r>
          </w:p>
        </w:tc>
      </w:tr>
      <w:tr w:rsidR="00EA3D00" w:rsidRPr="00AA1873" w14:paraId="1BBBE46C"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556A00E" w14:textId="77777777" w:rsidR="00EA3D00" w:rsidRPr="00AA1873" w:rsidRDefault="00000000">
            <w:pPr>
              <w:rPr>
                <w:color w:val="000000" w:themeColor="text1"/>
              </w:rPr>
            </w:pPr>
            <w:r w:rsidRPr="00AA1873">
              <w:rPr>
                <w:color w:val="000000" w:themeColor="text1"/>
              </w:rPr>
              <w:t>Smart contract logic errors or vulnerabilities (e.g., reentrancy, improper rule checks) allow a restricted token to be spent outside its approved category</w:t>
            </w:r>
          </w:p>
        </w:tc>
        <w:tc>
          <w:tcPr>
            <w:tcW w:w="1300" w:type="dxa"/>
            <w:shd w:val="clear" w:color="auto" w:fill="F2F2F2"/>
            <w:tcMar>
              <w:top w:w="80" w:type="dxa"/>
              <w:left w:w="100" w:type="dxa"/>
              <w:bottom w:w="80" w:type="dxa"/>
              <w:right w:w="100" w:type="dxa"/>
            </w:tcMar>
            <w:vAlign w:val="center"/>
          </w:tcPr>
          <w:p w14:paraId="774716D1" w14:textId="77777777" w:rsidR="00EA3D00" w:rsidRPr="00AA1873" w:rsidRDefault="00000000">
            <w:pPr>
              <w:rPr>
                <w:color w:val="000000" w:themeColor="text1"/>
              </w:rPr>
            </w:pPr>
            <w:r w:rsidRPr="00AA1873">
              <w:rPr>
                <w:color w:val="000000" w:themeColor="text1"/>
              </w:rPr>
              <w:t>Medium</w:t>
            </w:r>
          </w:p>
        </w:tc>
        <w:tc>
          <w:tcPr>
            <w:tcW w:w="5100" w:type="dxa"/>
            <w:shd w:val="clear" w:color="auto" w:fill="F2F2F2"/>
            <w:tcMar>
              <w:top w:w="80" w:type="dxa"/>
              <w:left w:w="100" w:type="dxa"/>
              <w:bottom w:w="80" w:type="dxa"/>
              <w:right w:w="100" w:type="dxa"/>
            </w:tcMar>
            <w:vAlign w:val="center"/>
          </w:tcPr>
          <w:p w14:paraId="7D43590B" w14:textId="77777777" w:rsidR="00EA3D00" w:rsidRPr="00AA1873" w:rsidRDefault="00000000">
            <w:pPr>
              <w:rPr>
                <w:color w:val="000000" w:themeColor="text1"/>
              </w:rPr>
            </w:pPr>
            <w:r w:rsidRPr="00AA1873">
              <w:rPr>
                <w:color w:val="000000" w:themeColor="text1"/>
              </w:rPr>
              <w:t>Use audited, standard token-contract patterns (e.g., OpenZeppelin) as a base, write an automated test suite covering rule-violation scenarios, and validate exclusively on a test network before any consideration of a production deployment.</w:t>
            </w:r>
          </w:p>
        </w:tc>
      </w:tr>
      <w:tr w:rsidR="00EA3D00" w:rsidRPr="00AA1873" w14:paraId="530A785D"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236CC98" w14:textId="77777777" w:rsidR="00EA3D00" w:rsidRPr="00AA1873" w:rsidRDefault="00000000">
            <w:pPr>
              <w:rPr>
                <w:color w:val="000000" w:themeColor="text1"/>
              </w:rPr>
            </w:pPr>
            <w:r w:rsidRPr="00AA1873">
              <w:rPr>
                <w:color w:val="000000" w:themeColor="text1"/>
              </w:rPr>
              <w:t>Blockchain confirmation time or gas cost makes the "few seconds" validation target difficult to hit consistently</w:t>
            </w:r>
          </w:p>
        </w:tc>
        <w:tc>
          <w:tcPr>
            <w:tcW w:w="1300" w:type="dxa"/>
            <w:shd w:val="clear" w:color="auto" w:fill="FFFFFF"/>
            <w:tcMar>
              <w:top w:w="80" w:type="dxa"/>
              <w:left w:w="100" w:type="dxa"/>
              <w:bottom w:w="80" w:type="dxa"/>
              <w:right w:w="100" w:type="dxa"/>
            </w:tcMar>
            <w:vAlign w:val="center"/>
          </w:tcPr>
          <w:p w14:paraId="5B539006" w14:textId="77777777" w:rsidR="00EA3D00" w:rsidRPr="00AA1873" w:rsidRDefault="00000000">
            <w:pPr>
              <w:rPr>
                <w:color w:val="000000" w:themeColor="text1"/>
              </w:rPr>
            </w:pPr>
            <w:r w:rsidRPr="00AA1873">
              <w:rPr>
                <w:color w:val="000000" w:themeColor="text1"/>
              </w:rPr>
              <w:t>Medium</w:t>
            </w:r>
          </w:p>
        </w:tc>
        <w:tc>
          <w:tcPr>
            <w:tcW w:w="5100" w:type="dxa"/>
            <w:shd w:val="clear" w:color="auto" w:fill="FFFFFF"/>
            <w:tcMar>
              <w:top w:w="80" w:type="dxa"/>
              <w:left w:w="100" w:type="dxa"/>
              <w:bottom w:w="80" w:type="dxa"/>
              <w:right w:w="100" w:type="dxa"/>
            </w:tcMar>
            <w:vAlign w:val="center"/>
          </w:tcPr>
          <w:p w14:paraId="2FC927D9" w14:textId="77777777" w:rsidR="00EA3D00" w:rsidRPr="00AA1873" w:rsidRDefault="00000000">
            <w:pPr>
              <w:rPr>
                <w:color w:val="000000" w:themeColor="text1"/>
              </w:rPr>
            </w:pPr>
            <w:r w:rsidRPr="00AA1873">
              <w:rPr>
                <w:color w:val="000000" w:themeColor="text1"/>
              </w:rPr>
              <w:t>Deploy on a low-latency, low-cost Ethereum-compatible test network (or a Layer-2 equivalent) and minimize on-chain computation by keeping heavy validation logic off-chain where the design allows.</w:t>
            </w:r>
          </w:p>
        </w:tc>
      </w:tr>
      <w:tr w:rsidR="00EA3D00" w:rsidRPr="00AA1873" w14:paraId="59B091E1"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3B85B08" w14:textId="77777777" w:rsidR="00EA3D00" w:rsidRPr="00AA1873" w:rsidRDefault="00000000">
            <w:pPr>
              <w:rPr>
                <w:color w:val="000000" w:themeColor="text1"/>
              </w:rPr>
            </w:pPr>
            <w:r w:rsidRPr="00AA1873">
              <w:rPr>
                <w:color w:val="000000" w:themeColor="text1"/>
              </w:rPr>
              <w:t>Graph-based fraud detection produces false positives (legitimate transactions flagged) or false negatives (real misuse missed)</w:t>
            </w:r>
          </w:p>
        </w:tc>
        <w:tc>
          <w:tcPr>
            <w:tcW w:w="1300" w:type="dxa"/>
            <w:shd w:val="clear" w:color="auto" w:fill="F2F2F2"/>
            <w:tcMar>
              <w:top w:w="80" w:type="dxa"/>
              <w:left w:w="100" w:type="dxa"/>
              <w:bottom w:w="80" w:type="dxa"/>
              <w:right w:w="100" w:type="dxa"/>
            </w:tcMar>
            <w:vAlign w:val="center"/>
          </w:tcPr>
          <w:p w14:paraId="6289142D" w14:textId="77777777" w:rsidR="00EA3D00" w:rsidRPr="00AA1873" w:rsidRDefault="00000000">
            <w:pPr>
              <w:rPr>
                <w:color w:val="000000" w:themeColor="text1"/>
              </w:rPr>
            </w:pPr>
            <w:r w:rsidRPr="00AA1873">
              <w:rPr>
                <w:color w:val="000000" w:themeColor="text1"/>
              </w:rPr>
              <w:t>Medium</w:t>
            </w:r>
          </w:p>
        </w:tc>
        <w:tc>
          <w:tcPr>
            <w:tcW w:w="5100" w:type="dxa"/>
            <w:shd w:val="clear" w:color="auto" w:fill="F2F2F2"/>
            <w:tcMar>
              <w:top w:w="80" w:type="dxa"/>
              <w:left w:w="100" w:type="dxa"/>
              <w:bottom w:w="80" w:type="dxa"/>
              <w:right w:w="100" w:type="dxa"/>
            </w:tcMar>
            <w:vAlign w:val="center"/>
          </w:tcPr>
          <w:p w14:paraId="3FD7ED1F" w14:textId="77777777" w:rsidR="00EA3D00" w:rsidRPr="00AA1873" w:rsidRDefault="00000000">
            <w:pPr>
              <w:rPr>
                <w:color w:val="000000" w:themeColor="text1"/>
              </w:rPr>
            </w:pPr>
            <w:r w:rsidRPr="00AA1873">
              <w:rPr>
                <w:color w:val="000000" w:themeColor="text1"/>
              </w:rPr>
              <w:t>Treat all flags as advisory: route them to an auditor review queue rather than auto-blocking, and keep flagging thresholds configurable so they can be tuned as real transaction data accumulates.</w:t>
            </w:r>
          </w:p>
        </w:tc>
      </w:tr>
      <w:tr w:rsidR="00EA3D00" w:rsidRPr="00AA1873" w14:paraId="40CD1E4C"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5D959D9" w14:textId="77777777" w:rsidR="00EA3D00" w:rsidRPr="00AA1873" w:rsidRDefault="00000000">
            <w:pPr>
              <w:rPr>
                <w:color w:val="000000" w:themeColor="text1"/>
              </w:rPr>
            </w:pPr>
            <w:r w:rsidRPr="00AA1873">
              <w:rPr>
                <w:color w:val="000000" w:themeColor="text1"/>
              </w:rPr>
              <w:t>An approved vendor colludes with a beneficiary to redeem tokens without providing the corresponding goods or service</w:t>
            </w:r>
          </w:p>
        </w:tc>
        <w:tc>
          <w:tcPr>
            <w:tcW w:w="1300" w:type="dxa"/>
            <w:shd w:val="clear" w:color="auto" w:fill="FFFFFF"/>
            <w:tcMar>
              <w:top w:w="80" w:type="dxa"/>
              <w:left w:w="100" w:type="dxa"/>
              <w:bottom w:w="80" w:type="dxa"/>
              <w:right w:w="100" w:type="dxa"/>
            </w:tcMar>
            <w:vAlign w:val="center"/>
          </w:tcPr>
          <w:p w14:paraId="5E58D65C" w14:textId="77777777" w:rsidR="00EA3D00" w:rsidRPr="00AA1873" w:rsidRDefault="00000000">
            <w:pPr>
              <w:rPr>
                <w:color w:val="000000" w:themeColor="text1"/>
              </w:rPr>
            </w:pPr>
            <w:r w:rsidRPr="00AA1873">
              <w:rPr>
                <w:color w:val="000000" w:themeColor="text1"/>
              </w:rPr>
              <w:t>Medium</w:t>
            </w:r>
          </w:p>
        </w:tc>
        <w:tc>
          <w:tcPr>
            <w:tcW w:w="5100" w:type="dxa"/>
            <w:shd w:val="clear" w:color="auto" w:fill="FFFFFF"/>
            <w:tcMar>
              <w:top w:w="80" w:type="dxa"/>
              <w:left w:w="100" w:type="dxa"/>
              <w:bottom w:w="80" w:type="dxa"/>
              <w:right w:w="100" w:type="dxa"/>
            </w:tcMar>
            <w:vAlign w:val="center"/>
          </w:tcPr>
          <w:p w14:paraId="11248348" w14:textId="77777777" w:rsidR="00EA3D00" w:rsidRPr="00AA1873" w:rsidRDefault="00000000">
            <w:pPr>
              <w:rPr>
                <w:color w:val="000000" w:themeColor="text1"/>
              </w:rPr>
            </w:pPr>
            <w:r w:rsidRPr="00AA1873">
              <w:rPr>
                <w:color w:val="000000" w:themeColor="text1"/>
              </w:rPr>
              <w:t>Category restriction narrows the opportunity for misuse; the immutable audit trail and auditor-facing transaction history make such patterns discoverable after the fact and support targeted spot-checks.</w:t>
            </w:r>
          </w:p>
        </w:tc>
      </w:tr>
      <w:tr w:rsidR="00EA3D00" w:rsidRPr="00AA1873" w14:paraId="775BDB8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8102BD8" w14:textId="77777777" w:rsidR="00EA3D00" w:rsidRPr="00AA1873" w:rsidRDefault="00000000">
            <w:pPr>
              <w:rPr>
                <w:color w:val="000000" w:themeColor="text1"/>
              </w:rPr>
            </w:pPr>
            <w:r w:rsidRPr="00AA1873">
              <w:rPr>
                <w:color w:val="000000" w:themeColor="text1"/>
              </w:rPr>
              <w:t>Regulatory status of blockchain-based public fund disbursement in a production setting is untested</w:t>
            </w:r>
          </w:p>
        </w:tc>
        <w:tc>
          <w:tcPr>
            <w:tcW w:w="1300" w:type="dxa"/>
            <w:shd w:val="clear" w:color="auto" w:fill="F2F2F2"/>
            <w:tcMar>
              <w:top w:w="80" w:type="dxa"/>
              <w:left w:w="100" w:type="dxa"/>
              <w:bottom w:w="80" w:type="dxa"/>
              <w:right w:w="100" w:type="dxa"/>
            </w:tcMar>
            <w:vAlign w:val="center"/>
          </w:tcPr>
          <w:p w14:paraId="3F6EB5F7" w14:textId="77777777" w:rsidR="00EA3D00" w:rsidRPr="00AA1873" w:rsidRDefault="00000000">
            <w:pPr>
              <w:rPr>
                <w:color w:val="000000" w:themeColor="text1"/>
              </w:rPr>
            </w:pPr>
            <w:r w:rsidRPr="00AA1873">
              <w:rPr>
                <w:color w:val="000000" w:themeColor="text1"/>
              </w:rPr>
              <w:t>Medium</w:t>
            </w:r>
          </w:p>
        </w:tc>
        <w:tc>
          <w:tcPr>
            <w:tcW w:w="5100" w:type="dxa"/>
            <w:shd w:val="clear" w:color="auto" w:fill="F2F2F2"/>
            <w:tcMar>
              <w:top w:w="80" w:type="dxa"/>
              <w:left w:w="100" w:type="dxa"/>
              <w:bottom w:w="80" w:type="dxa"/>
              <w:right w:w="100" w:type="dxa"/>
            </w:tcMar>
            <w:vAlign w:val="center"/>
          </w:tcPr>
          <w:p w14:paraId="15479CED" w14:textId="77777777" w:rsidR="00EA3D00" w:rsidRPr="00AA1873" w:rsidRDefault="00000000">
            <w:pPr>
              <w:rPr>
                <w:color w:val="000000" w:themeColor="text1"/>
              </w:rPr>
            </w:pPr>
            <w:r w:rsidRPr="00AA1873">
              <w:rPr>
                <w:color w:val="000000" w:themeColor="text1"/>
              </w:rPr>
              <w:t>Scope the current build explicitly as an academic prototype conceptually aligned with sanctioned pilots such as the RBI's e-Rupee, and make no claim of regulatory approval for real-money deployment.</w:t>
            </w:r>
          </w:p>
        </w:tc>
      </w:tr>
      <w:tr w:rsidR="00EA3D00" w:rsidRPr="00AA1873" w14:paraId="37D5A445"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A02BDEA" w14:textId="77777777" w:rsidR="00EA3D00" w:rsidRPr="00AA1873" w:rsidRDefault="00000000">
            <w:pPr>
              <w:rPr>
                <w:color w:val="000000" w:themeColor="text1"/>
              </w:rPr>
            </w:pPr>
            <w:r w:rsidRPr="00AA1873">
              <w:rPr>
                <w:color w:val="000000" w:themeColor="text1"/>
              </w:rPr>
              <w:t>Concentration of backend, smart-contract, and fraud-detection work on a single team member (per the module ownership plan) creates a schedule bottleneck</w:t>
            </w:r>
          </w:p>
        </w:tc>
        <w:tc>
          <w:tcPr>
            <w:tcW w:w="1300" w:type="dxa"/>
            <w:shd w:val="clear" w:color="auto" w:fill="FFFFFF"/>
            <w:tcMar>
              <w:top w:w="80" w:type="dxa"/>
              <w:left w:w="100" w:type="dxa"/>
              <w:bottom w:w="80" w:type="dxa"/>
              <w:right w:w="100" w:type="dxa"/>
            </w:tcMar>
            <w:vAlign w:val="center"/>
          </w:tcPr>
          <w:p w14:paraId="763C8010" w14:textId="77777777" w:rsidR="00EA3D00" w:rsidRPr="00AA1873" w:rsidRDefault="00000000">
            <w:pPr>
              <w:rPr>
                <w:color w:val="000000" w:themeColor="text1"/>
              </w:rPr>
            </w:pPr>
            <w:r w:rsidRPr="00AA1873">
              <w:rPr>
                <w:color w:val="000000" w:themeColor="text1"/>
              </w:rPr>
              <w:t>Medium</w:t>
            </w:r>
          </w:p>
        </w:tc>
        <w:tc>
          <w:tcPr>
            <w:tcW w:w="5100" w:type="dxa"/>
            <w:shd w:val="clear" w:color="auto" w:fill="FFFFFF"/>
            <w:tcMar>
              <w:top w:w="80" w:type="dxa"/>
              <w:left w:w="100" w:type="dxa"/>
              <w:bottom w:w="80" w:type="dxa"/>
              <w:right w:w="100" w:type="dxa"/>
            </w:tcMar>
            <w:vAlign w:val="center"/>
          </w:tcPr>
          <w:p w14:paraId="0A09DFA6" w14:textId="77777777" w:rsidR="00EA3D00" w:rsidRPr="00AA1873" w:rsidRDefault="00000000">
            <w:pPr>
              <w:rPr>
                <w:color w:val="000000" w:themeColor="text1"/>
              </w:rPr>
            </w:pPr>
            <w:r w:rsidRPr="00AA1873">
              <w:rPr>
                <w:color w:val="000000" w:themeColor="text1"/>
              </w:rPr>
              <w:t>Keep the three frontend dashboards (wallet, admin, auditor/vendor) decoupled from backend completion by developing against a mocked API contract first, so UI work can proceed in parallel while the core chain-integration layer stabilizes.</w:t>
            </w:r>
          </w:p>
        </w:tc>
      </w:tr>
    </w:tbl>
    <w:p w14:paraId="1A0BB10D" w14:textId="77777777" w:rsidR="00EA3D00" w:rsidRPr="00AA1873" w:rsidRDefault="00000000">
      <w:pPr>
        <w:pStyle w:val="Heading2"/>
        <w:pBdr>
          <w:bottom w:val="single" w:sz="6" w:space="4" w:color="2E74B5"/>
        </w:pBdr>
        <w:spacing w:before="320" w:after="140"/>
        <w:rPr>
          <w:color w:val="000000" w:themeColor="text1"/>
        </w:rPr>
      </w:pPr>
      <w:r w:rsidRPr="00AA1873">
        <w:rPr>
          <w:b/>
          <w:bCs/>
          <w:color w:val="000000" w:themeColor="text1"/>
        </w:rPr>
        <w:t>1.11 Summary</w:t>
      </w:r>
    </w:p>
    <w:p w14:paraId="4D940C39" w14:textId="77777777" w:rsidR="00EA3D00" w:rsidRPr="00AA1873" w:rsidRDefault="00000000">
      <w:pPr>
        <w:spacing w:after="160" w:line="300" w:lineRule="auto"/>
        <w:jc w:val="both"/>
        <w:rPr>
          <w:color w:val="000000" w:themeColor="text1"/>
        </w:rPr>
      </w:pPr>
      <w:r w:rsidRPr="00AA1873">
        <w:rPr>
          <w:color w:val="000000" w:themeColor="text1"/>
          <w:sz w:val="22"/>
          <w:szCs w:val="22"/>
        </w:rPr>
        <w:t xml:space="preserve">The system study establishes that the communication problem TraceFund addresses — the inability to enforce or trace how disbursed public funds are ultimately spent — is real, well-documented, and only partially solved by existing tools, each of which covers one part of the picture: blockchain-scale disbursement (WFP Building Blocks), fund-level donor transparency (UNICEF CryptoFund), regulator-issued programmable currency (RBI e-Rupee), biometric beneficiary authentication (Aadhaar-based DBT), or graph-based fraud analytics applied to conventional banking. The proposed design — category-restricted programmable tokens enforced </w:t>
      </w:r>
      <w:r w:rsidRPr="00AA1873">
        <w:rPr>
          <w:color w:val="000000" w:themeColor="text1"/>
          <w:sz w:val="22"/>
          <w:szCs w:val="22"/>
        </w:rPr>
        <w:lastRenderedPageBreak/>
        <w:t>automatically by smart contracts, backed by an immutable audit trail, continuous graph-based fraud screening, and a privacy-preserving public dashboard — is shown to be technically feasible using a mature, well-understood stack, economically feasible through reliance on open-source tooling and test networks, and operationally feasible given its close resemblance to existing disbursement workflows. The principal residual risks — smart-contract correctness, fraud-detection false positive/negative rates, and schedule concentration on core blockchain modules — are addressed at the design level through audited contract patterns, human-reviewed flagging, and a decoupled, parallelizable module plan, rather than left unmitigated.</w:t>
      </w:r>
    </w:p>
    <w:sectPr w:rsidR="00EA3D00" w:rsidRPr="00AA187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88FE" w14:textId="77777777" w:rsidR="00B22EDC" w:rsidRDefault="00B22EDC">
      <w:r>
        <w:separator/>
      </w:r>
    </w:p>
  </w:endnote>
  <w:endnote w:type="continuationSeparator" w:id="0">
    <w:p w14:paraId="4BD7DD64" w14:textId="77777777" w:rsidR="00B22EDC" w:rsidRDefault="00B22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8E82" w14:textId="77777777" w:rsidR="00EA3D0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A1873">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AA187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A06E" w14:textId="77777777" w:rsidR="00B22EDC" w:rsidRDefault="00B22EDC">
      <w:r>
        <w:separator/>
      </w:r>
    </w:p>
  </w:footnote>
  <w:footnote w:type="continuationSeparator" w:id="0">
    <w:p w14:paraId="3B613CFA" w14:textId="77777777" w:rsidR="00B22EDC" w:rsidRDefault="00B22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93CF" w14:textId="77777777" w:rsidR="00EA3D00" w:rsidRDefault="00000000">
    <w:pPr>
      <w:pBdr>
        <w:bottom w:val="single" w:sz="4" w:space="4" w:color="CCCCCC"/>
      </w:pBdr>
      <w:jc w:val="right"/>
    </w:pPr>
    <w:r>
      <w:rPr>
        <w:i/>
        <w:iCs/>
        <w:color w:val="888888"/>
        <w:sz w:val="16"/>
        <w:szCs w:val="16"/>
      </w:rPr>
      <w:t>TraceFund — Chapter 1: System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DF9"/>
    <w:multiLevelType w:val="hybridMultilevel"/>
    <w:tmpl w:val="97BA2DF4"/>
    <w:lvl w:ilvl="0" w:tplc="691E00BE">
      <w:start w:val="1"/>
      <w:numFmt w:val="bullet"/>
      <w:lvlText w:val="•"/>
      <w:lvlJc w:val="left"/>
      <w:pPr>
        <w:ind w:left="460" w:hanging="260"/>
      </w:pPr>
    </w:lvl>
    <w:lvl w:ilvl="1" w:tplc="B45CC60A">
      <w:start w:val="1"/>
      <w:numFmt w:val="bullet"/>
      <w:lvlText w:val="◦"/>
      <w:lvlJc w:val="left"/>
      <w:pPr>
        <w:ind w:left="820" w:hanging="260"/>
      </w:pPr>
    </w:lvl>
    <w:lvl w:ilvl="2" w:tplc="1ED8BBAC">
      <w:numFmt w:val="decimal"/>
      <w:lvlText w:val=""/>
      <w:lvlJc w:val="left"/>
    </w:lvl>
    <w:lvl w:ilvl="3" w:tplc="4E7A2E1E">
      <w:numFmt w:val="decimal"/>
      <w:lvlText w:val=""/>
      <w:lvlJc w:val="left"/>
    </w:lvl>
    <w:lvl w:ilvl="4" w:tplc="BD3052A6">
      <w:numFmt w:val="decimal"/>
      <w:lvlText w:val=""/>
      <w:lvlJc w:val="left"/>
    </w:lvl>
    <w:lvl w:ilvl="5" w:tplc="0910F9E8">
      <w:numFmt w:val="decimal"/>
      <w:lvlText w:val=""/>
      <w:lvlJc w:val="left"/>
    </w:lvl>
    <w:lvl w:ilvl="6" w:tplc="E9D05EDC">
      <w:numFmt w:val="decimal"/>
      <w:lvlText w:val=""/>
      <w:lvlJc w:val="left"/>
    </w:lvl>
    <w:lvl w:ilvl="7" w:tplc="9B766D1E">
      <w:numFmt w:val="decimal"/>
      <w:lvlText w:val=""/>
      <w:lvlJc w:val="left"/>
    </w:lvl>
    <w:lvl w:ilvl="8" w:tplc="8D5EDDF8">
      <w:numFmt w:val="decimal"/>
      <w:lvlText w:val=""/>
      <w:lvlJc w:val="left"/>
    </w:lvl>
  </w:abstractNum>
  <w:abstractNum w:abstractNumId="1" w15:restartNumberingAfterBreak="0">
    <w:nsid w:val="5E69290E"/>
    <w:multiLevelType w:val="hybridMultilevel"/>
    <w:tmpl w:val="6FB6F5FA"/>
    <w:lvl w:ilvl="0" w:tplc="3ED04302">
      <w:start w:val="1"/>
      <w:numFmt w:val="decimal"/>
      <w:lvlText w:val="%1."/>
      <w:lvlJc w:val="left"/>
      <w:pPr>
        <w:ind w:left="460" w:hanging="260"/>
      </w:pPr>
    </w:lvl>
    <w:lvl w:ilvl="1" w:tplc="F68C0BF8">
      <w:numFmt w:val="decimal"/>
      <w:lvlText w:val=""/>
      <w:lvlJc w:val="left"/>
    </w:lvl>
    <w:lvl w:ilvl="2" w:tplc="925A3492">
      <w:numFmt w:val="decimal"/>
      <w:lvlText w:val=""/>
      <w:lvlJc w:val="left"/>
    </w:lvl>
    <w:lvl w:ilvl="3" w:tplc="1614650C">
      <w:numFmt w:val="decimal"/>
      <w:lvlText w:val=""/>
      <w:lvlJc w:val="left"/>
    </w:lvl>
    <w:lvl w:ilvl="4" w:tplc="14624C7A">
      <w:numFmt w:val="decimal"/>
      <w:lvlText w:val=""/>
      <w:lvlJc w:val="left"/>
    </w:lvl>
    <w:lvl w:ilvl="5" w:tplc="5E22C5BA">
      <w:numFmt w:val="decimal"/>
      <w:lvlText w:val=""/>
      <w:lvlJc w:val="left"/>
    </w:lvl>
    <w:lvl w:ilvl="6" w:tplc="F9C22456">
      <w:numFmt w:val="decimal"/>
      <w:lvlText w:val=""/>
      <w:lvlJc w:val="left"/>
    </w:lvl>
    <w:lvl w:ilvl="7" w:tplc="5AB06AAA">
      <w:numFmt w:val="decimal"/>
      <w:lvlText w:val=""/>
      <w:lvlJc w:val="left"/>
    </w:lvl>
    <w:lvl w:ilvl="8" w:tplc="8AA0828A">
      <w:numFmt w:val="decimal"/>
      <w:lvlText w:val=""/>
      <w:lvlJc w:val="left"/>
    </w:lvl>
  </w:abstractNum>
  <w:abstractNum w:abstractNumId="2" w15:restartNumberingAfterBreak="0">
    <w:nsid w:val="789779ED"/>
    <w:multiLevelType w:val="hybridMultilevel"/>
    <w:tmpl w:val="B9F81576"/>
    <w:lvl w:ilvl="0" w:tplc="9E94104C">
      <w:start w:val="1"/>
      <w:numFmt w:val="bullet"/>
      <w:lvlText w:val="●"/>
      <w:lvlJc w:val="left"/>
      <w:pPr>
        <w:ind w:left="720" w:hanging="360"/>
      </w:pPr>
    </w:lvl>
    <w:lvl w:ilvl="1" w:tplc="B7D276B6">
      <w:start w:val="1"/>
      <w:numFmt w:val="bullet"/>
      <w:lvlText w:val="○"/>
      <w:lvlJc w:val="left"/>
      <w:pPr>
        <w:ind w:left="1440" w:hanging="360"/>
      </w:pPr>
    </w:lvl>
    <w:lvl w:ilvl="2" w:tplc="A6B8876C">
      <w:start w:val="1"/>
      <w:numFmt w:val="bullet"/>
      <w:lvlText w:val="■"/>
      <w:lvlJc w:val="left"/>
      <w:pPr>
        <w:ind w:left="2160" w:hanging="360"/>
      </w:pPr>
    </w:lvl>
    <w:lvl w:ilvl="3" w:tplc="E4483BD2">
      <w:start w:val="1"/>
      <w:numFmt w:val="bullet"/>
      <w:lvlText w:val="●"/>
      <w:lvlJc w:val="left"/>
      <w:pPr>
        <w:ind w:left="2880" w:hanging="360"/>
      </w:pPr>
    </w:lvl>
    <w:lvl w:ilvl="4" w:tplc="6354E9A8">
      <w:start w:val="1"/>
      <w:numFmt w:val="bullet"/>
      <w:lvlText w:val="○"/>
      <w:lvlJc w:val="left"/>
      <w:pPr>
        <w:ind w:left="3600" w:hanging="360"/>
      </w:pPr>
    </w:lvl>
    <w:lvl w:ilvl="5" w:tplc="734EE392">
      <w:start w:val="1"/>
      <w:numFmt w:val="bullet"/>
      <w:lvlText w:val="■"/>
      <w:lvlJc w:val="left"/>
      <w:pPr>
        <w:ind w:left="4320" w:hanging="360"/>
      </w:pPr>
    </w:lvl>
    <w:lvl w:ilvl="6" w:tplc="0FEACEF8">
      <w:start w:val="1"/>
      <w:numFmt w:val="bullet"/>
      <w:lvlText w:val="●"/>
      <w:lvlJc w:val="left"/>
      <w:pPr>
        <w:ind w:left="5040" w:hanging="360"/>
      </w:pPr>
    </w:lvl>
    <w:lvl w:ilvl="7" w:tplc="96EC872A">
      <w:start w:val="1"/>
      <w:numFmt w:val="bullet"/>
      <w:lvlText w:val="●"/>
      <w:lvlJc w:val="left"/>
      <w:pPr>
        <w:ind w:left="5760" w:hanging="360"/>
      </w:pPr>
    </w:lvl>
    <w:lvl w:ilvl="8" w:tplc="B69614CE">
      <w:start w:val="1"/>
      <w:numFmt w:val="bullet"/>
      <w:lvlText w:val="●"/>
      <w:lvlJc w:val="left"/>
      <w:pPr>
        <w:ind w:left="6480" w:hanging="360"/>
      </w:pPr>
    </w:lvl>
  </w:abstractNum>
  <w:num w:numId="1" w16cid:durableId="664432810">
    <w:abstractNumId w:val="2"/>
    <w:lvlOverride w:ilvl="0">
      <w:startOverride w:val="1"/>
    </w:lvlOverride>
  </w:num>
  <w:num w:numId="2" w16cid:durableId="36467248">
    <w:abstractNumId w:val="0"/>
    <w:lvlOverride w:ilvl="0">
      <w:startOverride w:val="1"/>
    </w:lvlOverride>
  </w:num>
  <w:num w:numId="3" w16cid:durableId="1233662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D00"/>
    <w:rsid w:val="003A5F23"/>
    <w:rsid w:val="00706298"/>
    <w:rsid w:val="00AA1873"/>
    <w:rsid w:val="00AB0E26"/>
    <w:rsid w:val="00B22EDC"/>
    <w:rsid w:val="00EA3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9F48"/>
  <w15:docId w15:val="{52E3197F-CA10-494F-AA7E-ECFC72010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2786</Words>
  <Characters>15885</Characters>
  <Application>Microsoft Office Word</Application>
  <DocSecurity>0</DocSecurity>
  <Lines>132</Lines>
  <Paragraphs>37</Paragraphs>
  <ScaleCrop>false</ScaleCrop>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Abel K Varughese</cp:lastModifiedBy>
  <cp:revision>4</cp:revision>
  <dcterms:created xsi:type="dcterms:W3CDTF">2026-07-26T16:58:00Z</dcterms:created>
  <dcterms:modified xsi:type="dcterms:W3CDTF">2026-07-26T17:05:00Z</dcterms:modified>
</cp:coreProperties>
</file>