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540F" w14:textId="77777777" w:rsidR="00C54748" w:rsidRDefault="00312070" w:rsidP="000847D5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754443" wp14:editId="5EC8AD02">
                <wp:simplePos x="0" y="0"/>
                <wp:positionH relativeFrom="column">
                  <wp:posOffset>3810</wp:posOffset>
                </wp:positionH>
                <wp:positionV relativeFrom="paragraph">
                  <wp:posOffset>182407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CD61" id="Rectángulo 28" o:spid="_x0000_s1026" style="position:absolute;margin-left:.3pt;margin-top:14.35pt;width:453.75pt;height:3.5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Style w:val="tlid-translation"/>
          <w:rFonts w:ascii="Arial" w:hAnsi="Arial" w:cs="Arial"/>
          <w:b/>
          <w:bCs/>
        </w:rPr>
        <w:t>Alternativas a los servicios Web basados en SOAP</w:t>
      </w:r>
    </w:p>
    <w:p w14:paraId="5D0C8935" w14:textId="77777777" w:rsidR="00312070" w:rsidRDefault="00312070" w:rsidP="000847D5">
      <w:pPr>
        <w:jc w:val="both"/>
        <w:rPr>
          <w:rStyle w:val="tlid-translation"/>
          <w:rFonts w:ascii="Arial" w:hAnsi="Arial" w:cs="Arial"/>
        </w:rPr>
      </w:pPr>
    </w:p>
    <w:p w14:paraId="44F89437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Los servicios web basados en SOAP funcionan bien en ciertas situaciones:</w:t>
      </w:r>
    </w:p>
    <w:p w14:paraId="0F5AD348" w14:textId="77777777" w:rsidR="000847D5" w:rsidRPr="003F4776" w:rsidRDefault="000847D5" w:rsidP="00784801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Proporcionan una plataforma de comunicaciones interoperable entre sistemas informáticos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2A6827B5" w14:textId="77777777" w:rsidR="008B29DE" w:rsidRPr="003F4776" w:rsidRDefault="000847D5" w:rsidP="008B29DE">
      <w:pPr>
        <w:pStyle w:val="Prrafodelista"/>
        <w:numPr>
          <w:ilvl w:val="0"/>
          <w:numId w:val="1"/>
        </w:numPr>
        <w:ind w:left="426" w:hanging="284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Comunicación entre diferentes partes de un motor de procesos de negocios y soluciones de gestión de procesos de negocios (BPM)</w:t>
      </w:r>
      <w:r w:rsidR="00784801" w:rsidRPr="003F4776">
        <w:rPr>
          <w:rStyle w:val="tlid-translation"/>
          <w:rFonts w:ascii="Arial" w:hAnsi="Arial" w:cs="Arial"/>
        </w:rPr>
        <w:t>.</w:t>
      </w:r>
    </w:p>
    <w:p w14:paraId="78C80738" w14:textId="77777777" w:rsidR="000847D5" w:rsidRPr="003F4776" w:rsidRDefault="000847D5" w:rsidP="008B29DE">
      <w:pPr>
        <w:ind w:left="142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Las estructuras de datos basadas en XML tienden a ser más detalladas de lo necesario para clientes simples, </w:t>
      </w:r>
      <w:r w:rsidR="008B29DE" w:rsidRPr="003F4776">
        <w:rPr>
          <w:rStyle w:val="tlid-translation"/>
          <w:rFonts w:ascii="Arial" w:hAnsi="Arial" w:cs="Arial"/>
        </w:rPr>
        <w:t xml:space="preserve">tal </w:t>
      </w:r>
      <w:r w:rsidRPr="003F4776">
        <w:rPr>
          <w:rStyle w:val="tlid-translation"/>
          <w:rFonts w:ascii="Arial" w:hAnsi="Arial" w:cs="Arial"/>
        </w:rPr>
        <w:t>como las aplicaciones JavaScript en un escenario de navegador web a servidor.</w:t>
      </w:r>
    </w:p>
    <w:p w14:paraId="2CC9DF96" w14:textId="77777777" w:rsidR="000847D5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1AA4A91" wp14:editId="6CFB6F9E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134E" id="Rectángulo 30" o:spid="_x0000_s1026" style="position:absolute;margin-left:0;margin-top:14.2pt;width:453.75pt;height:3.5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kWgg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12070">
        <w:rPr>
          <w:rStyle w:val="tlid-translation"/>
          <w:rFonts w:ascii="Arial" w:hAnsi="Arial" w:cs="Arial"/>
          <w:b/>
          <w:bCs/>
          <w:lang w:val="en-US"/>
        </w:rPr>
        <w:t>Web SOA (Web 2.0) versus Enterprise SOA</w:t>
      </w:r>
    </w:p>
    <w:p w14:paraId="57935B3A" w14:textId="77777777" w:rsidR="00312070" w:rsidRPr="00312070" w:rsidRDefault="00312070" w:rsidP="000847D5">
      <w:pPr>
        <w:jc w:val="both"/>
        <w:rPr>
          <w:rStyle w:val="tlid-translation"/>
          <w:rFonts w:ascii="Arial" w:hAnsi="Arial" w:cs="Arial"/>
          <w:b/>
          <w:bCs/>
          <w:lang w:val="en-US"/>
        </w:rPr>
      </w:pPr>
    </w:p>
    <w:p w14:paraId="4B1FA2D3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Web 2.0 no hace referencia a una actualización real de ninguna especificación técnica, pero refleja un cambio en la forma en que se desarrollan y utilizan las páginas web. También refleja un conjunto diferente de herramientas y lenguajes de desarrollo.</w:t>
      </w:r>
    </w:p>
    <w:p w14:paraId="17B661EE" w14:textId="77777777" w:rsidR="008B29DE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Fonts w:ascii="Arial" w:hAnsi="Arial" w:cs="Arial"/>
          <w:noProof/>
        </w:rPr>
        <w:drawing>
          <wp:inline distT="0" distB="0" distL="0" distR="0" wp14:anchorId="6E9FFF90" wp14:editId="0B1C3712">
            <wp:extent cx="5612130" cy="3404235"/>
            <wp:effectExtent l="0" t="0" r="7620" b="571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8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2CE" w14:textId="77777777" w:rsidR="008B29DE" w:rsidRPr="003F4776" w:rsidRDefault="008B29DE" w:rsidP="000847D5">
      <w:pPr>
        <w:jc w:val="both"/>
        <w:rPr>
          <w:rStyle w:val="tlid-translation"/>
          <w:rFonts w:ascii="Arial" w:hAnsi="Arial" w:cs="Arial"/>
        </w:rPr>
      </w:pPr>
    </w:p>
    <w:p w14:paraId="4D8D8D48" w14:textId="77777777" w:rsidR="000847D5" w:rsidRPr="003F4776" w:rsidRDefault="000847D5" w:rsidP="000847D5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 SOA empresarial y la SOA web tienen diferentes estándares</w:t>
      </w:r>
      <w:r w:rsidR="008B29DE" w:rsidRPr="003F4776">
        <w:rPr>
          <w:rStyle w:val="tlid-translation"/>
          <w:rFonts w:ascii="Arial" w:hAnsi="Arial" w:cs="Arial"/>
        </w:rPr>
        <w:t xml:space="preserve"> y</w:t>
      </w:r>
      <w:r w:rsidRPr="003F4776">
        <w:rPr>
          <w:rStyle w:val="tlid-translation"/>
          <w:rFonts w:ascii="Arial" w:hAnsi="Arial" w:cs="Arial"/>
        </w:rPr>
        <w:t xml:space="preserve"> protocolos. A veces, un cliente Web 2.0 necesita acceder a la SOA de la empresa, por lo que es necesario algún código de puente. </w:t>
      </w:r>
    </w:p>
    <w:p w14:paraId="4A71D1D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0B8BA795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07A8B262" w14:textId="77777777" w:rsidR="00F80891" w:rsidRPr="003F4776" w:rsidRDefault="00F80891" w:rsidP="000847D5">
      <w:pPr>
        <w:jc w:val="both"/>
        <w:rPr>
          <w:rStyle w:val="tlid-translation"/>
          <w:rFonts w:ascii="Arial" w:hAnsi="Arial" w:cs="Arial"/>
        </w:rPr>
      </w:pPr>
    </w:p>
    <w:p w14:paraId="6DD0165E" w14:textId="77777777" w:rsidR="000847D5" w:rsidRDefault="00312070" w:rsidP="000847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F60387" wp14:editId="6CF200B9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15B0" id="Rectángulo 31" o:spid="_x0000_s1026" style="position:absolute;margin-left:0;margin-top:13.4pt;width:453.75pt;height:3.5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" fillcolor="#4472c4 [3204]" strokecolor="#1f3763 [1604]" strokeweight="1pt">
                <w10:wrap type="tight"/>
              </v:rect>
            </w:pict>
          </mc:Fallback>
        </mc:AlternateContent>
      </w:r>
      <w:r w:rsidR="000847D5" w:rsidRPr="003F4776">
        <w:rPr>
          <w:rFonts w:ascii="Arial" w:hAnsi="Arial" w:cs="Arial"/>
          <w:b/>
          <w:bCs/>
        </w:rPr>
        <w:t>Web SOA protocols and standards</w:t>
      </w:r>
    </w:p>
    <w:p w14:paraId="62F6F9E6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Protocolos y técnicas de transporte e invocación.</w:t>
      </w:r>
      <w:r w:rsidRPr="003F4776">
        <w:rPr>
          <w:rFonts w:ascii="Arial" w:hAnsi="Arial" w:cs="Arial"/>
        </w:rPr>
        <w:t xml:space="preserve"> </w:t>
      </w:r>
    </w:p>
    <w:p w14:paraId="37DDE02B" w14:textId="77777777" w:rsidR="000847D5" w:rsidRPr="00D02591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Hypertext Transfer Protocol (HTTP, HTTPS)</w:t>
      </w:r>
    </w:p>
    <w:p w14:paraId="55EDB5E0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Representational State Transfer (REST)</w:t>
      </w:r>
    </w:p>
    <w:p w14:paraId="1B672D91" w14:textId="77777777" w:rsidR="000847D5" w:rsidRPr="003F4776" w:rsidRDefault="000847D5" w:rsidP="00F80891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Comet</w:t>
      </w:r>
    </w:p>
    <w:p w14:paraId="604BC953" w14:textId="77777777" w:rsidR="000847D5" w:rsidRPr="003F4776" w:rsidRDefault="000847D5" w:rsidP="000847D5">
      <w:pPr>
        <w:jc w:val="both"/>
        <w:rPr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Estándares y técnicas de formato de </w:t>
      </w:r>
      <w:proofErr w:type="gramStart"/>
      <w:r w:rsidRPr="003F4776">
        <w:rPr>
          <w:rStyle w:val="tlid-translation"/>
          <w:rFonts w:ascii="Arial" w:hAnsi="Arial" w:cs="Arial"/>
        </w:rPr>
        <w:t>datos</w:t>
      </w:r>
      <w:r w:rsidRPr="003F4776">
        <w:rPr>
          <w:rFonts w:ascii="Arial" w:hAnsi="Arial" w:cs="Arial"/>
        </w:rPr>
        <w:t xml:space="preserve"> </w:t>
      </w:r>
      <w:r w:rsidR="00F80891" w:rsidRPr="003F4776">
        <w:rPr>
          <w:rFonts w:ascii="Arial" w:hAnsi="Arial" w:cs="Arial"/>
        </w:rPr>
        <w:t>:</w:t>
      </w:r>
      <w:proofErr w:type="gramEnd"/>
    </w:p>
    <w:p w14:paraId="56775117" w14:textId="77777777" w:rsidR="000847D5" w:rsidRPr="00D02591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lang w:val="en-US"/>
        </w:rPr>
      </w:pPr>
      <w:r w:rsidRPr="00D02591">
        <w:rPr>
          <w:rFonts w:ascii="Arial" w:hAnsi="Arial" w:cs="Arial"/>
          <w:lang w:val="en-US"/>
        </w:rPr>
        <w:t>Extensible Markup Language (XML)–Plain old XML over HTTP (POX/HTTP)</w:t>
      </w:r>
    </w:p>
    <w:p w14:paraId="3A6EB453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JavaScript Object Notation (JSON)</w:t>
      </w:r>
    </w:p>
    <w:p w14:paraId="4408AD3E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JSON-RPC</w:t>
      </w:r>
    </w:p>
    <w:p w14:paraId="1BEAFC3E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Bayeux</w:t>
      </w:r>
    </w:p>
    <w:p w14:paraId="20DB8C66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Really Simple Syndication (RSS)</w:t>
      </w:r>
    </w:p>
    <w:p w14:paraId="21A5EF89" w14:textId="77777777" w:rsidR="000847D5" w:rsidRPr="003F4776" w:rsidRDefault="000847D5" w:rsidP="00F80891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</w:rPr>
      </w:pPr>
      <w:r w:rsidRPr="003F4776">
        <w:rPr>
          <w:rFonts w:ascii="Arial" w:hAnsi="Arial" w:cs="Arial"/>
        </w:rPr>
        <w:t>Atom</w:t>
      </w:r>
    </w:p>
    <w:p w14:paraId="75E3235F" w14:textId="77777777" w:rsidR="00784801" w:rsidRPr="003F4776" w:rsidRDefault="00784801" w:rsidP="000847D5">
      <w:pPr>
        <w:jc w:val="both"/>
        <w:rPr>
          <w:rFonts w:ascii="Arial" w:hAnsi="Arial" w:cs="Arial"/>
        </w:rPr>
      </w:pPr>
    </w:p>
    <w:p w14:paraId="25D0F417" w14:textId="77777777" w:rsidR="00784801" w:rsidRDefault="00312070" w:rsidP="00784801">
      <w:pPr>
        <w:jc w:val="both"/>
        <w:rPr>
          <w:rStyle w:val="tlid-translation"/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129945" wp14:editId="338E9A73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4313" id="Rectángulo 32" o:spid="_x0000_s1026" style="position:absolute;margin-left:0;margin-top:14.15pt;width:453.75pt;height:3.5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" fillcolor="#4472c4 [3204]" strokecolor="#1f3763 [1604]" strokeweight="1pt">
                <w10:wrap type="tight"/>
              </v:rect>
            </w:pict>
          </mc:Fallback>
        </mc:AlternateContent>
      </w:r>
      <w:r w:rsidR="00784801" w:rsidRPr="003F4776">
        <w:rPr>
          <w:rStyle w:val="tlid-translation"/>
          <w:rFonts w:ascii="Arial" w:hAnsi="Arial" w:cs="Arial"/>
          <w:b/>
          <w:bCs/>
        </w:rPr>
        <w:t>Introducción a REST</w:t>
      </w:r>
    </w:p>
    <w:p w14:paraId="5C30E481" w14:textId="77777777" w:rsidR="00312070" w:rsidRPr="003F4776" w:rsidRDefault="00312070" w:rsidP="00784801">
      <w:pPr>
        <w:jc w:val="both"/>
        <w:rPr>
          <w:rFonts w:ascii="Arial" w:hAnsi="Arial" w:cs="Arial"/>
          <w:b/>
          <w:bCs/>
        </w:rPr>
      </w:pPr>
    </w:p>
    <w:p w14:paraId="5ABB1402" w14:textId="77777777" w:rsidR="00784801" w:rsidRPr="003F4776" w:rsidRDefault="00784801" w:rsidP="00784801">
      <w:pPr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La transferencia de estado representacional (REST) es una arquitectura para acceder a los recursos a través de una red: </w:t>
      </w:r>
    </w:p>
    <w:p w14:paraId="55FB873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El estado y las funciones de la aplicación se dividen en recursos.</w:t>
      </w:r>
    </w:p>
    <w:p w14:paraId="2D7E1CF2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recurso es direccionable de manera única con sintaxis universal.</w:t>
      </w:r>
    </w:p>
    <w:p w14:paraId="5A2947F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Todos los recursos son accesibles con una interfaz uniforme y genérica.</w:t>
      </w:r>
    </w:p>
    <w:p w14:paraId="7CBA45E3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Cada solicitud del cliente al servidor debe contener toda la información necesaria para comprender la solicitud.</w:t>
      </w:r>
    </w:p>
    <w:p w14:paraId="11180509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>Las arquitecturas REST no pueden confiar en el contexto almacenado en el servidor.</w:t>
      </w:r>
    </w:p>
    <w:p w14:paraId="6185EF94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  <w:b/>
          <w:bCs/>
        </w:rPr>
      </w:pPr>
      <w:r w:rsidRPr="003F4776">
        <w:rPr>
          <w:rStyle w:val="tlid-translation"/>
          <w:rFonts w:ascii="Arial" w:hAnsi="Arial" w:cs="Arial"/>
        </w:rPr>
        <w:t xml:space="preserve">REST es un patrón de diseño, no un </w:t>
      </w:r>
      <w:r w:rsidRPr="003F4776">
        <w:rPr>
          <w:rStyle w:val="tlid-translation"/>
          <w:rFonts w:ascii="Arial" w:hAnsi="Arial" w:cs="Arial"/>
          <w:b/>
          <w:bCs/>
        </w:rPr>
        <w:t>estándar.</w:t>
      </w:r>
    </w:p>
    <w:p w14:paraId="6A44DB47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hAnsi="Arial" w:cs="Arial"/>
        </w:rPr>
      </w:pPr>
      <w:r w:rsidRPr="003F4776">
        <w:rPr>
          <w:rStyle w:val="tlid-translation"/>
          <w:rFonts w:ascii="Arial" w:hAnsi="Arial" w:cs="Arial"/>
        </w:rPr>
        <w:t xml:space="preserve">En un contexto de Web 2.0, REST describe una forma de diseñar aplicaciones web que: </w:t>
      </w:r>
    </w:p>
    <w:p w14:paraId="6E9D1CD0" w14:textId="77777777" w:rsidR="00F8089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Aborden recursos a través de URI</w:t>
      </w:r>
      <w:r w:rsidRPr="003F4776">
        <w:rPr>
          <w:rFonts w:ascii="Arial" w:hAnsi="Arial" w:cs="Arial"/>
        </w:rPr>
        <w:t xml:space="preserve"> </w:t>
      </w:r>
    </w:p>
    <w:p w14:paraId="1C675897" w14:textId="77777777" w:rsidR="00784801" w:rsidRPr="003F4776" w:rsidRDefault="00784801" w:rsidP="00F80891">
      <w:pPr>
        <w:pStyle w:val="Prrafodelista"/>
        <w:numPr>
          <w:ilvl w:val="0"/>
          <w:numId w:val="4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hAnsi="Arial" w:cs="Arial"/>
        </w:rPr>
        <w:t>Acceda a recursos a través de métodos HTTP</w:t>
      </w:r>
    </w:p>
    <w:p w14:paraId="43BE6A9A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</w:p>
    <w:p w14:paraId="7B0C764D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Operaciones</w:t>
      </w:r>
    </w:p>
    <w:p w14:paraId="28235871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GET</w:t>
      </w:r>
    </w:p>
    <w:p w14:paraId="6F04B340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PUT</w:t>
      </w:r>
    </w:p>
    <w:p w14:paraId="225D940A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DELETE</w:t>
      </w:r>
    </w:p>
    <w:p w14:paraId="7B050BC9" w14:textId="77777777" w:rsidR="003F4776" w:rsidRPr="003F4776" w:rsidRDefault="003F4776" w:rsidP="003F4776">
      <w:pPr>
        <w:pStyle w:val="Prrafodelista"/>
        <w:numPr>
          <w:ilvl w:val="0"/>
          <w:numId w:val="5"/>
        </w:numPr>
        <w:ind w:left="567" w:hanging="283"/>
        <w:jc w:val="both"/>
        <w:rPr>
          <w:rStyle w:val="tlid-translation"/>
          <w:rFonts w:ascii="Arial" w:eastAsia="Calibri" w:hAnsi="Arial" w:cs="Arial"/>
        </w:rPr>
      </w:pPr>
      <w:r w:rsidRPr="003F4776">
        <w:rPr>
          <w:rStyle w:val="tlid-translation"/>
          <w:rFonts w:ascii="Arial" w:eastAsia="Calibri" w:hAnsi="Arial" w:cs="Arial"/>
        </w:rPr>
        <w:t>POST</w:t>
      </w:r>
    </w:p>
    <w:p w14:paraId="0BA21B27" w14:textId="77777777" w:rsidR="003F4776" w:rsidRPr="003F4776" w:rsidRDefault="003F4776" w:rsidP="003F4776">
      <w:pPr>
        <w:jc w:val="both"/>
        <w:rPr>
          <w:rStyle w:val="tlid-translation"/>
          <w:rFonts w:ascii="Arial" w:eastAsia="Calibri" w:hAnsi="Arial" w:cs="Arial"/>
        </w:rPr>
      </w:pPr>
      <w:r w:rsidRPr="003F4776">
        <w:rPr>
          <w:rFonts w:ascii="Arial" w:eastAsia="Calibri" w:hAnsi="Arial" w:cs="Arial"/>
          <w:noProof/>
        </w:rPr>
        <w:lastRenderedPageBreak/>
        <w:drawing>
          <wp:inline distT="0" distB="0" distL="0" distR="0" wp14:anchorId="5479557A" wp14:editId="4DD0FC0A">
            <wp:extent cx="5249008" cy="3467584"/>
            <wp:effectExtent l="0" t="0" r="889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0285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7D4" w14:textId="77777777" w:rsidR="003F4776" w:rsidRDefault="003F4776" w:rsidP="003F4776">
      <w:pPr>
        <w:jc w:val="both"/>
        <w:rPr>
          <w:rStyle w:val="tlid-translation"/>
        </w:rPr>
      </w:pPr>
      <w:r w:rsidRPr="003F4776">
        <w:rPr>
          <w:rStyle w:val="tlid-translation"/>
        </w:rPr>
        <w:t>La primera interacción muestra una versión RESTfull de crear un nuevo empleado utilizando un HTTP POST.</w:t>
      </w:r>
      <w:r w:rsidRPr="003F4776">
        <w:br/>
      </w:r>
      <w:r w:rsidRPr="003F4776">
        <w:rPr>
          <w:rStyle w:val="tlid-translation"/>
        </w:rPr>
        <w:t>La respuesta HTTP incluye el número de identificación del nuevo empleado.</w:t>
      </w:r>
      <w:r w:rsidRPr="003F4776">
        <w:br/>
      </w:r>
      <w:r w:rsidRPr="003F4776">
        <w:rPr>
          <w:rStyle w:val="tlid-translation"/>
        </w:rPr>
        <w:t>La segunda interacción utiliza un GET para recuperar información sobre el empleado 101.</w:t>
      </w:r>
      <w:r w:rsidRPr="003F4776">
        <w:br/>
      </w:r>
      <w:r w:rsidRPr="003F4776">
        <w:rPr>
          <w:rStyle w:val="tlid-translation"/>
        </w:rPr>
        <w:t>La última interacción usa DELETE para eliminar al empleado 101.</w:t>
      </w:r>
    </w:p>
    <w:p w14:paraId="28B426DB" w14:textId="77777777" w:rsidR="003F4776" w:rsidRDefault="003F4776" w:rsidP="003F4776">
      <w:pPr>
        <w:jc w:val="both"/>
        <w:rPr>
          <w:rStyle w:val="tlid-translation"/>
          <w:lang w:val="es-ES"/>
        </w:rPr>
      </w:pPr>
      <w:r w:rsidRPr="003F4776">
        <w:rPr>
          <w:rStyle w:val="tlid-translation"/>
          <w:b/>
          <w:bCs/>
          <w:lang w:val="es-ES"/>
        </w:rPr>
        <w:t>JOSE</w:t>
      </w:r>
      <w:r>
        <w:rPr>
          <w:rStyle w:val="tlid-translation"/>
          <w:lang w:val="es-ES"/>
        </w:rPr>
        <w:t xml:space="preserve"> es un elemento crítico para proporcionar integridad y confidencialidad del mensaje en los escenarios REST y JSON</w:t>
      </w:r>
      <w:r w:rsidR="00AE5FFE">
        <w:rPr>
          <w:rStyle w:val="tlid-translation"/>
          <w:lang w:val="es-ES"/>
        </w:rPr>
        <w:t>.</w:t>
      </w:r>
    </w:p>
    <w:p w14:paraId="2243562F" w14:textId="77777777" w:rsidR="00AE5FFE" w:rsidRDefault="00AE5FFE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>Algunas partes de las especificaciones JOSE respaldan esta necesidad al requerir una codificación "segura para URL"</w:t>
      </w:r>
    </w:p>
    <w:p w14:paraId="0C4E0C83" w14:textId="77777777" w:rsidR="003F4776" w:rsidRDefault="003F4776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 xml:space="preserve">Algunos tipos de cargas útiles deben asegurarse para la confidencialidad y la integridad, SSL / TLS proporciona algo de eso, pero solo durante </w:t>
      </w:r>
      <w:r w:rsidR="00C80E4B">
        <w:rPr>
          <w:rStyle w:val="tlid-translation"/>
          <w:lang w:val="es-ES"/>
        </w:rPr>
        <w:t xml:space="preserve">la transacción </w:t>
      </w:r>
      <w:r w:rsidR="00C80E4B">
        <w:rPr>
          <w:lang w:val="es-ES"/>
        </w:rPr>
        <w:t>g</w:t>
      </w:r>
      <w:r>
        <w:rPr>
          <w:rStyle w:val="tlid-translation"/>
          <w:lang w:val="es-ES"/>
        </w:rPr>
        <w:t>eneralmente no proporciona no repudio</w:t>
      </w:r>
      <w:r w:rsidR="00C80E4B">
        <w:rPr>
          <w:rStyle w:val="tlid-translation"/>
          <w:lang w:val="es-ES"/>
        </w:rPr>
        <w:t>.</w:t>
      </w:r>
    </w:p>
    <w:p w14:paraId="2942C35A" w14:textId="77777777" w:rsidR="00C80E4B" w:rsidRDefault="00C80E4B" w:rsidP="003F4776">
      <w:pPr>
        <w:jc w:val="both"/>
        <w:rPr>
          <w:rStyle w:val="tlid-translation"/>
          <w:lang w:val="es-ES"/>
        </w:rPr>
      </w:pPr>
      <w:r>
        <w:rPr>
          <w:rStyle w:val="tlid-translation"/>
          <w:lang w:val="es-ES"/>
        </w:rPr>
        <w:t>La seguridad de los servicios web (WS-Security) proporciona un buen modelo para proteger las cargas útiles</w:t>
      </w:r>
      <w:r w:rsidR="00772CC0">
        <w:rPr>
          <w:rStyle w:val="tlid-translation"/>
          <w:lang w:val="es-ES"/>
        </w:rPr>
        <w:t>(payloads).</w:t>
      </w:r>
    </w:p>
    <w:p w14:paraId="014D0B4C" w14:textId="77777777" w:rsidR="00C80E4B" w:rsidRDefault="00772CC0" w:rsidP="003F4776">
      <w:pPr>
        <w:jc w:val="both"/>
        <w:rPr>
          <w:rStyle w:val="tlid-translation"/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noProof/>
          <w:lang w:val="es-ES"/>
        </w:rPr>
        <w:drawing>
          <wp:inline distT="0" distB="0" distL="0" distR="0" wp14:anchorId="771F9416" wp14:editId="11811598">
            <wp:extent cx="5229955" cy="1524213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06B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0D8C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lastRenderedPageBreak/>
        <w:t>JWA “JSON Web Algorithms”:</w:t>
      </w:r>
      <w:r w:rsidRPr="00912A0F">
        <w:rPr>
          <w:rStyle w:val="tlid-translation"/>
          <w:rFonts w:ascii="Arial" w:hAnsi="Arial" w:cs="Arial"/>
          <w:lang w:val="es-ES"/>
        </w:rPr>
        <w:t xml:space="preserve"> Registra algoritmos e identificadores criptográficos para ser utilizados con las especificaciones JWS, JWE y JWK. Define varios registros de la IANA para estos identificadores.</w:t>
      </w:r>
    </w:p>
    <w:p w14:paraId="208F6A69" w14:textId="77777777" w:rsidR="00AE5FFE" w:rsidRPr="00912A0F" w:rsidRDefault="00AE5FFE" w:rsidP="003F4776">
      <w:pPr>
        <w:jc w:val="both"/>
        <w:rPr>
          <w:rStyle w:val="tlid-translation"/>
          <w:rFonts w:ascii="Arial" w:hAnsi="Arial" w:cs="Arial"/>
          <w:lang w:val="es-ES"/>
        </w:rPr>
      </w:pPr>
      <w:r w:rsidRPr="00912A0F">
        <w:rPr>
          <w:rStyle w:val="tlid-translation"/>
          <w:rFonts w:ascii="Arial" w:hAnsi="Arial" w:cs="Arial"/>
          <w:b/>
          <w:bCs/>
          <w:lang w:val="es-ES"/>
        </w:rPr>
        <w:t>JWK “JSON Web Key”</w:t>
      </w:r>
      <w:r w:rsidRPr="00912A0F">
        <w:rPr>
          <w:rStyle w:val="tlid-translation"/>
          <w:rFonts w:ascii="Arial" w:hAnsi="Arial" w:cs="Arial"/>
          <w:lang w:val="es-ES"/>
        </w:rPr>
        <w:t>: Es una estructura de datos JSON que representa una clave criptográfica.</w:t>
      </w:r>
    </w:p>
    <w:p w14:paraId="38F2061C" w14:textId="77777777" w:rsidR="00912A0F" w:rsidRDefault="00912A0F" w:rsidP="003F4776">
      <w:pPr>
        <w:jc w:val="both"/>
        <w:rPr>
          <w:rStyle w:val="tlid-translation"/>
          <w:lang w:val="es-ES"/>
        </w:rPr>
      </w:pP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 xml:space="preserve">JWS </w:t>
      </w:r>
      <w:r>
        <w:rPr>
          <w:rStyle w:val="tlid-translation"/>
          <w:rFonts w:ascii="Arial" w:eastAsia="Calibri" w:hAnsi="Arial" w:cs="Arial"/>
          <w:b/>
          <w:bCs/>
          <w:lang w:val="es-ES"/>
        </w:rPr>
        <w:t>“</w:t>
      </w:r>
      <w:r w:rsidRPr="00912A0F">
        <w:rPr>
          <w:rStyle w:val="tlid-translation"/>
          <w:rFonts w:ascii="Arial" w:eastAsia="Calibri" w:hAnsi="Arial" w:cs="Arial"/>
          <w:b/>
          <w:bCs/>
          <w:lang w:val="es-ES"/>
        </w:rPr>
        <w:t>JSON Web Signature</w:t>
      </w:r>
      <w:r w:rsidR="00E94436">
        <w:rPr>
          <w:rStyle w:val="tlid-translation"/>
          <w:rFonts w:ascii="Arial" w:eastAsia="Calibri" w:hAnsi="Arial" w:cs="Arial"/>
          <w:b/>
          <w:bCs/>
          <w:lang w:val="es-ES"/>
        </w:rPr>
        <w:t>”:</w:t>
      </w:r>
      <w:r w:rsidRPr="00912A0F">
        <w:rPr>
          <w:rStyle w:val="tlid-translation"/>
          <w:lang w:val="es-ES"/>
        </w:rPr>
        <w:t xml:space="preserve"> </w:t>
      </w:r>
      <w:r>
        <w:rPr>
          <w:rStyle w:val="tlid-translation"/>
          <w:lang w:val="es-ES"/>
        </w:rPr>
        <w:t xml:space="preserve">Asegura el contenido con firmas digitales o códigos de autenticación de </w:t>
      </w:r>
      <w:r w:rsidR="00E94436">
        <w:rPr>
          <w:rStyle w:val="tlid-translation"/>
          <w:lang w:val="es-ES"/>
        </w:rPr>
        <w:t>mensajes mediante</w:t>
      </w:r>
      <w:r>
        <w:rPr>
          <w:rStyle w:val="tlid-translation"/>
          <w:lang w:val="es-ES"/>
        </w:rPr>
        <w:t xml:space="preserve"> el uso de estructuras de datos JSON</w:t>
      </w:r>
      <w:r w:rsidR="00C50A8C">
        <w:rPr>
          <w:rStyle w:val="tlid-translation"/>
          <w:lang w:val="es-ES"/>
        </w:rPr>
        <w:t>.</w:t>
      </w:r>
    </w:p>
    <w:p w14:paraId="37E1310F" w14:textId="77777777" w:rsidR="00E94436" w:rsidRDefault="00E94436" w:rsidP="003F4776">
      <w:pPr>
        <w:jc w:val="both"/>
        <w:rPr>
          <w:rStyle w:val="tlid-translation"/>
          <w:lang w:val="es-ES"/>
        </w:rPr>
      </w:pPr>
      <w:r w:rsidRPr="00E94436">
        <w:rPr>
          <w:rStyle w:val="tlid-translation"/>
          <w:rFonts w:ascii="Arial" w:eastAsia="Calibri" w:hAnsi="Arial" w:cs="Arial"/>
          <w:b/>
          <w:bCs/>
        </w:rPr>
        <w:t>JWE “JSON Web Encryption</w:t>
      </w:r>
      <w:r w:rsidRPr="00E94436">
        <w:rPr>
          <w:rStyle w:val="tlid-translation"/>
          <w:rFonts w:ascii="Arial" w:eastAsia="Arial" w:hAnsi="Arial" w:cs="Arial"/>
          <w:b/>
          <w:bCs/>
        </w:rPr>
        <w:t xml:space="preserve">”: </w:t>
      </w:r>
      <w:r>
        <w:rPr>
          <w:rStyle w:val="tlid-translation"/>
          <w:lang w:val="es-ES"/>
        </w:rPr>
        <w:t>Representa contenido cifrado mediante el uso de estructuras de datos JSON.</w:t>
      </w:r>
    </w:p>
    <w:p w14:paraId="5523D62D" w14:textId="77777777" w:rsidR="009B2504" w:rsidRDefault="009B250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  <w:r w:rsidRPr="009B2504">
        <w:rPr>
          <w:rStyle w:val="tlid-translation"/>
          <w:rFonts w:ascii="Arial" w:eastAsia="Calibri" w:hAnsi="Arial" w:cs="Arial"/>
          <w:b/>
          <w:bCs/>
        </w:rPr>
        <w:t>JWT “JSON Web Token”</w:t>
      </w:r>
      <w:r w:rsidRPr="009B2504">
        <w:rPr>
          <w:rStyle w:val="tlid-translation"/>
          <w:rFonts w:ascii="Arial" w:eastAsia="Calibri" w:hAnsi="Arial" w:cs="Arial"/>
        </w:rPr>
        <w:t xml:space="preserve">: </w:t>
      </w:r>
      <w:r w:rsidRPr="009B2504">
        <w:rPr>
          <w:rStyle w:val="tlid-translation"/>
          <w:rFonts w:ascii="Arial" w:hAnsi="Arial" w:cs="Arial"/>
          <w:lang w:val="es-ES"/>
        </w:rPr>
        <w:t>Es un objeto JSON que representa reclamos entre dos partes.</w:t>
      </w:r>
      <w:r w:rsidRPr="009B2504">
        <w:rPr>
          <w:rFonts w:ascii="Arial" w:hAnsi="Arial" w:cs="Arial"/>
          <w:lang w:val="es-ES"/>
        </w:rPr>
        <w:br/>
      </w:r>
      <w:r w:rsidRPr="009B2504">
        <w:rPr>
          <w:rStyle w:val="tlid-translation"/>
          <w:rFonts w:ascii="Arial" w:hAnsi="Arial" w:cs="Arial"/>
          <w:lang w:val="es-ES"/>
        </w:rPr>
        <w:t>Es una carga útil de una estructura JWS o como el texto sin formato de una estructura JWE, lo que permite que las reclamaciones se firmen digitalmente o se cifren o se cifren,</w:t>
      </w:r>
      <w:r w:rsidRPr="009B2504">
        <w:rPr>
          <w:rFonts w:ascii="Arial" w:hAnsi="Arial" w:cs="Arial"/>
        </w:rPr>
        <w:t xml:space="preserve"> </w:t>
      </w:r>
      <w:r w:rsidRPr="009B2504">
        <w:rPr>
          <w:rStyle w:val="tlid-translation"/>
          <w:rFonts w:ascii="Arial" w:hAnsi="Arial" w:cs="Arial"/>
          <w:i/>
          <w:iCs/>
          <w:lang w:val="es-ES"/>
        </w:rPr>
        <w:t>No es parte de JOSE, pero usa JOSE para proteger el token</w:t>
      </w:r>
      <w:r>
        <w:rPr>
          <w:rStyle w:val="tlid-translation"/>
          <w:rFonts w:ascii="Arial" w:hAnsi="Arial" w:cs="Arial"/>
          <w:i/>
          <w:iCs/>
          <w:lang w:val="es-ES"/>
        </w:rPr>
        <w:t>.</w:t>
      </w:r>
    </w:p>
    <w:p w14:paraId="5ADC725C" w14:textId="77777777" w:rsidR="003F5144" w:rsidRDefault="003F5144" w:rsidP="003F4776">
      <w:pPr>
        <w:jc w:val="both"/>
        <w:rPr>
          <w:rStyle w:val="tlid-translation"/>
          <w:rFonts w:ascii="Arial" w:hAnsi="Arial" w:cs="Arial"/>
          <w:i/>
          <w:iCs/>
          <w:lang w:val="es-ES"/>
        </w:rPr>
      </w:pPr>
    </w:p>
    <w:p w14:paraId="561C107B" w14:textId="77777777" w:rsidR="003F5144" w:rsidRDefault="00A11108" w:rsidP="003F4776">
      <w:pPr>
        <w:jc w:val="both"/>
        <w:rPr>
          <w:rStyle w:val="tlid-translation"/>
          <w:rFonts w:ascii="Arial" w:eastAsia="Calibri" w:hAnsi="Arial" w:cs="Arial"/>
          <w:i/>
          <w:iCs/>
        </w:rPr>
      </w:pPr>
      <w:r>
        <w:rPr>
          <w:rStyle w:val="tlid-translation"/>
          <w:rFonts w:ascii="Arial" w:eastAsia="Calibri" w:hAnsi="Arial" w:cs="Arial"/>
          <w:i/>
          <w:iCs/>
          <w:noProof/>
        </w:rPr>
        <w:drawing>
          <wp:inline distT="0" distB="0" distL="0" distR="0" wp14:anchorId="2026169A" wp14:editId="703DD621">
            <wp:extent cx="5607050" cy="42443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2F74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t>Durante más de una década, la mayoría de las instituciones financieras más grandes del mundo han confiado en IBM DataPower Gateway para cumplir con sus objetivos de seguridad e integración, lo que les permite adaptarse de forma segura y rápida a las tendencias tecnológicas a medida que ocurren.</w:t>
      </w:r>
    </w:p>
    <w:p w14:paraId="617636C7" w14:textId="77777777" w:rsidR="00A11108" w:rsidRDefault="00A11108" w:rsidP="003F4776">
      <w:pPr>
        <w:jc w:val="both"/>
        <w:rPr>
          <w:rStyle w:val="tlid-translation"/>
          <w:rFonts w:ascii="Arial" w:eastAsia="Calibri" w:hAnsi="Arial" w:cs="Arial"/>
        </w:rPr>
      </w:pPr>
      <w:r w:rsidRPr="00A11108">
        <w:rPr>
          <w:rStyle w:val="tlid-translation"/>
          <w:rFonts w:ascii="Arial" w:eastAsia="Calibri" w:hAnsi="Arial" w:cs="Arial"/>
        </w:rPr>
        <w:lastRenderedPageBreak/>
        <w:t>La enterprise es tanto un consumidor como un proveedor de información, y las API son la lengua franca para el intercambio de información. IBM DataPower Gateway admite los últimos estándares de la industria para ayudarlo a participar en la economía API.</w:t>
      </w:r>
    </w:p>
    <w:p w14:paraId="0F204EA2" w14:textId="58272F18" w:rsidR="00823F26" w:rsidRDefault="00823F26" w:rsidP="003F4776">
      <w:pPr>
        <w:jc w:val="both"/>
        <w:rPr>
          <w:rStyle w:val="tlid-translation"/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0F4C9512" wp14:editId="07FF885E">
            <wp:extent cx="5612130" cy="3519170"/>
            <wp:effectExtent l="0" t="0" r="762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E09E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F55" w14:textId="215B2770" w:rsidR="00567024" w:rsidRDefault="00567024" w:rsidP="003F4776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¿Qué tipo de servicio deberías usar?</w:t>
      </w:r>
    </w:p>
    <w:p w14:paraId="3EC5E26C" w14:textId="77777777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Si está enfocado en WSDL y servicios web, elija el proxy del servicio web</w:t>
      </w:r>
    </w:p>
    <w:p w14:paraId="488C203A" w14:textId="55936B4A" w:rsidR="00567024" w:rsidRPr="00567024" w:rsidRDefault="00567024" w:rsidP="00567024">
      <w:pPr>
        <w:jc w:val="both"/>
        <w:rPr>
          <w:rStyle w:val="tlid-translation"/>
          <w:rFonts w:ascii="Arial" w:eastAsia="Calibri" w:hAnsi="Arial" w:cs="Arial"/>
        </w:rPr>
      </w:pPr>
      <w:r w:rsidRPr="00567024">
        <w:rPr>
          <w:rStyle w:val="tlid-translation"/>
          <w:rFonts w:ascii="Arial" w:eastAsia="Calibri" w:hAnsi="Arial" w:cs="Arial"/>
        </w:rPr>
        <w:t>Presente un único WSDL virtual a los clientes</w:t>
      </w:r>
      <w:r>
        <w:rPr>
          <w:rStyle w:val="tlid-translation"/>
          <w:rFonts w:ascii="Arial" w:eastAsia="Calibri" w:hAnsi="Arial" w:cs="Arial"/>
        </w:rPr>
        <w:t xml:space="preserve">, </w:t>
      </w:r>
      <w:r w:rsidRPr="00567024">
        <w:rPr>
          <w:rStyle w:val="tlid-translation"/>
          <w:rFonts w:ascii="Arial" w:eastAsia="Calibri" w:hAnsi="Arial" w:cs="Arial"/>
        </w:rPr>
        <w:t>est</w:t>
      </w:r>
      <w:r>
        <w:rPr>
          <w:rStyle w:val="tlid-translation"/>
          <w:rFonts w:ascii="Arial" w:eastAsia="Calibri" w:hAnsi="Arial" w:cs="Arial"/>
        </w:rPr>
        <w:t>ará</w:t>
      </w:r>
      <w:r w:rsidRPr="00567024">
        <w:rPr>
          <w:rStyle w:val="tlid-translation"/>
          <w:rFonts w:ascii="Arial" w:eastAsia="Calibri" w:hAnsi="Arial" w:cs="Arial"/>
        </w:rPr>
        <w:t xml:space="preserve"> compuesto por múltiples </w:t>
      </w:r>
      <w:r>
        <w:rPr>
          <w:rStyle w:val="tlid-translation"/>
          <w:rFonts w:ascii="Arial" w:eastAsia="Calibri" w:hAnsi="Arial" w:cs="Arial"/>
        </w:rPr>
        <w:t>operaciones</w:t>
      </w:r>
      <w:r w:rsidRPr="00567024">
        <w:rPr>
          <w:rStyle w:val="tlid-translation"/>
          <w:rFonts w:ascii="Arial" w:eastAsia="Calibri" w:hAnsi="Arial" w:cs="Arial"/>
        </w:rPr>
        <w:t xml:space="preserve"> en el back-end.</w:t>
      </w:r>
    </w:p>
    <w:p w14:paraId="4104AB0F" w14:textId="292282F6" w:rsidR="00567024" w:rsidRDefault="00567024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B80B97" wp14:editId="12F900F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626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6" y="18254"/>
                    <wp:lineTo x="21636" y="0"/>
                    <wp:lineTo x="0" y="0"/>
                  </wp:wrapPolygon>
                </wp:wrapTight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26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02CFF" id="Rectángulo 33" o:spid="_x0000_s1026" style="position:absolute;margin-left:0;margin-top:14.9pt;width:453.75pt;height:3.55pt;flip: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" fillcolor="#4472c4 [3204]" strokecolor="#1f3763 [1604]" strokeweight="1pt">
                <w10:wrap type="tight"/>
              </v:rect>
            </w:pict>
          </mc:Fallback>
        </mc:AlternateContent>
      </w:r>
      <w:r w:rsidRPr="00567024">
        <w:rPr>
          <w:rStyle w:val="tlid-translation"/>
          <w:rFonts w:ascii="Arial" w:eastAsia="Calibri" w:hAnsi="Arial" w:cs="Arial"/>
          <w:b/>
          <w:bCs/>
        </w:rPr>
        <w:t>Escenarios de PRUEBA</w:t>
      </w:r>
    </w:p>
    <w:p w14:paraId="27A6C8D9" w14:textId="748C3E26" w:rsidR="00567024" w:rsidRDefault="00665AF5" w:rsidP="00567024">
      <w:pPr>
        <w:jc w:val="both"/>
        <w:rPr>
          <w:rStyle w:val="tlid-translation"/>
          <w:rFonts w:ascii="Arial" w:eastAsia="Calibri" w:hAnsi="Arial" w:cs="Arial"/>
        </w:rPr>
      </w:pPr>
      <w:r w:rsidRPr="00665AF5">
        <w:rPr>
          <w:rStyle w:val="tlid-translation"/>
          <w:rFonts w:ascii="Arial" w:eastAsia="Calibri" w:hAnsi="Arial" w:cs="Arial"/>
        </w:rPr>
        <w:t>El flujo de negocio que se desea resolver esta especificado en el siguiente diagrama:</w:t>
      </w:r>
    </w:p>
    <w:p w14:paraId="2213EB4B" w14:textId="70A87588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  <w:noProof/>
        </w:rPr>
        <w:drawing>
          <wp:anchor distT="0" distB="0" distL="114300" distR="114300" simplePos="0" relativeHeight="251668480" behindDoc="1" locked="0" layoutInCell="1" allowOverlap="1" wp14:anchorId="1D783619" wp14:editId="15C3F6E7">
            <wp:simplePos x="0" y="0"/>
            <wp:positionH relativeFrom="column">
              <wp:posOffset>-1066800</wp:posOffset>
            </wp:positionH>
            <wp:positionV relativeFrom="paragraph">
              <wp:posOffset>203200</wp:posOffset>
            </wp:positionV>
            <wp:extent cx="7731125" cy="2765145"/>
            <wp:effectExtent l="0" t="0" r="3175" b="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125" cy="2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0D00A" w14:textId="46C01AFF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3CE8B7C8" w14:textId="6337D9B9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7DF7FD77" w14:textId="79469B81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49E354B2" w14:textId="7E6ABF45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587C8415" w14:textId="30FCD746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323F7CEE" w14:textId="77777777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06C5BF5D" w14:textId="77777777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36FCF85E" w14:textId="77777777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6AADCC45" w14:textId="2A640635" w:rsidR="00D02591" w:rsidRDefault="00D0259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D02591">
        <w:rPr>
          <w:rStyle w:val="tlid-translation"/>
          <w:rFonts w:ascii="Arial" w:eastAsia="Calibri" w:hAnsi="Arial" w:cs="Arial"/>
          <w:b/>
          <w:bCs/>
        </w:rPr>
        <w:lastRenderedPageBreak/>
        <w:t>1Parte:</w:t>
      </w:r>
      <w:r>
        <w:rPr>
          <w:rStyle w:val="tlid-translation"/>
          <w:rFonts w:ascii="Arial" w:eastAsia="Calibri" w:hAnsi="Arial" w:cs="Arial"/>
          <w:b/>
          <w:bCs/>
        </w:rPr>
        <w:t xml:space="preserve"> </w:t>
      </w:r>
      <w:r w:rsidR="00EB7461">
        <w:rPr>
          <w:rStyle w:val="tlid-translation"/>
          <w:rFonts w:ascii="Arial" w:eastAsia="Calibri" w:hAnsi="Arial" w:cs="Arial"/>
          <w:b/>
          <w:bCs/>
        </w:rPr>
        <w:t>O</w:t>
      </w:r>
      <w:r>
        <w:rPr>
          <w:rStyle w:val="tlid-translation"/>
          <w:rFonts w:ascii="Arial" w:eastAsia="Calibri" w:hAnsi="Arial" w:cs="Arial"/>
          <w:b/>
          <w:bCs/>
        </w:rPr>
        <w:t>rquestador</w:t>
      </w:r>
    </w:p>
    <w:p w14:paraId="5A4EECB1" w14:textId="57E68D72" w:rsidR="00EB7461" w:rsidRPr="00D02591" w:rsidRDefault="00EB7461" w:rsidP="00567024">
      <w:pPr>
        <w:jc w:val="both"/>
        <w:rPr>
          <w:rStyle w:val="tlid-translation"/>
          <w:rFonts w:ascii="Arial" w:eastAsia="Calibri" w:hAnsi="Arial" w:cs="Arial"/>
          <w:b/>
          <w:bCs/>
        </w:rPr>
      </w:pPr>
      <w:r>
        <w:rPr>
          <w:rStyle w:val="tlid-translation"/>
          <w:rFonts w:ascii="Arial" w:eastAsia="Calibri" w:hAnsi="Arial" w:cs="Arial"/>
          <w:b/>
          <w:bCs/>
        </w:rPr>
        <w:t>Web Service Proxy</w:t>
      </w:r>
    </w:p>
    <w:p w14:paraId="2A373740" w14:textId="4E5C7D5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Los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aspectos relevantes en transporte para consumo son:</w:t>
      </w:r>
    </w:p>
    <w:p w14:paraId="234F5264" w14:textId="2BF7FE95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Exposición para consumo en Datapower Externo.</w:t>
      </w:r>
    </w:p>
    <w:p w14:paraId="0C9C1F29" w14:textId="333593E6" w:rsid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Backend HTTPS TLS 1.2 mutual (two way), cliente y servidor presentan certificados.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Respecto a la mensajería SOAP enviada desde Cliente se tienen los siguientes aspectos:</w:t>
      </w:r>
      <w:r>
        <w:rPr>
          <w:rStyle w:val="tlid-translation"/>
          <w:rFonts w:ascii="Arial" w:eastAsia="Calibri" w:hAnsi="Arial" w:cs="Arial"/>
        </w:rPr>
        <w:t xml:space="preserve"> </w:t>
      </w:r>
    </w:p>
    <w:p w14:paraId="5DD1CCD7" w14:textId="63609E0C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Se remueven headers de WS-Security antes de enviar a clientes.</w:t>
      </w:r>
    </w:p>
    <w:p w14:paraId="6D5A03D9" w14:textId="3E56E997" w:rsidR="00D02591" w:rsidRP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En mensajería SOAP response enviada desde backend.</w:t>
      </w:r>
    </w:p>
    <w:p w14:paraId="746C71B2" w14:textId="2F94CB2E" w:rsid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Firma digital WS-Security con algoritmo de firma rsa-sha512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http://www.w3.org/2001/04/xmldsig-more#rsa-sha512, algoritmo de huella (digest) de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mensaje http://www.w3.org/2001/04/xmlenc#sha512, referencia de token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BinarySecurityToken. La regla de layout a aplicar al encabezado de seguridad (Security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Header Layout) será strict. Se firmará header de timestamp y body de mensaje SOAP.</w:t>
      </w:r>
    </w:p>
    <w:p w14:paraId="0748FD86" w14:textId="5466A752" w:rsidR="00187632" w:rsidRPr="00D02591" w:rsidRDefault="00187632" w:rsidP="00187632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D02591">
        <w:rPr>
          <w:rStyle w:val="tlid-translation"/>
          <w:rFonts w:ascii="Arial" w:eastAsia="Calibri" w:hAnsi="Arial" w:cs="Arial"/>
        </w:rPr>
        <w:t>Validación de credenciales extraídas de header WS-SEC UserNameToken con</w:t>
      </w:r>
      <w:r>
        <w:rPr>
          <w:rStyle w:val="tlid-translation"/>
          <w:rFonts w:ascii="Arial" w:eastAsia="Calibri" w:hAnsi="Arial" w:cs="Arial"/>
        </w:rPr>
        <w:t xml:space="preserve"> </w:t>
      </w:r>
      <w:proofErr w:type="gramStart"/>
      <w:r w:rsidRPr="00D02591">
        <w:rPr>
          <w:rStyle w:val="tlid-translation"/>
          <w:rFonts w:ascii="Arial" w:eastAsia="Calibri" w:hAnsi="Arial" w:cs="Arial"/>
        </w:rPr>
        <w:t>password</w:t>
      </w:r>
      <w:proofErr w:type="gramEnd"/>
      <w:r w:rsidRPr="00D02591">
        <w:rPr>
          <w:rStyle w:val="tlid-translation"/>
          <w:rFonts w:ascii="Arial" w:eastAsia="Calibri" w:hAnsi="Arial" w:cs="Arial"/>
        </w:rPr>
        <w:t xml:space="preserve"> de tipo PasswordText con LDAP Tivoli TDS actual.</w:t>
      </w:r>
    </w:p>
    <w:p w14:paraId="450A9CBC" w14:textId="53390D97" w:rsidR="00D02591" w:rsidRDefault="00415D01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15D01">
        <w:rPr>
          <w:rStyle w:val="tlid-translation"/>
          <w:rFonts w:ascii="Arial" w:eastAsia="Calibri" w:hAnsi="Arial" w:cs="Arial"/>
          <w:b/>
          <w:bCs/>
        </w:rPr>
        <w:t>2Parte:</w:t>
      </w:r>
    </w:p>
    <w:p w14:paraId="4ECB4DC5" w14:textId="6908D415" w:rsidR="00415D01" w:rsidRPr="00415D01" w:rsidRDefault="00415D01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15D01">
        <w:rPr>
          <w:rStyle w:val="tlid-translation"/>
          <w:rFonts w:ascii="Arial" w:eastAsia="Calibri" w:hAnsi="Arial" w:cs="Arial"/>
          <w:b/>
          <w:bCs/>
        </w:rPr>
        <w:t xml:space="preserve">Request </w:t>
      </w:r>
      <w:r w:rsidRPr="00415D01">
        <w:rPr>
          <w:rStyle w:val="tlid-translation"/>
          <w:rFonts w:ascii="Arial" w:eastAsia="Calibri" w:hAnsi="Arial" w:cs="Arial"/>
        </w:rPr>
        <w:t>REST</w:t>
      </w:r>
      <w:bookmarkStart w:id="0" w:name="_GoBack"/>
      <w:bookmarkEnd w:id="0"/>
    </w:p>
    <w:p w14:paraId="4BB5884E" w14:textId="6C99615D" w:rsidR="00415D01" w:rsidRPr="00415D01" w:rsidRDefault="00415D01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15D01">
        <w:rPr>
          <w:rStyle w:val="tlid-translation"/>
          <w:rFonts w:ascii="Arial" w:eastAsia="Calibri" w:hAnsi="Arial" w:cs="Arial"/>
          <w:b/>
          <w:bCs/>
        </w:rPr>
        <w:t xml:space="preserve">Response </w:t>
      </w:r>
      <w:r w:rsidRPr="00415D01">
        <w:rPr>
          <w:rStyle w:val="tlid-translation"/>
          <w:rFonts w:ascii="Arial" w:eastAsia="Calibri" w:hAnsi="Arial" w:cs="Arial"/>
        </w:rPr>
        <w:t>SOAP</w:t>
      </w:r>
    </w:p>
    <w:p w14:paraId="2FD05FB9" w14:textId="1632AE29" w:rsidR="00D02591" w:rsidRPr="00415D01" w:rsidRDefault="00D02591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15D01">
        <w:rPr>
          <w:rStyle w:val="tlid-translation"/>
          <w:rFonts w:ascii="Arial" w:eastAsia="Calibri" w:hAnsi="Arial" w:cs="Arial"/>
          <w:b/>
          <w:bCs/>
        </w:rPr>
        <w:t>Pendiente</w:t>
      </w:r>
    </w:p>
    <w:p w14:paraId="31502261" w14:textId="47DC8145" w:rsidR="00187632" w:rsidRPr="00415D01" w:rsidRDefault="00187632" w:rsidP="00D02591">
      <w:pPr>
        <w:jc w:val="both"/>
        <w:rPr>
          <w:rStyle w:val="tlid-translation"/>
          <w:rFonts w:ascii="Arial" w:eastAsia="Calibri" w:hAnsi="Arial" w:cs="Arial"/>
          <w:b/>
          <w:bCs/>
        </w:rPr>
      </w:pPr>
      <w:r w:rsidRPr="00415D01">
        <w:rPr>
          <w:rStyle w:val="tlid-translation"/>
          <w:rFonts w:ascii="Arial" w:eastAsia="Calibri" w:hAnsi="Arial" w:cs="Arial"/>
          <w:b/>
          <w:bCs/>
        </w:rPr>
        <w:t xml:space="preserve">--- REST JOSE </w:t>
      </w:r>
    </w:p>
    <w:p w14:paraId="71580EE0" w14:textId="1A2BD905" w:rsidR="00187632" w:rsidRPr="00187632" w:rsidRDefault="00187632" w:rsidP="00D02591">
      <w:pPr>
        <w:jc w:val="both"/>
        <w:rPr>
          <w:rStyle w:val="tlid-translation"/>
          <w:rFonts w:ascii="Arial" w:eastAsia="Calibri" w:hAnsi="Arial" w:cs="Arial"/>
          <w:b/>
          <w:bCs/>
          <w:lang w:val="en-US"/>
        </w:rPr>
      </w:pPr>
      <w:r w:rsidRPr="00187632">
        <w:rPr>
          <w:rStyle w:val="tlid-translation"/>
          <w:rFonts w:ascii="Arial" w:eastAsia="Calibri" w:hAnsi="Arial" w:cs="Arial"/>
          <w:b/>
          <w:bCs/>
          <w:lang w:val="en-US"/>
        </w:rPr>
        <w:t>Creating and verifying a JWS</w:t>
      </w:r>
    </w:p>
    <w:p w14:paraId="5A66ECFF" w14:textId="2977A1B1" w:rsid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Cifrado de mensaje WS-Security utilizando el certificado público. Se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utilizará el algoritmo AES256-CBC para el cifrado, referencia de token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X509SubjectKeyIdentifier, algoritmo para transportar la llave RSA-PKCS1, tipo de llave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de cifrado: llave efímera transportada por algoritmo asimétrico. Se cifrará Body con el certificado público.</w:t>
      </w:r>
    </w:p>
    <w:p w14:paraId="6D82D38C" w14:textId="27674133" w:rsidR="00D02591" w:rsidRDefault="00D02591" w:rsidP="00D02591">
      <w:pPr>
        <w:jc w:val="both"/>
        <w:rPr>
          <w:rStyle w:val="tlid-translation"/>
          <w:rFonts w:ascii="Arial" w:eastAsia="Calibri" w:hAnsi="Arial" w:cs="Arial"/>
        </w:rPr>
      </w:pPr>
    </w:p>
    <w:p w14:paraId="3F3CF767" w14:textId="20EBF4E6" w:rsidR="00DE3E56" w:rsidRDefault="00DE3E56" w:rsidP="00D02591">
      <w:pPr>
        <w:jc w:val="both"/>
        <w:rPr>
          <w:rStyle w:val="tlid-translation"/>
          <w:rFonts w:ascii="Arial" w:eastAsia="Calibri" w:hAnsi="Arial" w:cs="Arial"/>
        </w:rPr>
      </w:pPr>
    </w:p>
    <w:p w14:paraId="171EE42A" w14:textId="1723D31C" w:rsidR="00DE3E56" w:rsidRDefault="00DE3E56" w:rsidP="00D02591">
      <w:pPr>
        <w:jc w:val="both"/>
        <w:rPr>
          <w:rStyle w:val="tlid-translation"/>
          <w:rFonts w:ascii="Arial" w:eastAsia="Calibri" w:hAnsi="Arial" w:cs="Arial"/>
        </w:rPr>
      </w:pPr>
      <w:r w:rsidRPr="00D02591">
        <w:rPr>
          <w:rStyle w:val="tlid-translation"/>
          <w:rFonts w:ascii="Arial" w:eastAsia="Calibri" w:hAnsi="Arial" w:cs="Arial"/>
        </w:rPr>
        <w:t>Descifrado de mensaje con WS-Security, utilizando la llave privada.</w:t>
      </w:r>
      <w:r>
        <w:rPr>
          <w:rStyle w:val="tlid-translation"/>
          <w:rFonts w:ascii="Arial" w:eastAsia="Calibri" w:hAnsi="Arial" w:cs="Arial"/>
        </w:rPr>
        <w:t xml:space="preserve"> </w:t>
      </w:r>
      <w:r w:rsidRPr="00D02591">
        <w:rPr>
          <w:rStyle w:val="tlid-translation"/>
          <w:rFonts w:ascii="Arial" w:eastAsia="Calibri" w:hAnsi="Arial" w:cs="Arial"/>
        </w:rPr>
        <w:t>Validación de firma digital utilizando el certificado público</w:t>
      </w:r>
    </w:p>
    <w:p w14:paraId="7D7ED048" w14:textId="3C6744D2" w:rsidR="00D02591" w:rsidRDefault="00CF6611" w:rsidP="00D02591">
      <w:pPr>
        <w:jc w:val="both"/>
        <w:rPr>
          <w:rStyle w:val="tlid-translation"/>
          <w:rFonts w:ascii="Arial" w:eastAsia="Calibri" w:hAnsi="Arial" w:cs="Arial"/>
        </w:rPr>
      </w:pPr>
      <w:r>
        <w:rPr>
          <w:rStyle w:val="tlid-translation"/>
          <w:rFonts w:ascii="Arial" w:eastAsia="Calibri" w:hAnsi="Arial" w:cs="Arial"/>
        </w:rPr>
        <w:t>DIAGRAMA FUNCIONAL</w:t>
      </w:r>
    </w:p>
    <w:p w14:paraId="6720A658" w14:textId="77777777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1EBC3829" w14:textId="0350DE31" w:rsidR="00665AF5" w:rsidRDefault="00665AF5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5068C1C3" w14:textId="4A2AAC46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621FE58D" w14:textId="7CB6302E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74634C5E" w14:textId="2075B580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5EC0B302" w14:textId="21A046D2" w:rsidR="00D02591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p w14:paraId="1CC999C4" w14:textId="77777777" w:rsidR="00D02591" w:rsidRPr="00665AF5" w:rsidRDefault="00D02591" w:rsidP="00567024">
      <w:pPr>
        <w:jc w:val="both"/>
        <w:rPr>
          <w:rStyle w:val="tlid-translation"/>
          <w:rFonts w:ascii="Arial" w:eastAsia="Calibri" w:hAnsi="Arial" w:cs="Arial"/>
        </w:rPr>
      </w:pPr>
    </w:p>
    <w:sectPr w:rsidR="00D02591" w:rsidRPr="00665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65D1"/>
    <w:multiLevelType w:val="hybridMultilevel"/>
    <w:tmpl w:val="8DB4C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43B6"/>
    <w:multiLevelType w:val="hybridMultilevel"/>
    <w:tmpl w:val="B6124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0F43"/>
    <w:multiLevelType w:val="hybridMultilevel"/>
    <w:tmpl w:val="4D2AB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13A0"/>
    <w:multiLevelType w:val="hybridMultilevel"/>
    <w:tmpl w:val="50A40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8723E"/>
    <w:multiLevelType w:val="hybridMultilevel"/>
    <w:tmpl w:val="2D186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D5"/>
    <w:rsid w:val="000847D5"/>
    <w:rsid w:val="00187632"/>
    <w:rsid w:val="00312070"/>
    <w:rsid w:val="003F4776"/>
    <w:rsid w:val="003F5144"/>
    <w:rsid w:val="00415D01"/>
    <w:rsid w:val="00567024"/>
    <w:rsid w:val="00665AF5"/>
    <w:rsid w:val="006972E2"/>
    <w:rsid w:val="00772CC0"/>
    <w:rsid w:val="00784801"/>
    <w:rsid w:val="00816B67"/>
    <w:rsid w:val="00823F26"/>
    <w:rsid w:val="008B29DE"/>
    <w:rsid w:val="00912A0F"/>
    <w:rsid w:val="009B2504"/>
    <w:rsid w:val="00A11108"/>
    <w:rsid w:val="00A52A0F"/>
    <w:rsid w:val="00AE5FFE"/>
    <w:rsid w:val="00C50A8C"/>
    <w:rsid w:val="00C54748"/>
    <w:rsid w:val="00C80E4B"/>
    <w:rsid w:val="00CF6611"/>
    <w:rsid w:val="00D02591"/>
    <w:rsid w:val="00DE3E56"/>
    <w:rsid w:val="00E94436"/>
    <w:rsid w:val="00EB7461"/>
    <w:rsid w:val="00F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5B8"/>
  <w15:chartTrackingRefBased/>
  <w15:docId w15:val="{EFDC36F2-CBF5-4594-9E90-29A5076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0847D5"/>
  </w:style>
  <w:style w:type="paragraph" w:styleId="Sinespaciado">
    <w:name w:val="No Spacing"/>
    <w:uiPriority w:val="1"/>
    <w:qFormat/>
    <w:rsid w:val="007848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848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976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Parra Alvira</dc:creator>
  <cp:keywords/>
  <dc:description/>
  <cp:lastModifiedBy>Johan Sebastian Parra Alvira</cp:lastModifiedBy>
  <cp:revision>18</cp:revision>
  <cp:lastPrinted>2020-03-18T00:25:00Z</cp:lastPrinted>
  <dcterms:created xsi:type="dcterms:W3CDTF">2020-03-17T21:45:00Z</dcterms:created>
  <dcterms:modified xsi:type="dcterms:W3CDTF">2020-03-19T21:21:00Z</dcterms:modified>
</cp:coreProperties>
</file>