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0DA78C" w14:textId="77777777" w:rsidR="008133EA" w:rsidRDefault="008133EA">
      <w:pPr>
        <w:spacing w:before="160"/>
      </w:pPr>
    </w:p>
    <w:p w14:paraId="520DA78D" w14:textId="77777777" w:rsidR="008133EA" w:rsidRDefault="008016E7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HU24: Procesar Pago con Tarjeta (Crédito / Débito)</w:t>
      </w:r>
    </w:p>
    <w:p w14:paraId="520DA78E" w14:textId="77777777" w:rsidR="008133EA" w:rsidRDefault="008133EA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8133EA" w14:paraId="520DA7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20DA78F" w14:textId="77777777" w:rsidR="008133EA" w:rsidRDefault="008016E7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520DA790" w14:textId="77777777" w:rsidR="008133EA" w:rsidRDefault="008016E7">
            <w:pPr>
              <w:spacing w:before="60" w:after="60"/>
              <w:ind w:left="80"/>
            </w:pPr>
            <w:r>
              <w:rPr>
                <w:b/>
                <w:bCs/>
              </w:rPr>
              <w:t>HU24</w:t>
            </w:r>
          </w:p>
        </w:tc>
      </w:tr>
      <w:tr w:rsidR="008133EA" w14:paraId="520DA7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20DA792" w14:textId="77777777" w:rsidR="008133EA" w:rsidRDefault="008016E7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520DA793" w14:textId="77777777" w:rsidR="008133EA" w:rsidRDefault="008016E7">
            <w:pPr>
              <w:spacing w:before="60" w:after="60"/>
              <w:ind w:left="80"/>
            </w:pPr>
            <w:r>
              <w:t>Procesar Pago con Tarjeta (Crédito / Débito)</w:t>
            </w:r>
          </w:p>
        </w:tc>
      </w:tr>
      <w:tr w:rsidR="008133EA" w14:paraId="520DA7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20DA795" w14:textId="77777777" w:rsidR="008133EA" w:rsidRDefault="008016E7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520DA796" w14:textId="77777777" w:rsidR="008133EA" w:rsidRDefault="008016E7">
            <w:pPr>
              <w:spacing w:before="60" w:after="60"/>
              <w:ind w:left="80"/>
            </w:pPr>
            <w:r>
              <w:rPr>
                <w:b/>
                <w:bCs/>
              </w:rPr>
              <w:t>Módulo 9 – Pagos y Facturación</w:t>
            </w:r>
          </w:p>
        </w:tc>
      </w:tr>
      <w:tr w:rsidR="008133EA" w14:paraId="520DA7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20DA798" w14:textId="77777777" w:rsidR="008133EA" w:rsidRDefault="008016E7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520DA799" w14:textId="77777777" w:rsidR="008133EA" w:rsidRDefault="008016E7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8133EA" w14:paraId="520DA7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20DA79B" w14:textId="77777777" w:rsidR="008133EA" w:rsidRDefault="008016E7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520DA79C" w14:textId="77777777" w:rsidR="008133EA" w:rsidRDefault="008016E7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520DA79E" w14:textId="77777777" w:rsidR="008133EA" w:rsidRDefault="008133EA">
      <w:pPr>
        <w:spacing w:before="200"/>
      </w:pPr>
    </w:p>
    <w:p w14:paraId="520DA79F" w14:textId="77777777" w:rsidR="008133EA" w:rsidRDefault="008016E7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520DA7A0" w14:textId="77777777" w:rsidR="008133EA" w:rsidRDefault="008016E7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Cajero</w:t>
      </w:r>
      <w:r>
        <w:rPr>
          <w:i/>
          <w:iCs/>
        </w:rPr>
        <w:t>,</w:t>
      </w:r>
    </w:p>
    <w:p w14:paraId="520DA7A1" w14:textId="77777777" w:rsidR="008133EA" w:rsidRDefault="008016E7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registrar el pago con tarjeta de crédito o débito de un pedido</w:t>
      </w:r>
      <w:r>
        <w:rPr>
          <w:i/>
          <w:iCs/>
        </w:rPr>
        <w:t>,</w:t>
      </w:r>
    </w:p>
    <w:p w14:paraId="520DA7A2" w14:textId="77777777" w:rsidR="008133EA" w:rsidRDefault="008016E7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cerrar la transacción sin necesidad de integración con pasarela de pago externa</w:t>
      </w:r>
      <w:r>
        <w:rPr>
          <w:i/>
          <w:iCs/>
        </w:rPr>
        <w:t>.</w:t>
      </w:r>
    </w:p>
    <w:p w14:paraId="520DA7A3" w14:textId="77777777" w:rsidR="008133EA" w:rsidRDefault="008016E7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520DA7A4" w14:textId="77777777" w:rsidR="008133EA" w:rsidRDefault="008016E7">
      <w:pPr>
        <w:spacing w:before="60" w:after="60"/>
      </w:pPr>
      <w:r>
        <w:rPr>
          <w:b/>
          <w:bCs/>
        </w:rPr>
        <w:t>Objetivo:</w:t>
      </w:r>
    </w:p>
    <w:p w14:paraId="520DA7A5" w14:textId="77777777" w:rsidR="008133EA" w:rsidRDefault="008016E7">
      <w:pPr>
        <w:spacing w:before="60" w:after="60"/>
      </w:pPr>
      <w:r>
        <w:t>Registrar el pago con tarjeta de forma manual dentro del sistema, dejando constancia del método utilizado sin requerir integración con un procesador externo.</w:t>
      </w:r>
    </w:p>
    <w:p w14:paraId="520DA7A6" w14:textId="77777777" w:rsidR="008133EA" w:rsidRDefault="008133EA">
      <w:pPr>
        <w:spacing w:before="80"/>
      </w:pPr>
    </w:p>
    <w:p w14:paraId="520DA7A7" w14:textId="77777777" w:rsidR="008133EA" w:rsidRDefault="008016E7">
      <w:pPr>
        <w:spacing w:before="60" w:after="60"/>
      </w:pPr>
      <w:r>
        <w:rPr>
          <w:b/>
          <w:bCs/>
        </w:rPr>
        <w:t>Flujo principal:</w:t>
      </w:r>
    </w:p>
    <w:p w14:paraId="520DA7A8" w14:textId="77777777" w:rsidR="008133EA" w:rsidRDefault="008016E7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Cajero selecciona el pedido a cobrar.</w:t>
      </w:r>
    </w:p>
    <w:p w14:paraId="520DA7A9" w14:textId="77777777" w:rsidR="008133EA" w:rsidRDefault="008016E7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Selecciona el método de pago "Tarjeta de Crédito" o "Tarjeta de Débito".</w:t>
      </w:r>
    </w:p>
    <w:p w14:paraId="520DA7AA" w14:textId="77777777" w:rsidR="008133EA" w:rsidRDefault="008016E7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Procesa el cobro físicamente en el datáfono externo.</w:t>
      </w:r>
    </w:p>
    <w:p w14:paraId="520DA7AB" w14:textId="77777777" w:rsidR="008133EA" w:rsidRDefault="008016E7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Confirma en el sistema que el pago fue realizado exitosamente.</w:t>
      </w:r>
    </w:p>
    <w:p w14:paraId="520DA7AC" w14:textId="77777777" w:rsidR="008133EA" w:rsidRDefault="008016E7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sistema registra el pago con el método seleccionado, genera la factura y libera la mesa.</w:t>
      </w:r>
    </w:p>
    <w:p w14:paraId="520DA7AD" w14:textId="77777777" w:rsidR="008133EA" w:rsidRDefault="008133EA">
      <w:pPr>
        <w:spacing w:before="80"/>
      </w:pPr>
    </w:p>
    <w:p w14:paraId="520DA7AE" w14:textId="77777777" w:rsidR="008133EA" w:rsidRDefault="008016E7">
      <w:pPr>
        <w:spacing w:before="60" w:after="60"/>
      </w:pPr>
      <w:r>
        <w:rPr>
          <w:b/>
          <w:bCs/>
        </w:rPr>
        <w:t>Criterios de aceptación:</w:t>
      </w:r>
    </w:p>
    <w:p w14:paraId="520DA7AF" w14:textId="77777777" w:rsidR="008133EA" w:rsidRDefault="008016E7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sistema no se integra con pasarela de pago; el datáfono es externo.</w:t>
      </w:r>
    </w:p>
    <w:p w14:paraId="520DA7B0" w14:textId="77777777" w:rsidR="008133EA" w:rsidRDefault="008016E7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Cajero debe confirmar manualmente que el pago en datáfono fue aprobado.</w:t>
      </w:r>
    </w:p>
    <w:p w14:paraId="520DA7B1" w14:textId="77777777" w:rsidR="008133EA" w:rsidRDefault="008016E7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Una vez confirmado en el sistema, el pedido pasa a PAGADO y la mesa a LIBRE.</w:t>
      </w:r>
    </w:p>
    <w:p w14:paraId="520DA7B2" w14:textId="77777777" w:rsidR="008133EA" w:rsidRDefault="008016E7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No se puede seleccionar tarjeta y efectivo simultáneamente en un mismo pedido.</w:t>
      </w:r>
    </w:p>
    <w:p w14:paraId="520DA7B3" w14:textId="77777777" w:rsidR="008133EA" w:rsidRDefault="008016E7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método de pago queda registrado en la factura y en el log de auditoría.</w:t>
      </w:r>
    </w:p>
    <w:p w14:paraId="520DA7B4" w14:textId="77777777" w:rsidR="008133EA" w:rsidRDefault="008133EA">
      <w:pPr>
        <w:spacing w:before="80"/>
      </w:pPr>
    </w:p>
    <w:p w14:paraId="520DA7B5" w14:textId="77777777" w:rsidR="008133EA" w:rsidRDefault="008016E7">
      <w:pPr>
        <w:spacing w:before="60" w:after="60"/>
      </w:pPr>
      <w:r>
        <w:rPr>
          <w:b/>
          <w:bCs/>
        </w:rPr>
        <w:t>Postcondición:</w:t>
      </w:r>
    </w:p>
    <w:p w14:paraId="520DA7B6" w14:textId="77777777" w:rsidR="008133EA" w:rsidRDefault="008016E7">
      <w:pPr>
        <w:spacing w:before="60" w:after="60"/>
      </w:pPr>
      <w:r>
        <w:t>El pedido queda en estado PAGADO con método tarjeta registrado, la mesa está LIBRE y la factura fue generada.</w:t>
      </w:r>
    </w:p>
    <w:p w14:paraId="520DA7B7" w14:textId="77777777" w:rsidR="008133EA" w:rsidRDefault="008133EA">
      <w:pPr>
        <w:spacing w:before="200"/>
      </w:pPr>
    </w:p>
    <w:p w14:paraId="520DA7B8" w14:textId="77777777" w:rsidR="008133EA" w:rsidRDefault="008016E7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520DA7B9" w14:textId="77777777" w:rsidR="008133EA" w:rsidRDefault="008133EA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8133EA" w14:paraId="520DA7BB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520DA7BA" w14:textId="77777777" w:rsidR="008133EA" w:rsidRDefault="008016E7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lastRenderedPageBreak/>
              <w:t>[Mockup / Diagrama de flujo]</w:t>
            </w:r>
          </w:p>
        </w:tc>
      </w:tr>
    </w:tbl>
    <w:p w14:paraId="520DA7BC" w14:textId="77777777" w:rsidR="008133EA" w:rsidRDefault="008133EA">
      <w:pPr>
        <w:spacing w:before="200"/>
      </w:pPr>
    </w:p>
    <w:p w14:paraId="520DA7BD" w14:textId="77777777" w:rsidR="008133EA" w:rsidRDefault="008016E7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520DA7BE" w14:textId="77777777" w:rsidR="008133EA" w:rsidRDefault="008016E7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520DA7BF" w14:textId="77777777" w:rsidR="008133EA" w:rsidRDefault="008016E7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520DA7C0" w14:textId="77777777" w:rsidR="008133EA" w:rsidRDefault="008016E7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9 – Pagos y Facturación</w:t>
      </w:r>
    </w:p>
    <w:p w14:paraId="520DA7C1" w14:textId="77777777" w:rsidR="008133EA" w:rsidRDefault="008133EA">
      <w:pPr>
        <w:spacing w:before="200"/>
      </w:pPr>
    </w:p>
    <w:p w14:paraId="520DA7C2" w14:textId="77777777" w:rsidR="008133EA" w:rsidRDefault="008016E7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8133EA" w14:paraId="520DA7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520DA7C3" w14:textId="77777777" w:rsidR="008133EA" w:rsidRDefault="008016E7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520DA7C4" w14:textId="77777777" w:rsidR="008133EA" w:rsidRDefault="008016E7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520DA7C5" w14:textId="77777777" w:rsidR="008133EA" w:rsidRDefault="008016E7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133EA" w14:paraId="520DA7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520DA7C7" w14:textId="77777777" w:rsidR="008133EA" w:rsidRDefault="008016E7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520DA7C8" w14:textId="77777777" w:rsidR="008133EA" w:rsidRDefault="008016E7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520DA7C9" w14:textId="77777777" w:rsidR="008133EA" w:rsidRDefault="008016E7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520DA7CB" w14:textId="77777777" w:rsidR="008016E7" w:rsidRDefault="008016E7"/>
    <w:sectPr w:rsidR="008016E7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34D7B1" w14:textId="77777777" w:rsidR="008016E7" w:rsidRDefault="008016E7" w:rsidP="004D0C7F">
      <w:r>
        <w:separator/>
      </w:r>
    </w:p>
  </w:endnote>
  <w:endnote w:type="continuationSeparator" w:id="0">
    <w:p w14:paraId="254091AB" w14:textId="77777777" w:rsidR="008016E7" w:rsidRDefault="008016E7" w:rsidP="004D0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80FBDE" w14:textId="77777777" w:rsidR="008016E7" w:rsidRDefault="008016E7" w:rsidP="004D0C7F">
      <w:r>
        <w:separator/>
      </w:r>
    </w:p>
  </w:footnote>
  <w:footnote w:type="continuationSeparator" w:id="0">
    <w:p w14:paraId="1AB75143" w14:textId="77777777" w:rsidR="008016E7" w:rsidRDefault="008016E7" w:rsidP="004D0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4D0C7F" w14:paraId="1848D233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74A07F25" w14:textId="77777777" w:rsidR="004D0C7F" w:rsidRDefault="004D0C7F" w:rsidP="004D0C7F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3B89A40" wp14:editId="4C024784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4C3A9491" w14:textId="77777777" w:rsidR="004D0C7F" w:rsidRDefault="004D0C7F" w:rsidP="004D0C7F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7E626EB1" w14:textId="77777777" w:rsidR="004D0C7F" w:rsidRDefault="004D0C7F" w:rsidP="004D0C7F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213D6B59" w14:textId="77777777" w:rsidR="004D0C7F" w:rsidRDefault="004D0C7F" w:rsidP="004D0C7F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4C4BF026" w14:textId="77777777" w:rsidR="004D0C7F" w:rsidRDefault="004D0C7F" w:rsidP="004D0C7F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E7E6A9F" wp14:editId="22CD1D2C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4D0C7F" w14:paraId="41721D8C" w14:textId="77777777" w:rsidTr="00FE5221">
      <w:trPr>
        <w:trHeight w:val="428"/>
        <w:jc w:val="center"/>
      </w:trPr>
      <w:tc>
        <w:tcPr>
          <w:tcW w:w="3027" w:type="dxa"/>
          <w:vMerge/>
        </w:tcPr>
        <w:p w14:paraId="3CB4B3B0" w14:textId="77777777" w:rsidR="004D0C7F" w:rsidRDefault="004D0C7F" w:rsidP="004D0C7F"/>
      </w:tc>
      <w:tc>
        <w:tcPr>
          <w:tcW w:w="4906" w:type="dxa"/>
        </w:tcPr>
        <w:p w14:paraId="7B5E3383" w14:textId="77777777" w:rsidR="004D0C7F" w:rsidRDefault="004D0C7F" w:rsidP="004D0C7F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67EB1ADA" w14:textId="77777777" w:rsidR="004D0C7F" w:rsidRDefault="004D0C7F" w:rsidP="004D0C7F"/>
      </w:tc>
    </w:tr>
    <w:tr w:rsidR="004D0C7F" w14:paraId="755407B5" w14:textId="77777777" w:rsidTr="00FE5221">
      <w:trPr>
        <w:trHeight w:val="305"/>
        <w:jc w:val="center"/>
      </w:trPr>
      <w:tc>
        <w:tcPr>
          <w:tcW w:w="3027" w:type="dxa"/>
          <w:vMerge/>
        </w:tcPr>
        <w:p w14:paraId="51E46378" w14:textId="77777777" w:rsidR="004D0C7F" w:rsidRDefault="004D0C7F" w:rsidP="004D0C7F"/>
      </w:tc>
      <w:tc>
        <w:tcPr>
          <w:tcW w:w="4906" w:type="dxa"/>
        </w:tcPr>
        <w:p w14:paraId="41C8C3BE" w14:textId="77777777" w:rsidR="004D0C7F" w:rsidRDefault="004D0C7F" w:rsidP="004D0C7F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4E0A1EFF" w14:textId="77777777" w:rsidR="004D0C7F" w:rsidRDefault="004D0C7F" w:rsidP="004D0C7F"/>
      </w:tc>
    </w:tr>
  </w:tbl>
  <w:p w14:paraId="3C6F2584" w14:textId="77777777" w:rsidR="004D0C7F" w:rsidRDefault="004D0C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E00819"/>
    <w:multiLevelType w:val="hybridMultilevel"/>
    <w:tmpl w:val="CAA80A54"/>
    <w:lvl w:ilvl="0" w:tplc="AEEE952E">
      <w:start w:val="1"/>
      <w:numFmt w:val="bullet"/>
      <w:lvlText w:val="●"/>
      <w:lvlJc w:val="left"/>
      <w:pPr>
        <w:ind w:left="720" w:hanging="360"/>
      </w:pPr>
    </w:lvl>
    <w:lvl w:ilvl="1" w:tplc="91D04FA6">
      <w:start w:val="1"/>
      <w:numFmt w:val="bullet"/>
      <w:lvlText w:val="○"/>
      <w:lvlJc w:val="left"/>
      <w:pPr>
        <w:ind w:left="1440" w:hanging="360"/>
      </w:pPr>
    </w:lvl>
    <w:lvl w:ilvl="2" w:tplc="0E089B02">
      <w:start w:val="1"/>
      <w:numFmt w:val="bullet"/>
      <w:lvlText w:val="■"/>
      <w:lvlJc w:val="left"/>
      <w:pPr>
        <w:ind w:left="2160" w:hanging="360"/>
      </w:pPr>
    </w:lvl>
    <w:lvl w:ilvl="3" w:tplc="25743A4C">
      <w:start w:val="1"/>
      <w:numFmt w:val="bullet"/>
      <w:lvlText w:val="●"/>
      <w:lvlJc w:val="left"/>
      <w:pPr>
        <w:ind w:left="2880" w:hanging="360"/>
      </w:pPr>
    </w:lvl>
    <w:lvl w:ilvl="4" w:tplc="CEA6338A">
      <w:start w:val="1"/>
      <w:numFmt w:val="bullet"/>
      <w:lvlText w:val="○"/>
      <w:lvlJc w:val="left"/>
      <w:pPr>
        <w:ind w:left="3600" w:hanging="360"/>
      </w:pPr>
    </w:lvl>
    <w:lvl w:ilvl="5" w:tplc="C082B500">
      <w:start w:val="1"/>
      <w:numFmt w:val="bullet"/>
      <w:lvlText w:val="■"/>
      <w:lvlJc w:val="left"/>
      <w:pPr>
        <w:ind w:left="4320" w:hanging="360"/>
      </w:pPr>
    </w:lvl>
    <w:lvl w:ilvl="6" w:tplc="5ECAE174">
      <w:start w:val="1"/>
      <w:numFmt w:val="bullet"/>
      <w:lvlText w:val="●"/>
      <w:lvlJc w:val="left"/>
      <w:pPr>
        <w:ind w:left="5040" w:hanging="360"/>
      </w:pPr>
    </w:lvl>
    <w:lvl w:ilvl="7" w:tplc="A306B61E">
      <w:start w:val="1"/>
      <w:numFmt w:val="bullet"/>
      <w:lvlText w:val="●"/>
      <w:lvlJc w:val="left"/>
      <w:pPr>
        <w:ind w:left="5760" w:hanging="360"/>
      </w:pPr>
    </w:lvl>
    <w:lvl w:ilvl="8" w:tplc="3CE4863A">
      <w:start w:val="1"/>
      <w:numFmt w:val="bullet"/>
      <w:lvlText w:val="●"/>
      <w:lvlJc w:val="left"/>
      <w:pPr>
        <w:ind w:left="6480" w:hanging="360"/>
      </w:pPr>
    </w:lvl>
  </w:abstractNum>
  <w:num w:numId="1" w16cid:durableId="258606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3EA"/>
    <w:rsid w:val="004D0C7F"/>
    <w:rsid w:val="005C31B0"/>
    <w:rsid w:val="008016E7"/>
    <w:rsid w:val="0081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0DA789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D0C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D0C7F"/>
  </w:style>
  <w:style w:type="paragraph" w:styleId="Piedepgina">
    <w:name w:val="footer"/>
    <w:basedOn w:val="Normal"/>
    <w:link w:val="PiedepginaCar"/>
    <w:uiPriority w:val="99"/>
    <w:unhideWhenUsed/>
    <w:rsid w:val="004D0C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D0C7F"/>
  </w:style>
  <w:style w:type="table" w:styleId="Tablaconcuadrcula">
    <w:name w:val="Table Grid"/>
    <w:basedOn w:val="Tablanormal"/>
    <w:uiPriority w:val="59"/>
    <w:rsid w:val="004D0C7F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2026-08-30T00:33:00Z</dcterms:created>
  <dcterms:modified xsi:type="dcterms:W3CDTF">2026-08-30T00:33:00Z</dcterms:modified>
</cp:coreProperties>
</file>