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4407" w:rsidRDefault="00E44407" w:rsidP="00E44407">
      <w:r w:rsidRPr="00E44407">
        <w:t>4. ¿Cuánto tiempo máximo puede durar un contrato de trabajo a término fijo?</w:t>
      </w:r>
    </w:p>
    <w:p w:rsidR="00E44407" w:rsidRDefault="00E44407" w:rsidP="00E44407">
      <w:r w:rsidRPr="00E44407">
        <w:t xml:space="preserve">El contrato a término fijo en Colombia puede durar </w:t>
      </w:r>
      <w:r w:rsidRPr="00E44407">
        <w:rPr>
          <w:b/>
          <w:bCs/>
        </w:rPr>
        <w:t>hasta tres años</w:t>
      </w:r>
      <w:r w:rsidRPr="00E44407">
        <w:t>. Sin embargo, puede renovarse indefinidamente por el mismo periodo pactado inicialmente o por uno menor.</w:t>
      </w:r>
    </w:p>
    <w:p w:rsidR="00E44407" w:rsidRDefault="00E44407" w:rsidP="00E44407">
      <w:r w:rsidRPr="00E44407">
        <w:t>5. ¿Qué formas existen en Colombia para ejecutar un contrato?</w:t>
      </w:r>
    </w:p>
    <w:p w:rsidR="00E44407" w:rsidRPr="00E44407" w:rsidRDefault="00E44407" w:rsidP="00E44407">
      <w:r w:rsidRPr="00E44407">
        <w:t>Las maneras de ejecutar un contrato en Colombia pueden ser:</w:t>
      </w:r>
    </w:p>
    <w:p w:rsidR="00E44407" w:rsidRPr="00E44407" w:rsidRDefault="00E44407" w:rsidP="00E44407">
      <w:r w:rsidRPr="00E44407">
        <w:t>Contrato verbal: el acuerdo se establece acordado de manera oral, no se requiere firmar un documento.</w:t>
      </w:r>
    </w:p>
    <w:p w:rsidR="00E44407" w:rsidRPr="00E44407" w:rsidRDefault="00E44407" w:rsidP="00E44407">
      <w:r w:rsidRPr="00E44407">
        <w:t>Contrato escrito: las partes involucradas firman un documento con sus condiciones claramente detalladas.</w:t>
      </w:r>
    </w:p>
    <w:p w:rsidR="00E44407" w:rsidRPr="00E44407" w:rsidRDefault="00E44407" w:rsidP="00E44407">
      <w:r w:rsidRPr="00E44407">
        <w:t>Contrato por acto jurídico: se acepta una oferta o se firma un documento, el contrato actúa una vez que cumple con los dos requisitos para legitimar su admisión.</w:t>
      </w:r>
    </w:p>
    <w:p w:rsidR="00E44407" w:rsidRPr="00E44407" w:rsidRDefault="00E44407" w:rsidP="00E44407">
      <w:r w:rsidRPr="00E44407">
        <w:t xml:space="preserve">Contrato tácito: se asume al analizar el actuar de las partes </w:t>
      </w:r>
      <w:proofErr w:type="spellStart"/>
      <w:r w:rsidRPr="00E44407">
        <w:t>y</w:t>
      </w:r>
      <w:proofErr w:type="spellEnd"/>
      <w:r w:rsidRPr="00E44407">
        <w:t xml:space="preserve"> introducir conclusiones, no se requiere un documento o formalización.</w:t>
      </w:r>
    </w:p>
    <w:p w:rsidR="00E44407" w:rsidRDefault="00E44407" w:rsidP="00E44407">
      <w:r w:rsidRPr="00E44407">
        <w:t>6. ¿Qué significa el preaviso? ¿En qué contratos de trabajo se debe estipular?</w:t>
      </w:r>
    </w:p>
    <w:p w:rsidR="00E44407" w:rsidRPr="00E44407" w:rsidRDefault="00E44407" w:rsidP="00E44407">
      <w:r w:rsidRPr="00E44407">
        <w:t xml:space="preserve">Preaviso: se refiere a la anticipación con la que una de las partes debe notificar a la otra su intención de dar por terminado el contrato. En el primer caso, el empleador deberá avisar con al menos 30 días de anticipación si no quiere contratarlo nuevamente. En cambio, en el caso de </w:t>
      </w:r>
      <w:proofErr w:type="spellStart"/>
      <w:r w:rsidRPr="00E44407">
        <w:t>de</w:t>
      </w:r>
      <w:proofErr w:type="spellEnd"/>
      <w:r w:rsidRPr="00E44407">
        <w:t xml:space="preserve"> destrucción o no ejecución de justa causa, el empleador deberá pagar la respectiva indemnización.</w:t>
      </w:r>
    </w:p>
    <w:p w:rsidR="00E44407" w:rsidRDefault="00E44407" w:rsidP="00E44407">
      <w:r w:rsidRPr="00E44407">
        <w:t>7. ¿Cuáles son las partes que intervienen en un contrato civil de prestación de servicios?</w:t>
      </w:r>
    </w:p>
    <w:p w:rsidR="00E44407" w:rsidRPr="00E44407" w:rsidRDefault="00E44407" w:rsidP="00E44407">
      <w:r w:rsidRPr="00E44407">
        <w:t>Las partes que intervienen en un contrato de prestación de servicios son:</w:t>
      </w:r>
    </w:p>
    <w:p w:rsidR="00E44407" w:rsidRPr="00E44407" w:rsidRDefault="00E44407" w:rsidP="00E44407">
      <w:pPr>
        <w:numPr>
          <w:ilvl w:val="0"/>
          <w:numId w:val="1"/>
        </w:numPr>
      </w:pPr>
      <w:r w:rsidRPr="00E44407">
        <w:rPr>
          <w:b/>
          <w:bCs/>
        </w:rPr>
        <w:t>Contratante:</w:t>
      </w:r>
      <w:r w:rsidRPr="00E44407">
        <w:t xml:space="preserve"> Quien solicita y paga por el servicio.</w:t>
      </w:r>
    </w:p>
    <w:p w:rsidR="00E44407" w:rsidRPr="00E44407" w:rsidRDefault="00E44407" w:rsidP="00E44407">
      <w:pPr>
        <w:numPr>
          <w:ilvl w:val="0"/>
          <w:numId w:val="1"/>
        </w:numPr>
      </w:pPr>
      <w:r w:rsidRPr="00E44407">
        <w:rPr>
          <w:b/>
          <w:bCs/>
        </w:rPr>
        <w:t>Contratista:</w:t>
      </w:r>
      <w:r w:rsidRPr="00E44407">
        <w:t xml:space="preserve"> Quien presta el servicio de manera independiente.</w:t>
      </w:r>
    </w:p>
    <w:p w:rsidR="00E44407" w:rsidRDefault="00E44407" w:rsidP="00E44407">
      <w:r w:rsidRPr="00E44407">
        <w:t>8. Aporte a la seguridad social de un trabajador dependient</w:t>
      </w:r>
      <w:r>
        <w:t>e</w:t>
      </w:r>
    </w:p>
    <w:p w:rsidR="00E44407" w:rsidRPr="00E44407" w:rsidRDefault="00E44407" w:rsidP="00E44407">
      <w:r w:rsidRPr="00E44407">
        <w:rPr>
          <w:b/>
          <w:bCs/>
        </w:rPr>
        <w:t>Salario:</w:t>
      </w:r>
      <w:r w:rsidRPr="00E44407">
        <w:t xml:space="preserve"> $2.945.000</w:t>
      </w:r>
    </w:p>
    <w:p w:rsidR="00E44407" w:rsidRPr="00E44407" w:rsidRDefault="00E44407" w:rsidP="00E44407">
      <w:r w:rsidRPr="00E44407">
        <w:rPr>
          <w:b/>
          <w:bCs/>
        </w:rPr>
        <w:t>Riesgo laboral:</w:t>
      </w:r>
      <w:r w:rsidRPr="00E44407">
        <w:t xml:space="preserve"> Nivel V</w:t>
      </w:r>
    </w:p>
    <w:p w:rsidR="00E44407" w:rsidRPr="00E44407" w:rsidRDefault="00E44407" w:rsidP="00E44407">
      <w:r w:rsidRPr="00E44407">
        <w:rPr>
          <w:b/>
          <w:bCs/>
        </w:rPr>
        <w:t>Aportes del trabajador:</w:t>
      </w:r>
    </w:p>
    <w:p w:rsidR="00E44407" w:rsidRPr="00E44407" w:rsidRDefault="00E44407" w:rsidP="00E44407">
      <w:r w:rsidRPr="00E44407">
        <w:rPr>
          <w:b/>
          <w:bCs/>
        </w:rPr>
        <w:t>Salud:</w:t>
      </w:r>
      <w:r w:rsidRPr="00E44407">
        <w:t xml:space="preserve"> 4% → $117.800</w:t>
      </w:r>
    </w:p>
    <w:p w:rsidR="00E44407" w:rsidRPr="00E44407" w:rsidRDefault="00E44407" w:rsidP="00E44407">
      <w:r w:rsidRPr="00E44407">
        <w:rPr>
          <w:b/>
          <w:bCs/>
        </w:rPr>
        <w:t>Pensión:</w:t>
      </w:r>
      <w:r w:rsidRPr="00E44407">
        <w:t xml:space="preserve"> 4% → $117.800</w:t>
      </w:r>
    </w:p>
    <w:p w:rsidR="00E44407" w:rsidRPr="00E44407" w:rsidRDefault="00E44407" w:rsidP="00E44407">
      <w:proofErr w:type="gramStart"/>
      <w:r w:rsidRPr="00E44407">
        <w:rPr>
          <w:b/>
          <w:bCs/>
        </w:rPr>
        <w:t>Total</w:t>
      </w:r>
      <w:proofErr w:type="gramEnd"/>
      <w:r w:rsidRPr="00E44407">
        <w:rPr>
          <w:b/>
          <w:bCs/>
        </w:rPr>
        <w:t xml:space="preserve"> descuento trabajador:</w:t>
      </w:r>
      <w:r w:rsidRPr="00E44407">
        <w:t xml:space="preserve"> </w:t>
      </w:r>
      <w:r w:rsidRPr="00E44407">
        <w:rPr>
          <w:b/>
          <w:bCs/>
        </w:rPr>
        <w:t>$235.600</w:t>
      </w:r>
    </w:p>
    <w:p w:rsidR="00E44407" w:rsidRPr="00E44407" w:rsidRDefault="00E44407" w:rsidP="00E44407">
      <w:r w:rsidRPr="00E44407">
        <w:rPr>
          <w:b/>
          <w:bCs/>
        </w:rPr>
        <w:t>Aportes del empleador:</w:t>
      </w:r>
    </w:p>
    <w:p w:rsidR="00E44407" w:rsidRPr="00E44407" w:rsidRDefault="00E44407" w:rsidP="00E44407">
      <w:r w:rsidRPr="00E44407">
        <w:rPr>
          <w:b/>
          <w:bCs/>
        </w:rPr>
        <w:t>Salud:</w:t>
      </w:r>
      <w:r w:rsidRPr="00E44407">
        <w:t xml:space="preserve"> 8.5% → $250.325</w:t>
      </w:r>
    </w:p>
    <w:p w:rsidR="00E44407" w:rsidRPr="00E44407" w:rsidRDefault="00E44407" w:rsidP="00E44407">
      <w:r w:rsidRPr="00E44407">
        <w:rPr>
          <w:b/>
          <w:bCs/>
        </w:rPr>
        <w:t>Pensión:</w:t>
      </w:r>
      <w:r w:rsidRPr="00E44407">
        <w:t xml:space="preserve"> 12% → $353.400</w:t>
      </w:r>
    </w:p>
    <w:p w:rsidR="00E44407" w:rsidRPr="00E44407" w:rsidRDefault="00E44407" w:rsidP="00E44407">
      <w:r w:rsidRPr="00E44407">
        <w:rPr>
          <w:b/>
          <w:bCs/>
        </w:rPr>
        <w:lastRenderedPageBreak/>
        <w:t>ARL (Riesgo V):</w:t>
      </w:r>
      <w:r w:rsidRPr="00E44407">
        <w:t xml:space="preserve"> ~6.9% → $203.205</w:t>
      </w:r>
    </w:p>
    <w:p w:rsidR="00E44407" w:rsidRPr="00E44407" w:rsidRDefault="00E44407" w:rsidP="00E44407">
      <w:r w:rsidRPr="00E44407">
        <w:rPr>
          <w:b/>
          <w:bCs/>
        </w:rPr>
        <w:t>Caja de Compensación:</w:t>
      </w:r>
      <w:r w:rsidRPr="00E44407">
        <w:t xml:space="preserve"> 4% → $117.800</w:t>
      </w:r>
    </w:p>
    <w:p w:rsidR="00E44407" w:rsidRPr="00E44407" w:rsidRDefault="00E44407" w:rsidP="00E44407">
      <w:r w:rsidRPr="00E44407">
        <w:rPr>
          <w:b/>
          <w:bCs/>
        </w:rPr>
        <w:t>SENA, ICBF:</w:t>
      </w:r>
      <w:r w:rsidRPr="00E44407">
        <w:t xml:space="preserve"> 3% → $88.350</w:t>
      </w:r>
    </w:p>
    <w:p w:rsidR="00E44407" w:rsidRPr="00E44407" w:rsidRDefault="00E44407" w:rsidP="00E44407">
      <w:proofErr w:type="gramStart"/>
      <w:r w:rsidRPr="00E44407">
        <w:rPr>
          <w:b/>
          <w:bCs/>
        </w:rPr>
        <w:t>Total</w:t>
      </w:r>
      <w:proofErr w:type="gramEnd"/>
      <w:r w:rsidRPr="00E44407">
        <w:rPr>
          <w:b/>
          <w:bCs/>
        </w:rPr>
        <w:t xml:space="preserve"> aportes empleador:</w:t>
      </w:r>
      <w:r w:rsidRPr="00E44407">
        <w:t xml:space="preserve"> </w:t>
      </w:r>
      <w:r w:rsidRPr="00E44407">
        <w:rPr>
          <w:b/>
          <w:bCs/>
        </w:rPr>
        <w:t>$1.013.080</w:t>
      </w:r>
    </w:p>
    <w:p w:rsidR="00E44407" w:rsidRPr="00E44407" w:rsidRDefault="00E44407" w:rsidP="00E44407">
      <w:r w:rsidRPr="00E44407">
        <w:rPr>
          <w:b/>
          <w:bCs/>
        </w:rPr>
        <w:t>Salario neto del trabajador:</w:t>
      </w:r>
    </w:p>
    <w:p w:rsidR="00E44407" w:rsidRPr="00E44407" w:rsidRDefault="00E44407" w:rsidP="00E44407">
      <w:r w:rsidRPr="00E44407">
        <w:t xml:space="preserve">$2.945.000 - $235.600 = </w:t>
      </w:r>
      <w:r w:rsidRPr="00E44407">
        <w:rPr>
          <w:b/>
          <w:bCs/>
        </w:rPr>
        <w:t>$2.709.400</w:t>
      </w:r>
    </w:p>
    <w:p w:rsidR="00E44407" w:rsidRPr="00E44407" w:rsidRDefault="00E44407" w:rsidP="00E44407">
      <w:pPr>
        <w:rPr>
          <w:b/>
          <w:bCs/>
        </w:rPr>
      </w:pPr>
      <w:r w:rsidRPr="00E44407">
        <w:rPr>
          <w:b/>
          <w:bCs/>
        </w:rPr>
        <w:t>9. Aporte a la seguridad social de un trabajador independiente</w:t>
      </w:r>
    </w:p>
    <w:p w:rsidR="00E44407" w:rsidRPr="00E44407" w:rsidRDefault="00E44407" w:rsidP="00E44407">
      <w:pPr>
        <w:rPr>
          <w:b/>
          <w:bCs/>
        </w:rPr>
      </w:pPr>
      <w:r w:rsidRPr="00E44407">
        <w:rPr>
          <w:b/>
          <w:bCs/>
        </w:rPr>
        <w:t>Honorarios: $7.220.000</w:t>
      </w:r>
    </w:p>
    <w:p w:rsidR="00E44407" w:rsidRPr="00E44407" w:rsidRDefault="00E44407" w:rsidP="00E44407">
      <w:pPr>
        <w:rPr>
          <w:b/>
          <w:bCs/>
        </w:rPr>
      </w:pPr>
      <w:r w:rsidRPr="00E44407">
        <w:rPr>
          <w:b/>
          <w:bCs/>
        </w:rPr>
        <w:t>Riesgo laboral: Nivel II</w:t>
      </w:r>
    </w:p>
    <w:p w:rsidR="00E44407" w:rsidRPr="00E44407" w:rsidRDefault="00E44407" w:rsidP="00E44407">
      <w:pPr>
        <w:rPr>
          <w:b/>
          <w:bCs/>
        </w:rPr>
      </w:pPr>
      <w:r w:rsidRPr="00E44407">
        <w:rPr>
          <w:b/>
          <w:bCs/>
        </w:rPr>
        <w:t>Base de cotización (40% de honorarios):</w:t>
      </w:r>
    </w:p>
    <w:p w:rsidR="00E44407" w:rsidRPr="00E44407" w:rsidRDefault="00E44407" w:rsidP="00E44407">
      <w:r w:rsidRPr="00E44407">
        <w:t xml:space="preserve">$7.220.000 × 40% = </w:t>
      </w:r>
      <w:r w:rsidRPr="00E44407">
        <w:rPr>
          <w:b/>
          <w:bCs/>
        </w:rPr>
        <w:t>$2.888.000</w:t>
      </w:r>
    </w:p>
    <w:p w:rsidR="00E44407" w:rsidRPr="00E44407" w:rsidRDefault="00E44407" w:rsidP="00E44407">
      <w:pPr>
        <w:rPr>
          <w:b/>
          <w:bCs/>
        </w:rPr>
      </w:pPr>
      <w:r w:rsidRPr="00E44407">
        <w:rPr>
          <w:b/>
          <w:bCs/>
        </w:rPr>
        <w:t>Aportes del contratista:</w:t>
      </w:r>
    </w:p>
    <w:p w:rsidR="00E44407" w:rsidRPr="00E44407" w:rsidRDefault="00E44407" w:rsidP="00E44407">
      <w:pPr>
        <w:numPr>
          <w:ilvl w:val="0"/>
          <w:numId w:val="2"/>
        </w:numPr>
      </w:pPr>
      <w:r w:rsidRPr="00E44407">
        <w:rPr>
          <w:b/>
          <w:bCs/>
        </w:rPr>
        <w:t>Salud (12.5%)</w:t>
      </w:r>
      <w:r w:rsidRPr="00E44407">
        <w:t xml:space="preserve"> → $361.000</w:t>
      </w:r>
    </w:p>
    <w:p w:rsidR="00E44407" w:rsidRPr="00E44407" w:rsidRDefault="00E44407" w:rsidP="00E44407">
      <w:pPr>
        <w:numPr>
          <w:ilvl w:val="0"/>
          <w:numId w:val="2"/>
        </w:numPr>
      </w:pPr>
      <w:r w:rsidRPr="00E44407">
        <w:rPr>
          <w:b/>
          <w:bCs/>
        </w:rPr>
        <w:t>Pensión (16%)</w:t>
      </w:r>
      <w:r w:rsidRPr="00E44407">
        <w:t xml:space="preserve"> → $462.080</w:t>
      </w:r>
    </w:p>
    <w:p w:rsidR="00E44407" w:rsidRPr="00E44407" w:rsidRDefault="00E44407" w:rsidP="00E44407">
      <w:pPr>
        <w:numPr>
          <w:ilvl w:val="0"/>
          <w:numId w:val="2"/>
        </w:numPr>
      </w:pPr>
      <w:r w:rsidRPr="00E44407">
        <w:rPr>
          <w:b/>
          <w:bCs/>
        </w:rPr>
        <w:t>ARL (Riesgo II, ~0.522%)</w:t>
      </w:r>
      <w:r w:rsidRPr="00E44407">
        <w:t xml:space="preserve"> → $15.077</w:t>
      </w:r>
    </w:p>
    <w:p w:rsidR="00E44407" w:rsidRPr="00E44407" w:rsidRDefault="00E44407" w:rsidP="00E44407">
      <w:pPr>
        <w:numPr>
          <w:ilvl w:val="0"/>
          <w:numId w:val="2"/>
        </w:numPr>
      </w:pPr>
      <w:proofErr w:type="gramStart"/>
      <w:r w:rsidRPr="00E44407">
        <w:rPr>
          <w:b/>
          <w:bCs/>
        </w:rPr>
        <w:t>Total</w:t>
      </w:r>
      <w:proofErr w:type="gramEnd"/>
      <w:r w:rsidRPr="00E44407">
        <w:rPr>
          <w:b/>
          <w:bCs/>
        </w:rPr>
        <w:t xml:space="preserve"> aporte contratista:</w:t>
      </w:r>
      <w:r w:rsidRPr="00E44407">
        <w:t xml:space="preserve"> </w:t>
      </w:r>
      <w:r w:rsidRPr="00E44407">
        <w:rPr>
          <w:b/>
          <w:bCs/>
        </w:rPr>
        <w:t>$838.157</w:t>
      </w:r>
    </w:p>
    <w:p w:rsidR="00E44407" w:rsidRPr="00E44407" w:rsidRDefault="00E44407" w:rsidP="00E44407">
      <w:pPr>
        <w:pStyle w:val="Prrafodelista"/>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E44407">
        <w:rPr>
          <w:rFonts w:ascii="Times New Roman" w:eastAsia="Times New Roman" w:hAnsi="Times New Roman" w:cs="Times New Roman"/>
          <w:b/>
          <w:bCs/>
          <w:kern w:val="0"/>
          <w:sz w:val="27"/>
          <w:szCs w:val="27"/>
          <w:lang w:eastAsia="es-CO"/>
          <w14:ligatures w14:val="none"/>
        </w:rPr>
        <w:t>10. ¿Qué son los derechos humanos?</w:t>
      </w:r>
    </w:p>
    <w:p w:rsidR="00E44407" w:rsidRPr="00E44407" w:rsidRDefault="00E44407" w:rsidP="00E44407">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44407">
        <w:rPr>
          <w:rFonts w:ascii="Times New Roman" w:eastAsia="Times New Roman" w:hAnsi="Times New Roman" w:cs="Times New Roman"/>
          <w:kern w:val="0"/>
          <w:sz w:val="24"/>
          <w:szCs w:val="24"/>
          <w:lang w:eastAsia="es-CO"/>
          <w14:ligatures w14:val="none"/>
        </w:rPr>
        <w:t>Son principios fundamentales que garantizan la dignidad, igualdad y libertad de todas las personas sin distinción.</w:t>
      </w:r>
    </w:p>
    <w:p w:rsidR="00E44407" w:rsidRPr="00E44407" w:rsidRDefault="00E44407" w:rsidP="00E44407">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44407">
        <w:rPr>
          <w:rFonts w:ascii="Times New Roman" w:eastAsia="Times New Roman" w:hAnsi="Times New Roman" w:cs="Times New Roman"/>
          <w:b/>
          <w:bCs/>
          <w:kern w:val="0"/>
          <w:sz w:val="24"/>
          <w:szCs w:val="24"/>
          <w:lang w:eastAsia="es-CO"/>
          <w14:ligatures w14:val="none"/>
        </w:rPr>
        <w:t>Ejemplo:</w:t>
      </w:r>
      <w:r w:rsidRPr="00E44407">
        <w:rPr>
          <w:rFonts w:ascii="Times New Roman" w:eastAsia="Times New Roman" w:hAnsi="Times New Roman" w:cs="Times New Roman"/>
          <w:kern w:val="0"/>
          <w:sz w:val="24"/>
          <w:szCs w:val="24"/>
          <w:lang w:eastAsia="es-CO"/>
          <w14:ligatures w14:val="none"/>
        </w:rPr>
        <w:t xml:space="preserve"> El derecho a la educación permite que todas las personas tengan acceso a la enseñanza sin discriminación.</w:t>
      </w:r>
    </w:p>
    <w:p w:rsidR="00A657CC" w:rsidRPr="00A657CC" w:rsidRDefault="00A657CC" w:rsidP="00A657CC">
      <w:pPr>
        <w:rPr>
          <w:b/>
          <w:bCs/>
        </w:rPr>
      </w:pPr>
      <w:r w:rsidRPr="00A657CC">
        <w:rPr>
          <w:b/>
          <w:bCs/>
        </w:rPr>
        <w:t>11. Edad y semanas de cotización para pensionarse en Colombia</w:t>
      </w:r>
    </w:p>
    <w:p w:rsidR="00A657CC" w:rsidRPr="00A657CC" w:rsidRDefault="00A657CC" w:rsidP="00A657CC">
      <w:pPr>
        <w:numPr>
          <w:ilvl w:val="0"/>
          <w:numId w:val="3"/>
        </w:numPr>
      </w:pPr>
      <w:r w:rsidRPr="00A657CC">
        <w:rPr>
          <w:b/>
          <w:bCs/>
        </w:rPr>
        <w:t>Hombres:</w:t>
      </w:r>
      <w:r w:rsidRPr="00A657CC">
        <w:t xml:space="preserve"> 62 años y </w:t>
      </w:r>
      <w:r w:rsidRPr="00A657CC">
        <w:rPr>
          <w:b/>
          <w:bCs/>
        </w:rPr>
        <w:t>1.300 semanas</w:t>
      </w:r>
      <w:r w:rsidRPr="00A657CC">
        <w:t xml:space="preserve"> cotizadas.</w:t>
      </w:r>
    </w:p>
    <w:p w:rsidR="00A657CC" w:rsidRPr="00A657CC" w:rsidRDefault="00A657CC" w:rsidP="00A657CC">
      <w:pPr>
        <w:numPr>
          <w:ilvl w:val="0"/>
          <w:numId w:val="3"/>
        </w:numPr>
      </w:pPr>
      <w:r w:rsidRPr="00A657CC">
        <w:rPr>
          <w:b/>
          <w:bCs/>
        </w:rPr>
        <w:t>Mujeres:</w:t>
      </w:r>
      <w:r w:rsidRPr="00A657CC">
        <w:t xml:space="preserve"> 57 años y </w:t>
      </w:r>
      <w:r w:rsidRPr="00A657CC">
        <w:rPr>
          <w:b/>
          <w:bCs/>
        </w:rPr>
        <w:t>1.300 semanas</w:t>
      </w:r>
      <w:r w:rsidRPr="00A657CC">
        <w:t xml:space="preserve"> cotizadas.</w:t>
      </w:r>
    </w:p>
    <w:tbl>
      <w:tblPr>
        <w:tblStyle w:val="Tablaconcuadrcula"/>
        <w:tblW w:w="0" w:type="auto"/>
        <w:tblLook w:val="04A0" w:firstRow="1" w:lastRow="0" w:firstColumn="1" w:lastColumn="0" w:noHBand="0" w:noVBand="1"/>
      </w:tblPr>
      <w:tblGrid>
        <w:gridCol w:w="8828"/>
      </w:tblGrid>
      <w:tr w:rsidR="00A657CC" w:rsidTr="00A657CC">
        <w:tc>
          <w:tcPr>
            <w:tcW w:w="8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1346"/>
              <w:gridCol w:w="1293"/>
              <w:gridCol w:w="950"/>
              <w:gridCol w:w="1270"/>
              <w:gridCol w:w="1311"/>
              <w:gridCol w:w="1295"/>
            </w:tblGrid>
            <w:tr w:rsidR="007709E1" w:rsidRPr="00A657CC" w:rsidTr="007709E1">
              <w:trPr>
                <w:tblHeader/>
                <w:tblCellSpacing w:w="15" w:type="dxa"/>
              </w:trPr>
              <w:tc>
                <w:tcPr>
                  <w:tcW w:w="0" w:type="auto"/>
                  <w:tcBorders>
                    <w:bottom w:val="single" w:sz="36" w:space="0" w:color="auto"/>
                  </w:tcBorders>
                  <w:vAlign w:val="center"/>
                  <w:hideMark/>
                </w:tcPr>
                <w:p w:rsidR="00A657CC" w:rsidRDefault="00A657CC" w:rsidP="0037361D">
                  <w:pPr>
                    <w:rPr>
                      <w:b/>
                      <w:bCs/>
                    </w:rPr>
                  </w:pPr>
                  <w:r w:rsidRPr="00A657CC">
                    <w:rPr>
                      <w:b/>
                      <w:bCs/>
                    </w:rPr>
                    <w:t>Contrato</w:t>
                  </w:r>
                </w:p>
                <w:p w:rsidR="00A657CC" w:rsidRPr="00A657CC" w:rsidRDefault="00A657CC" w:rsidP="0037361D">
                  <w:pPr>
                    <w:rPr>
                      <w:b/>
                      <w:bCs/>
                    </w:rPr>
                  </w:pPr>
                </w:p>
              </w:tc>
              <w:tc>
                <w:tcPr>
                  <w:tcW w:w="0" w:type="auto"/>
                  <w:tcBorders>
                    <w:left w:val="single" w:sz="36" w:space="0" w:color="auto"/>
                    <w:bottom w:val="single" w:sz="36" w:space="0" w:color="auto"/>
                  </w:tcBorders>
                  <w:vAlign w:val="center"/>
                  <w:hideMark/>
                </w:tcPr>
                <w:p w:rsidR="00A657CC" w:rsidRPr="00A657CC" w:rsidRDefault="00A657CC" w:rsidP="0037361D">
                  <w:pPr>
                    <w:rPr>
                      <w:b/>
                      <w:bCs/>
                    </w:rPr>
                  </w:pPr>
                  <w:r w:rsidRPr="00A657CC">
                    <w:rPr>
                      <w:b/>
                      <w:bCs/>
                    </w:rPr>
                    <w:t>Definición</w:t>
                  </w:r>
                </w:p>
              </w:tc>
              <w:tc>
                <w:tcPr>
                  <w:tcW w:w="0" w:type="auto"/>
                  <w:tcBorders>
                    <w:left w:val="single" w:sz="36" w:space="0" w:color="auto"/>
                    <w:bottom w:val="single" w:sz="36" w:space="0" w:color="auto"/>
                  </w:tcBorders>
                  <w:vAlign w:val="center"/>
                  <w:hideMark/>
                </w:tcPr>
                <w:p w:rsidR="00A657CC" w:rsidRPr="00A657CC" w:rsidRDefault="00A657CC" w:rsidP="0037361D">
                  <w:pPr>
                    <w:rPr>
                      <w:b/>
                      <w:bCs/>
                    </w:rPr>
                  </w:pPr>
                  <w:r w:rsidRPr="00A657CC">
                    <w:rPr>
                      <w:b/>
                      <w:bCs/>
                    </w:rPr>
                    <w:t>Características</w:t>
                  </w:r>
                </w:p>
              </w:tc>
              <w:tc>
                <w:tcPr>
                  <w:tcW w:w="0" w:type="auto"/>
                  <w:tcBorders>
                    <w:left w:val="single" w:sz="36" w:space="0" w:color="auto"/>
                    <w:bottom w:val="single" w:sz="36" w:space="0" w:color="auto"/>
                  </w:tcBorders>
                  <w:vAlign w:val="center"/>
                  <w:hideMark/>
                </w:tcPr>
                <w:p w:rsidR="00A657CC" w:rsidRPr="00A657CC" w:rsidRDefault="00A657CC" w:rsidP="0037361D">
                  <w:pPr>
                    <w:rPr>
                      <w:b/>
                      <w:bCs/>
                    </w:rPr>
                  </w:pPr>
                  <w:r w:rsidRPr="00A657CC">
                    <w:rPr>
                      <w:b/>
                      <w:bCs/>
                    </w:rPr>
                    <w:t>Duración</w:t>
                  </w:r>
                </w:p>
              </w:tc>
              <w:tc>
                <w:tcPr>
                  <w:tcW w:w="0" w:type="auto"/>
                  <w:tcBorders>
                    <w:left w:val="single" w:sz="36" w:space="0" w:color="auto"/>
                    <w:bottom w:val="single" w:sz="36" w:space="0" w:color="auto"/>
                  </w:tcBorders>
                  <w:vAlign w:val="center"/>
                  <w:hideMark/>
                </w:tcPr>
                <w:p w:rsidR="00A657CC" w:rsidRPr="00A657CC" w:rsidRDefault="00A657CC" w:rsidP="0037361D">
                  <w:pPr>
                    <w:rPr>
                      <w:b/>
                      <w:bCs/>
                    </w:rPr>
                  </w:pPr>
                  <w:r w:rsidRPr="00A657CC">
                    <w:rPr>
                      <w:b/>
                      <w:bCs/>
                    </w:rPr>
                    <w:t>Prestaciones Sociales</w:t>
                  </w:r>
                </w:p>
              </w:tc>
              <w:tc>
                <w:tcPr>
                  <w:tcW w:w="0" w:type="auto"/>
                  <w:tcBorders>
                    <w:left w:val="single" w:sz="36" w:space="0" w:color="auto"/>
                    <w:bottom w:val="single" w:sz="36" w:space="0" w:color="auto"/>
                    <w:right w:val="single" w:sz="36" w:space="0" w:color="auto"/>
                  </w:tcBorders>
                  <w:vAlign w:val="center"/>
                  <w:hideMark/>
                </w:tcPr>
                <w:p w:rsidR="00A657CC" w:rsidRPr="00A657CC" w:rsidRDefault="00A657CC" w:rsidP="0037361D">
                  <w:pPr>
                    <w:rPr>
                      <w:b/>
                      <w:bCs/>
                    </w:rPr>
                  </w:pPr>
                  <w:r w:rsidRPr="00A657CC">
                    <w:rPr>
                      <w:b/>
                      <w:bCs/>
                    </w:rPr>
                    <w:t>Seguridad Social</w:t>
                  </w:r>
                </w:p>
              </w:tc>
              <w:tc>
                <w:tcPr>
                  <w:tcW w:w="0" w:type="auto"/>
                  <w:tcBorders>
                    <w:bottom w:val="single" w:sz="36" w:space="0" w:color="auto"/>
                  </w:tcBorders>
                  <w:vAlign w:val="center"/>
                  <w:hideMark/>
                </w:tcPr>
                <w:p w:rsidR="00A657CC" w:rsidRPr="00A657CC" w:rsidRDefault="00A657CC" w:rsidP="0037361D">
                  <w:pPr>
                    <w:rPr>
                      <w:b/>
                      <w:bCs/>
                    </w:rPr>
                  </w:pPr>
                  <w:r w:rsidRPr="00A657CC">
                    <w:rPr>
                      <w:b/>
                      <w:bCs/>
                    </w:rPr>
                    <w:t>Forma de pago</w:t>
                  </w:r>
                </w:p>
              </w:tc>
            </w:tr>
            <w:tr w:rsidR="007709E1" w:rsidRPr="00A657CC" w:rsidTr="007709E1">
              <w:trPr>
                <w:tblCellSpacing w:w="15" w:type="dxa"/>
              </w:trPr>
              <w:tc>
                <w:tcPr>
                  <w:tcW w:w="0" w:type="auto"/>
                  <w:vAlign w:val="center"/>
                  <w:hideMark/>
                </w:tcPr>
                <w:p w:rsidR="00A657CC" w:rsidRPr="00A657CC" w:rsidRDefault="00A657CC" w:rsidP="0037361D">
                  <w:r w:rsidRPr="00A657CC">
                    <w:rPr>
                      <w:b/>
                      <w:bCs/>
                    </w:rPr>
                    <w:t>Contrato a Término Fijo</w:t>
                  </w:r>
                </w:p>
              </w:tc>
              <w:tc>
                <w:tcPr>
                  <w:tcW w:w="0" w:type="auto"/>
                  <w:tcBorders>
                    <w:left w:val="single" w:sz="36" w:space="0" w:color="auto"/>
                  </w:tcBorders>
                  <w:vAlign w:val="center"/>
                  <w:hideMark/>
                </w:tcPr>
                <w:p w:rsidR="00A657CC" w:rsidRPr="00A657CC" w:rsidRDefault="00A657CC" w:rsidP="0037361D">
                  <w:r w:rsidRPr="00A657CC">
                    <w:t>Es un contrato con una duración establecida previamente.</w:t>
                  </w:r>
                </w:p>
              </w:tc>
              <w:tc>
                <w:tcPr>
                  <w:tcW w:w="0" w:type="auto"/>
                  <w:tcBorders>
                    <w:left w:val="single" w:sz="36" w:space="0" w:color="auto"/>
                  </w:tcBorders>
                  <w:vAlign w:val="center"/>
                  <w:hideMark/>
                </w:tcPr>
                <w:p w:rsidR="00A657CC" w:rsidRPr="00A657CC" w:rsidRDefault="00A657CC" w:rsidP="0037361D">
                  <w:r w:rsidRPr="00A657CC">
                    <w:t xml:space="preserve">Se debe firmar por escrito, su renovación debe ser expresa y no </w:t>
                  </w:r>
                  <w:r w:rsidRPr="00A657CC">
                    <w:lastRenderedPageBreak/>
                    <w:t>puede superar los 3 años.</w:t>
                  </w:r>
                </w:p>
              </w:tc>
              <w:tc>
                <w:tcPr>
                  <w:tcW w:w="0" w:type="auto"/>
                  <w:tcBorders>
                    <w:left w:val="single" w:sz="36" w:space="0" w:color="auto"/>
                  </w:tcBorders>
                  <w:vAlign w:val="center"/>
                  <w:hideMark/>
                </w:tcPr>
                <w:p w:rsidR="00A657CC" w:rsidRPr="00A657CC" w:rsidRDefault="00A657CC" w:rsidP="0037361D">
                  <w:r w:rsidRPr="00A657CC">
                    <w:lastRenderedPageBreak/>
                    <w:t>Hasta 3 años, renovable.</w:t>
                  </w:r>
                </w:p>
              </w:tc>
              <w:tc>
                <w:tcPr>
                  <w:tcW w:w="0" w:type="auto"/>
                  <w:tcBorders>
                    <w:left w:val="single" w:sz="36" w:space="0" w:color="auto"/>
                  </w:tcBorders>
                  <w:vAlign w:val="center"/>
                  <w:hideMark/>
                </w:tcPr>
                <w:p w:rsidR="00A657CC" w:rsidRPr="00A657CC" w:rsidRDefault="00A657CC" w:rsidP="0037361D">
                  <w:r w:rsidRPr="00A657CC">
                    <w:t xml:space="preserve">Sí. Cesantías, intereses de cesantías, </w:t>
                  </w:r>
                  <w:r w:rsidRPr="00A657CC">
                    <w:lastRenderedPageBreak/>
                    <w:t>prima, vacaciones.</w:t>
                  </w:r>
                </w:p>
              </w:tc>
              <w:tc>
                <w:tcPr>
                  <w:tcW w:w="0" w:type="auto"/>
                  <w:tcBorders>
                    <w:left w:val="single" w:sz="36" w:space="0" w:color="auto"/>
                    <w:right w:val="single" w:sz="36" w:space="0" w:color="auto"/>
                  </w:tcBorders>
                  <w:vAlign w:val="center"/>
                  <w:hideMark/>
                </w:tcPr>
                <w:p w:rsidR="00A657CC" w:rsidRPr="00A657CC" w:rsidRDefault="00A657CC" w:rsidP="0037361D">
                  <w:r w:rsidRPr="00A657CC">
                    <w:lastRenderedPageBreak/>
                    <w:t>Sí. Salud, pensión, ARL.</w:t>
                  </w:r>
                </w:p>
              </w:tc>
              <w:tc>
                <w:tcPr>
                  <w:tcW w:w="0" w:type="auto"/>
                  <w:tcBorders>
                    <w:left w:val="single" w:sz="36" w:space="0" w:color="auto"/>
                  </w:tcBorders>
                  <w:vAlign w:val="center"/>
                  <w:hideMark/>
                </w:tcPr>
                <w:p w:rsidR="00A657CC" w:rsidRPr="00A657CC" w:rsidRDefault="00A657CC" w:rsidP="0037361D">
                  <w:r w:rsidRPr="00A657CC">
                    <w:t>Salario fijo, comisión, bonificaciones.</w:t>
                  </w:r>
                </w:p>
              </w:tc>
            </w:tr>
            <w:tr w:rsidR="007709E1" w:rsidRPr="00A657CC" w:rsidTr="007709E1">
              <w:trPr>
                <w:tblCellSpacing w:w="15" w:type="dxa"/>
              </w:trPr>
              <w:tc>
                <w:tcPr>
                  <w:tcW w:w="0" w:type="auto"/>
                  <w:tcBorders>
                    <w:top w:val="single" w:sz="36" w:space="0" w:color="auto"/>
                  </w:tcBorders>
                  <w:vAlign w:val="center"/>
                  <w:hideMark/>
                </w:tcPr>
                <w:p w:rsidR="00A657CC" w:rsidRPr="00A657CC" w:rsidRDefault="00A657CC" w:rsidP="0037361D">
                  <w:r w:rsidRPr="00A657CC">
                    <w:rPr>
                      <w:b/>
                      <w:bCs/>
                    </w:rPr>
                    <w:t>Contrato a Término Indefinido</w:t>
                  </w:r>
                </w:p>
              </w:tc>
              <w:tc>
                <w:tcPr>
                  <w:tcW w:w="0" w:type="auto"/>
                  <w:tcBorders>
                    <w:top w:val="single" w:sz="36" w:space="0" w:color="auto"/>
                    <w:left w:val="single" w:sz="36" w:space="0" w:color="auto"/>
                  </w:tcBorders>
                  <w:vAlign w:val="center"/>
                  <w:hideMark/>
                </w:tcPr>
                <w:p w:rsidR="00A657CC" w:rsidRPr="00A657CC" w:rsidRDefault="00A657CC" w:rsidP="0037361D">
                  <w:r w:rsidRPr="00A657CC">
                    <w:t>No tiene una fecha de finalización establecida.</w:t>
                  </w:r>
                </w:p>
              </w:tc>
              <w:tc>
                <w:tcPr>
                  <w:tcW w:w="0" w:type="auto"/>
                  <w:tcBorders>
                    <w:top w:val="single" w:sz="36" w:space="0" w:color="auto"/>
                    <w:left w:val="single" w:sz="36" w:space="0" w:color="auto"/>
                  </w:tcBorders>
                  <w:vAlign w:val="center"/>
                  <w:hideMark/>
                </w:tcPr>
                <w:p w:rsidR="00A657CC" w:rsidRPr="00A657CC" w:rsidRDefault="00A657CC" w:rsidP="0037361D">
                  <w:r w:rsidRPr="00A657CC">
                    <w:t>Permite estabilidad laboral, se termina con justa causa o indemnización.</w:t>
                  </w:r>
                </w:p>
              </w:tc>
              <w:tc>
                <w:tcPr>
                  <w:tcW w:w="0" w:type="auto"/>
                  <w:tcBorders>
                    <w:top w:val="single" w:sz="36" w:space="0" w:color="auto"/>
                    <w:left w:val="single" w:sz="36" w:space="0" w:color="auto"/>
                  </w:tcBorders>
                  <w:vAlign w:val="center"/>
                  <w:hideMark/>
                </w:tcPr>
                <w:p w:rsidR="00A657CC" w:rsidRPr="00A657CC" w:rsidRDefault="00A657CC" w:rsidP="0037361D">
                  <w:r w:rsidRPr="00A657CC">
                    <w:t>Indefinido hasta que una de las partes lo termine.</w:t>
                  </w:r>
                </w:p>
              </w:tc>
              <w:tc>
                <w:tcPr>
                  <w:tcW w:w="0" w:type="auto"/>
                  <w:tcBorders>
                    <w:top w:val="single" w:sz="36" w:space="0" w:color="auto"/>
                    <w:left w:val="single" w:sz="36" w:space="0" w:color="auto"/>
                  </w:tcBorders>
                  <w:vAlign w:val="center"/>
                  <w:hideMark/>
                </w:tcPr>
                <w:p w:rsidR="00A657CC" w:rsidRPr="00A657CC" w:rsidRDefault="00A657CC" w:rsidP="0037361D">
                  <w:r w:rsidRPr="00A657CC">
                    <w:t>Sí. Cesantías, intereses de cesantías, prima, vacaciones.</w:t>
                  </w:r>
                </w:p>
              </w:tc>
              <w:tc>
                <w:tcPr>
                  <w:tcW w:w="0" w:type="auto"/>
                  <w:tcBorders>
                    <w:top w:val="single" w:sz="36" w:space="0" w:color="auto"/>
                    <w:left w:val="single" w:sz="36" w:space="0" w:color="auto"/>
                  </w:tcBorders>
                  <w:vAlign w:val="center"/>
                  <w:hideMark/>
                </w:tcPr>
                <w:p w:rsidR="00A657CC" w:rsidRPr="00A657CC" w:rsidRDefault="00A657CC" w:rsidP="0037361D">
                  <w:r w:rsidRPr="00A657CC">
                    <w:t>Sí. Salud, pensión, ARL.</w:t>
                  </w:r>
                </w:p>
              </w:tc>
              <w:tc>
                <w:tcPr>
                  <w:tcW w:w="0" w:type="auto"/>
                  <w:tcBorders>
                    <w:top w:val="single" w:sz="36" w:space="0" w:color="auto"/>
                    <w:left w:val="single" w:sz="36" w:space="0" w:color="auto"/>
                  </w:tcBorders>
                  <w:vAlign w:val="center"/>
                  <w:hideMark/>
                </w:tcPr>
                <w:p w:rsidR="00A657CC" w:rsidRPr="00A657CC" w:rsidRDefault="00A657CC" w:rsidP="0037361D">
                  <w:r w:rsidRPr="00A657CC">
                    <w:t>Salario fijo, comisión, bonificaciones.</w:t>
                  </w:r>
                </w:p>
              </w:tc>
            </w:tr>
            <w:tr w:rsidR="007709E1" w:rsidRPr="00A657CC" w:rsidTr="007709E1">
              <w:trPr>
                <w:tblCellSpacing w:w="15" w:type="dxa"/>
              </w:trPr>
              <w:tc>
                <w:tcPr>
                  <w:tcW w:w="0" w:type="auto"/>
                  <w:tcBorders>
                    <w:top w:val="single" w:sz="36" w:space="0" w:color="auto"/>
                    <w:bottom w:val="single" w:sz="36" w:space="0" w:color="auto"/>
                  </w:tcBorders>
                  <w:vAlign w:val="center"/>
                  <w:hideMark/>
                </w:tcPr>
                <w:p w:rsidR="00A657CC" w:rsidRPr="00A657CC" w:rsidRDefault="00A657CC" w:rsidP="0037361D">
                  <w:r w:rsidRPr="00A657CC">
                    <w:rPr>
                      <w:b/>
                      <w:bCs/>
                    </w:rPr>
                    <w:t>Contrato de Obra o Labor</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Finaliza cuando se completa la obra o actividad contratada.</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Se ejecuta para una tarea específica.</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Hasta que termine la obra o labor.</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Sí. Cesantías, intereses de cesantías, prima, vacaciones.</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Sí. Salud, pensión, ARL.</w:t>
                  </w:r>
                </w:p>
              </w:tc>
              <w:tc>
                <w:tcPr>
                  <w:tcW w:w="0" w:type="auto"/>
                  <w:tcBorders>
                    <w:top w:val="single" w:sz="36" w:space="0" w:color="auto"/>
                    <w:left w:val="single" w:sz="36" w:space="0" w:color="auto"/>
                    <w:bottom w:val="single" w:sz="36" w:space="0" w:color="auto"/>
                  </w:tcBorders>
                  <w:vAlign w:val="center"/>
                  <w:hideMark/>
                </w:tcPr>
                <w:p w:rsidR="00A657CC" w:rsidRPr="00A657CC" w:rsidRDefault="00A657CC" w:rsidP="0037361D">
                  <w:r w:rsidRPr="00A657CC">
                    <w:t>Salario fijo, comisión, bonificaciones.</w:t>
                  </w:r>
                </w:p>
              </w:tc>
            </w:tr>
            <w:tr w:rsidR="007709E1" w:rsidRPr="00A657CC" w:rsidTr="007709E1">
              <w:trPr>
                <w:tblCellSpacing w:w="15" w:type="dxa"/>
              </w:trPr>
              <w:tc>
                <w:tcPr>
                  <w:tcW w:w="0" w:type="auto"/>
                  <w:vAlign w:val="center"/>
                  <w:hideMark/>
                </w:tcPr>
                <w:p w:rsidR="00A657CC" w:rsidRPr="00A657CC" w:rsidRDefault="00A657CC" w:rsidP="0037361D">
                  <w:r w:rsidRPr="00A657CC">
                    <w:rPr>
                      <w:b/>
                      <w:bCs/>
                    </w:rPr>
                    <w:t>Contrato Ocasional o Circunstancial</w:t>
                  </w:r>
                </w:p>
              </w:tc>
              <w:tc>
                <w:tcPr>
                  <w:tcW w:w="0" w:type="auto"/>
                  <w:tcBorders>
                    <w:left w:val="single" w:sz="36" w:space="0" w:color="auto"/>
                  </w:tcBorders>
                  <w:vAlign w:val="center"/>
                  <w:hideMark/>
                </w:tcPr>
                <w:p w:rsidR="00A657CC" w:rsidRPr="00A657CC" w:rsidRDefault="00A657CC" w:rsidP="0037361D">
                  <w:r w:rsidRPr="00A657CC">
                    <w:t>Se usa para trabajos temporales o extraordinarios.</w:t>
                  </w:r>
                </w:p>
              </w:tc>
              <w:tc>
                <w:tcPr>
                  <w:tcW w:w="0" w:type="auto"/>
                  <w:tcBorders>
                    <w:left w:val="single" w:sz="36" w:space="0" w:color="auto"/>
                  </w:tcBorders>
                  <w:vAlign w:val="center"/>
                  <w:hideMark/>
                </w:tcPr>
                <w:p w:rsidR="00A657CC" w:rsidRPr="00A657CC" w:rsidRDefault="00A657CC" w:rsidP="0037361D">
                  <w:r w:rsidRPr="00A657CC">
                    <w:t>No puede superar 30 días.</w:t>
                  </w:r>
                </w:p>
              </w:tc>
              <w:tc>
                <w:tcPr>
                  <w:tcW w:w="0" w:type="auto"/>
                  <w:tcBorders>
                    <w:left w:val="single" w:sz="36" w:space="0" w:color="auto"/>
                  </w:tcBorders>
                  <w:vAlign w:val="center"/>
                  <w:hideMark/>
                </w:tcPr>
                <w:p w:rsidR="00A657CC" w:rsidRPr="00A657CC" w:rsidRDefault="00A657CC" w:rsidP="0037361D">
                  <w:r w:rsidRPr="00A657CC">
                    <w:t>Máximo 30 días.</w:t>
                  </w:r>
                </w:p>
              </w:tc>
              <w:tc>
                <w:tcPr>
                  <w:tcW w:w="0" w:type="auto"/>
                  <w:tcBorders>
                    <w:left w:val="single" w:sz="36" w:space="0" w:color="auto"/>
                  </w:tcBorders>
                  <w:vAlign w:val="center"/>
                  <w:hideMark/>
                </w:tcPr>
                <w:p w:rsidR="00A657CC" w:rsidRPr="00A657CC" w:rsidRDefault="00A657CC" w:rsidP="0037361D">
                  <w:r w:rsidRPr="00A657CC">
                    <w:t>Sí. Cesantías, intereses de cesantías, prima, vacaciones.</w:t>
                  </w:r>
                </w:p>
              </w:tc>
              <w:tc>
                <w:tcPr>
                  <w:tcW w:w="0" w:type="auto"/>
                  <w:tcBorders>
                    <w:left w:val="single" w:sz="36" w:space="0" w:color="auto"/>
                  </w:tcBorders>
                  <w:vAlign w:val="center"/>
                  <w:hideMark/>
                </w:tcPr>
                <w:p w:rsidR="00A657CC" w:rsidRPr="00A657CC" w:rsidRDefault="00A657CC" w:rsidP="0037361D">
                  <w:r w:rsidRPr="00A657CC">
                    <w:t>Sí. Salud, pensión, ARL.</w:t>
                  </w:r>
                </w:p>
              </w:tc>
              <w:tc>
                <w:tcPr>
                  <w:tcW w:w="0" w:type="auto"/>
                  <w:tcBorders>
                    <w:left w:val="single" w:sz="36" w:space="0" w:color="auto"/>
                  </w:tcBorders>
                  <w:vAlign w:val="center"/>
                  <w:hideMark/>
                </w:tcPr>
                <w:p w:rsidR="00A657CC" w:rsidRPr="00A657CC" w:rsidRDefault="00A657CC" w:rsidP="0037361D">
                  <w:r w:rsidRPr="00A657CC">
                    <w:t>Salario fijo, propinas.</w:t>
                  </w:r>
                </w:p>
              </w:tc>
            </w:tr>
            <w:tr w:rsidR="007709E1" w:rsidRPr="00A657CC" w:rsidTr="007709E1">
              <w:trPr>
                <w:tblCellSpacing w:w="15" w:type="dxa"/>
              </w:trPr>
              <w:tc>
                <w:tcPr>
                  <w:tcW w:w="0" w:type="auto"/>
                  <w:tcBorders>
                    <w:top w:val="single" w:sz="36" w:space="0" w:color="auto"/>
                  </w:tcBorders>
                  <w:vAlign w:val="center"/>
                  <w:hideMark/>
                </w:tcPr>
                <w:p w:rsidR="00A657CC" w:rsidRPr="00A657CC" w:rsidRDefault="00A657CC" w:rsidP="0037361D">
                  <w:r w:rsidRPr="00A657CC">
                    <w:rPr>
                      <w:b/>
                      <w:bCs/>
                    </w:rPr>
                    <w:t>Contrato de Aprendizaje</w:t>
                  </w:r>
                </w:p>
              </w:tc>
              <w:tc>
                <w:tcPr>
                  <w:tcW w:w="0" w:type="auto"/>
                  <w:tcBorders>
                    <w:top w:val="single" w:sz="36" w:space="0" w:color="auto"/>
                    <w:left w:val="single" w:sz="36" w:space="0" w:color="auto"/>
                  </w:tcBorders>
                  <w:vAlign w:val="center"/>
                  <w:hideMark/>
                </w:tcPr>
                <w:p w:rsidR="00A657CC" w:rsidRPr="00A657CC" w:rsidRDefault="00A657CC" w:rsidP="0037361D">
                  <w:r w:rsidRPr="00A657CC">
                    <w:t>Formación teórica-práctica de aprendices.</w:t>
                  </w:r>
                </w:p>
              </w:tc>
              <w:tc>
                <w:tcPr>
                  <w:tcW w:w="0" w:type="auto"/>
                  <w:tcBorders>
                    <w:top w:val="single" w:sz="36" w:space="0" w:color="auto"/>
                    <w:left w:val="single" w:sz="36" w:space="0" w:color="auto"/>
                  </w:tcBorders>
                  <w:vAlign w:val="center"/>
                  <w:hideMark/>
                </w:tcPr>
                <w:p w:rsidR="00A657CC" w:rsidRPr="00A657CC" w:rsidRDefault="00A657CC" w:rsidP="0037361D">
                  <w:r w:rsidRPr="00A657CC">
                    <w:t>No genera relación laboral, es un contrato de formación.</w:t>
                  </w:r>
                </w:p>
              </w:tc>
              <w:tc>
                <w:tcPr>
                  <w:tcW w:w="0" w:type="auto"/>
                  <w:tcBorders>
                    <w:top w:val="single" w:sz="36" w:space="0" w:color="auto"/>
                    <w:left w:val="single" w:sz="36" w:space="0" w:color="auto"/>
                  </w:tcBorders>
                  <w:vAlign w:val="center"/>
                  <w:hideMark/>
                </w:tcPr>
                <w:p w:rsidR="00A657CC" w:rsidRPr="00A657CC" w:rsidRDefault="00A657CC" w:rsidP="0037361D">
                  <w:r w:rsidRPr="00A657CC">
                    <w:t>Máximo 2 años.</w:t>
                  </w:r>
                </w:p>
              </w:tc>
              <w:tc>
                <w:tcPr>
                  <w:tcW w:w="0" w:type="auto"/>
                  <w:tcBorders>
                    <w:top w:val="single" w:sz="36" w:space="0" w:color="auto"/>
                    <w:left w:val="single" w:sz="36" w:space="0" w:color="auto"/>
                  </w:tcBorders>
                  <w:vAlign w:val="center"/>
                  <w:hideMark/>
                </w:tcPr>
                <w:p w:rsidR="00A657CC" w:rsidRPr="00A657CC" w:rsidRDefault="00A657CC" w:rsidP="0037361D">
                  <w:r w:rsidRPr="00A657CC">
                    <w:t>No. Solo auxilio de sostenimiento.</w:t>
                  </w:r>
                </w:p>
              </w:tc>
              <w:tc>
                <w:tcPr>
                  <w:tcW w:w="0" w:type="auto"/>
                  <w:tcBorders>
                    <w:top w:val="single" w:sz="36" w:space="0" w:color="auto"/>
                    <w:left w:val="single" w:sz="36" w:space="0" w:color="auto"/>
                  </w:tcBorders>
                  <w:vAlign w:val="center"/>
                  <w:hideMark/>
                </w:tcPr>
                <w:p w:rsidR="00A657CC" w:rsidRPr="00A657CC" w:rsidRDefault="00A657CC" w:rsidP="0037361D">
                  <w:r w:rsidRPr="00A657CC">
                    <w:t>Sí. Salud y ARL, no cotiza pensión.</w:t>
                  </w:r>
                </w:p>
              </w:tc>
              <w:tc>
                <w:tcPr>
                  <w:tcW w:w="0" w:type="auto"/>
                  <w:tcBorders>
                    <w:top w:val="single" w:sz="36" w:space="0" w:color="auto"/>
                    <w:left w:val="single" w:sz="36" w:space="0" w:color="auto"/>
                  </w:tcBorders>
                  <w:vAlign w:val="center"/>
                  <w:hideMark/>
                </w:tcPr>
                <w:p w:rsidR="00A657CC" w:rsidRPr="00A657CC" w:rsidRDefault="00A657CC" w:rsidP="0037361D">
                  <w:r w:rsidRPr="00A657CC">
                    <w:t>Cuota de sostenimiento.</w:t>
                  </w:r>
                </w:p>
              </w:tc>
            </w:tr>
            <w:tr w:rsidR="007709E1" w:rsidRPr="00A657CC" w:rsidTr="007709E1">
              <w:trPr>
                <w:tblCellSpacing w:w="15" w:type="dxa"/>
              </w:trPr>
              <w:tc>
                <w:tcPr>
                  <w:tcW w:w="0" w:type="auto"/>
                  <w:tcBorders>
                    <w:top w:val="single" w:sz="36" w:space="0" w:color="auto"/>
                  </w:tcBorders>
                  <w:vAlign w:val="center"/>
                  <w:hideMark/>
                </w:tcPr>
                <w:p w:rsidR="00A657CC" w:rsidRPr="00A657CC" w:rsidRDefault="00A657CC" w:rsidP="0037361D">
                  <w:r w:rsidRPr="00A657CC">
                    <w:rPr>
                      <w:b/>
                      <w:bCs/>
                    </w:rPr>
                    <w:t>Contrato Civil por Prestación de Servicios (OPS)</w:t>
                  </w:r>
                </w:p>
              </w:tc>
              <w:tc>
                <w:tcPr>
                  <w:tcW w:w="0" w:type="auto"/>
                  <w:tcBorders>
                    <w:top w:val="single" w:sz="36" w:space="0" w:color="auto"/>
                    <w:left w:val="single" w:sz="36" w:space="0" w:color="auto"/>
                  </w:tcBorders>
                  <w:vAlign w:val="center"/>
                  <w:hideMark/>
                </w:tcPr>
                <w:p w:rsidR="00A657CC" w:rsidRPr="00A657CC" w:rsidRDefault="00A657CC" w:rsidP="0037361D">
                  <w:r w:rsidRPr="00A657CC">
                    <w:t>Contrato independiente para una actividad específica.</w:t>
                  </w:r>
                </w:p>
              </w:tc>
              <w:tc>
                <w:tcPr>
                  <w:tcW w:w="0" w:type="auto"/>
                  <w:tcBorders>
                    <w:top w:val="single" w:sz="36" w:space="0" w:color="auto"/>
                    <w:left w:val="single" w:sz="36" w:space="0" w:color="auto"/>
                  </w:tcBorders>
                  <w:vAlign w:val="center"/>
                  <w:hideMark/>
                </w:tcPr>
                <w:p w:rsidR="00A657CC" w:rsidRPr="00A657CC" w:rsidRDefault="00A657CC" w:rsidP="0037361D">
                  <w:r w:rsidRPr="00A657CC">
                    <w:t>No hay subordinación, no genera relación laboral.</w:t>
                  </w:r>
                </w:p>
              </w:tc>
              <w:tc>
                <w:tcPr>
                  <w:tcW w:w="0" w:type="auto"/>
                  <w:tcBorders>
                    <w:top w:val="single" w:sz="36" w:space="0" w:color="auto"/>
                    <w:left w:val="single" w:sz="36" w:space="0" w:color="auto"/>
                  </w:tcBorders>
                  <w:vAlign w:val="center"/>
                  <w:hideMark/>
                </w:tcPr>
                <w:p w:rsidR="00A657CC" w:rsidRPr="00A657CC" w:rsidRDefault="00A657CC" w:rsidP="0037361D">
                  <w:r w:rsidRPr="00A657CC">
                    <w:t>Según el acuerdo entre las partes.</w:t>
                  </w:r>
                </w:p>
              </w:tc>
              <w:tc>
                <w:tcPr>
                  <w:tcW w:w="0" w:type="auto"/>
                  <w:tcBorders>
                    <w:top w:val="single" w:sz="36" w:space="0" w:color="auto"/>
                    <w:left w:val="single" w:sz="36" w:space="0" w:color="auto"/>
                  </w:tcBorders>
                  <w:vAlign w:val="center"/>
                  <w:hideMark/>
                </w:tcPr>
                <w:p w:rsidR="00A657CC" w:rsidRPr="00A657CC" w:rsidRDefault="00A657CC" w:rsidP="0037361D">
                  <w:r w:rsidRPr="00A657CC">
                    <w:t>No tiene prestaciones sociales.</w:t>
                  </w:r>
                </w:p>
              </w:tc>
              <w:tc>
                <w:tcPr>
                  <w:tcW w:w="0" w:type="auto"/>
                  <w:tcBorders>
                    <w:top w:val="single" w:sz="36" w:space="0" w:color="auto"/>
                    <w:left w:val="single" w:sz="36" w:space="0" w:color="auto"/>
                  </w:tcBorders>
                  <w:vAlign w:val="center"/>
                  <w:hideMark/>
                </w:tcPr>
                <w:p w:rsidR="00A657CC" w:rsidRPr="00A657CC" w:rsidRDefault="00A657CC" w:rsidP="0037361D">
                  <w:r w:rsidRPr="00A657CC">
                    <w:t>Debe pagar salud, pensión y ARL como independiente.</w:t>
                  </w:r>
                </w:p>
              </w:tc>
              <w:tc>
                <w:tcPr>
                  <w:tcW w:w="0" w:type="auto"/>
                  <w:tcBorders>
                    <w:top w:val="single" w:sz="36" w:space="0" w:color="auto"/>
                    <w:left w:val="single" w:sz="36" w:space="0" w:color="auto"/>
                  </w:tcBorders>
                  <w:vAlign w:val="center"/>
                  <w:hideMark/>
                </w:tcPr>
                <w:p w:rsidR="00A657CC" w:rsidRPr="00A657CC" w:rsidRDefault="00A657CC" w:rsidP="0037361D">
                  <w:r w:rsidRPr="00A657CC">
                    <w:t>Honorarios.</w:t>
                  </w:r>
                </w:p>
              </w:tc>
            </w:tr>
          </w:tbl>
          <w:p w:rsidR="00A657CC" w:rsidRDefault="00A657CC"/>
        </w:tc>
      </w:tr>
    </w:tbl>
    <w:p w:rsidR="00E44407" w:rsidRDefault="00E44407" w:rsidP="00E44407"/>
    <w:p w:rsidR="00E44407" w:rsidRDefault="00E44407" w:rsidP="00E44407"/>
    <w:p w:rsidR="00E44407" w:rsidRPr="00E44407" w:rsidRDefault="00E44407" w:rsidP="00E44407"/>
    <w:sectPr w:rsidR="00E44407" w:rsidRPr="00E444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8243C"/>
    <w:multiLevelType w:val="multilevel"/>
    <w:tmpl w:val="91A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03406"/>
    <w:multiLevelType w:val="multilevel"/>
    <w:tmpl w:val="2EE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844D8"/>
    <w:multiLevelType w:val="multilevel"/>
    <w:tmpl w:val="B2C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10891">
    <w:abstractNumId w:val="2"/>
  </w:num>
  <w:num w:numId="2" w16cid:durableId="1234393756">
    <w:abstractNumId w:val="0"/>
  </w:num>
  <w:num w:numId="3" w16cid:durableId="8796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07"/>
    <w:rsid w:val="00047862"/>
    <w:rsid w:val="0034438B"/>
    <w:rsid w:val="004E066B"/>
    <w:rsid w:val="007709E1"/>
    <w:rsid w:val="00885E4B"/>
    <w:rsid w:val="00905F37"/>
    <w:rsid w:val="00A657CC"/>
    <w:rsid w:val="00B56E9A"/>
    <w:rsid w:val="00E444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5AD7"/>
  <w15:chartTrackingRefBased/>
  <w15:docId w15:val="{C0FD80F8-2D02-4436-85F6-85BB8B8C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4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44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4440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4440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4440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444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44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44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44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4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444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4440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4440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4440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444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44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44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4407"/>
    <w:rPr>
      <w:rFonts w:eastAsiaTheme="majorEastAsia" w:cstheme="majorBidi"/>
      <w:color w:val="272727" w:themeColor="text1" w:themeTint="D8"/>
    </w:rPr>
  </w:style>
  <w:style w:type="paragraph" w:styleId="Ttulo">
    <w:name w:val="Title"/>
    <w:basedOn w:val="Normal"/>
    <w:next w:val="Normal"/>
    <w:link w:val="TtuloCar"/>
    <w:uiPriority w:val="10"/>
    <w:qFormat/>
    <w:rsid w:val="00E44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44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44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44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4407"/>
    <w:pPr>
      <w:spacing w:before="160"/>
      <w:jc w:val="center"/>
    </w:pPr>
    <w:rPr>
      <w:i/>
      <w:iCs/>
      <w:color w:val="404040" w:themeColor="text1" w:themeTint="BF"/>
    </w:rPr>
  </w:style>
  <w:style w:type="character" w:customStyle="1" w:styleId="CitaCar">
    <w:name w:val="Cita Car"/>
    <w:basedOn w:val="Fuentedeprrafopredeter"/>
    <w:link w:val="Cita"/>
    <w:uiPriority w:val="29"/>
    <w:rsid w:val="00E44407"/>
    <w:rPr>
      <w:i/>
      <w:iCs/>
      <w:color w:val="404040" w:themeColor="text1" w:themeTint="BF"/>
    </w:rPr>
  </w:style>
  <w:style w:type="paragraph" w:styleId="Prrafodelista">
    <w:name w:val="List Paragraph"/>
    <w:basedOn w:val="Normal"/>
    <w:uiPriority w:val="34"/>
    <w:qFormat/>
    <w:rsid w:val="00E44407"/>
    <w:pPr>
      <w:ind w:left="720"/>
      <w:contextualSpacing/>
    </w:pPr>
  </w:style>
  <w:style w:type="character" w:styleId="nfasisintenso">
    <w:name w:val="Intense Emphasis"/>
    <w:basedOn w:val="Fuentedeprrafopredeter"/>
    <w:uiPriority w:val="21"/>
    <w:qFormat/>
    <w:rsid w:val="00E44407"/>
    <w:rPr>
      <w:i/>
      <w:iCs/>
      <w:color w:val="2F5496" w:themeColor="accent1" w:themeShade="BF"/>
    </w:rPr>
  </w:style>
  <w:style w:type="paragraph" w:styleId="Citadestacada">
    <w:name w:val="Intense Quote"/>
    <w:basedOn w:val="Normal"/>
    <w:next w:val="Normal"/>
    <w:link w:val="CitadestacadaCar"/>
    <w:uiPriority w:val="30"/>
    <w:qFormat/>
    <w:rsid w:val="00E44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44407"/>
    <w:rPr>
      <w:i/>
      <w:iCs/>
      <w:color w:val="2F5496" w:themeColor="accent1" w:themeShade="BF"/>
    </w:rPr>
  </w:style>
  <w:style w:type="character" w:styleId="Referenciaintensa">
    <w:name w:val="Intense Reference"/>
    <w:basedOn w:val="Fuentedeprrafopredeter"/>
    <w:uiPriority w:val="32"/>
    <w:qFormat/>
    <w:rsid w:val="00E44407"/>
    <w:rPr>
      <w:b/>
      <w:bCs/>
      <w:smallCaps/>
      <w:color w:val="2F5496" w:themeColor="accent1" w:themeShade="BF"/>
      <w:spacing w:val="5"/>
    </w:rPr>
  </w:style>
  <w:style w:type="character" w:styleId="Textoennegrita">
    <w:name w:val="Strong"/>
    <w:basedOn w:val="Fuentedeprrafopredeter"/>
    <w:uiPriority w:val="22"/>
    <w:qFormat/>
    <w:rsid w:val="00E44407"/>
    <w:rPr>
      <w:b/>
      <w:bCs/>
    </w:rPr>
  </w:style>
  <w:style w:type="table" w:styleId="Tablaconcuadrcula">
    <w:name w:val="Table Grid"/>
    <w:basedOn w:val="Tablanormal"/>
    <w:uiPriority w:val="39"/>
    <w:rsid w:val="00A6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30317">
      <w:bodyDiv w:val="1"/>
      <w:marLeft w:val="0"/>
      <w:marRight w:val="0"/>
      <w:marTop w:val="0"/>
      <w:marBottom w:val="0"/>
      <w:divBdr>
        <w:top w:val="none" w:sz="0" w:space="0" w:color="auto"/>
        <w:left w:val="none" w:sz="0" w:space="0" w:color="auto"/>
        <w:bottom w:val="none" w:sz="0" w:space="0" w:color="auto"/>
        <w:right w:val="none" w:sz="0" w:space="0" w:color="auto"/>
      </w:divBdr>
    </w:div>
    <w:div w:id="240221629">
      <w:bodyDiv w:val="1"/>
      <w:marLeft w:val="0"/>
      <w:marRight w:val="0"/>
      <w:marTop w:val="0"/>
      <w:marBottom w:val="0"/>
      <w:divBdr>
        <w:top w:val="none" w:sz="0" w:space="0" w:color="auto"/>
        <w:left w:val="none" w:sz="0" w:space="0" w:color="auto"/>
        <w:bottom w:val="none" w:sz="0" w:space="0" w:color="auto"/>
        <w:right w:val="none" w:sz="0" w:space="0" w:color="auto"/>
      </w:divBdr>
    </w:div>
    <w:div w:id="658079168">
      <w:bodyDiv w:val="1"/>
      <w:marLeft w:val="0"/>
      <w:marRight w:val="0"/>
      <w:marTop w:val="0"/>
      <w:marBottom w:val="0"/>
      <w:divBdr>
        <w:top w:val="none" w:sz="0" w:space="0" w:color="auto"/>
        <w:left w:val="none" w:sz="0" w:space="0" w:color="auto"/>
        <w:bottom w:val="none" w:sz="0" w:space="0" w:color="auto"/>
        <w:right w:val="none" w:sz="0" w:space="0" w:color="auto"/>
      </w:divBdr>
    </w:div>
    <w:div w:id="706106474">
      <w:bodyDiv w:val="1"/>
      <w:marLeft w:val="0"/>
      <w:marRight w:val="0"/>
      <w:marTop w:val="0"/>
      <w:marBottom w:val="0"/>
      <w:divBdr>
        <w:top w:val="none" w:sz="0" w:space="0" w:color="auto"/>
        <w:left w:val="none" w:sz="0" w:space="0" w:color="auto"/>
        <w:bottom w:val="none" w:sz="0" w:space="0" w:color="auto"/>
        <w:right w:val="none" w:sz="0" w:space="0" w:color="auto"/>
      </w:divBdr>
    </w:div>
    <w:div w:id="708410248">
      <w:bodyDiv w:val="1"/>
      <w:marLeft w:val="0"/>
      <w:marRight w:val="0"/>
      <w:marTop w:val="0"/>
      <w:marBottom w:val="0"/>
      <w:divBdr>
        <w:top w:val="none" w:sz="0" w:space="0" w:color="auto"/>
        <w:left w:val="none" w:sz="0" w:space="0" w:color="auto"/>
        <w:bottom w:val="none" w:sz="0" w:space="0" w:color="auto"/>
        <w:right w:val="none" w:sz="0" w:space="0" w:color="auto"/>
      </w:divBdr>
    </w:div>
    <w:div w:id="836768957">
      <w:bodyDiv w:val="1"/>
      <w:marLeft w:val="0"/>
      <w:marRight w:val="0"/>
      <w:marTop w:val="0"/>
      <w:marBottom w:val="0"/>
      <w:divBdr>
        <w:top w:val="none" w:sz="0" w:space="0" w:color="auto"/>
        <w:left w:val="none" w:sz="0" w:space="0" w:color="auto"/>
        <w:bottom w:val="none" w:sz="0" w:space="0" w:color="auto"/>
        <w:right w:val="none" w:sz="0" w:space="0" w:color="auto"/>
      </w:divBdr>
    </w:div>
    <w:div w:id="943923206">
      <w:bodyDiv w:val="1"/>
      <w:marLeft w:val="0"/>
      <w:marRight w:val="0"/>
      <w:marTop w:val="0"/>
      <w:marBottom w:val="0"/>
      <w:divBdr>
        <w:top w:val="none" w:sz="0" w:space="0" w:color="auto"/>
        <w:left w:val="none" w:sz="0" w:space="0" w:color="auto"/>
        <w:bottom w:val="none" w:sz="0" w:space="0" w:color="auto"/>
        <w:right w:val="none" w:sz="0" w:space="0" w:color="auto"/>
      </w:divBdr>
    </w:div>
    <w:div w:id="1068990237">
      <w:bodyDiv w:val="1"/>
      <w:marLeft w:val="0"/>
      <w:marRight w:val="0"/>
      <w:marTop w:val="0"/>
      <w:marBottom w:val="0"/>
      <w:divBdr>
        <w:top w:val="none" w:sz="0" w:space="0" w:color="auto"/>
        <w:left w:val="none" w:sz="0" w:space="0" w:color="auto"/>
        <w:bottom w:val="none" w:sz="0" w:space="0" w:color="auto"/>
        <w:right w:val="none" w:sz="0" w:space="0" w:color="auto"/>
      </w:divBdr>
    </w:div>
    <w:div w:id="1433277068">
      <w:bodyDiv w:val="1"/>
      <w:marLeft w:val="0"/>
      <w:marRight w:val="0"/>
      <w:marTop w:val="0"/>
      <w:marBottom w:val="0"/>
      <w:divBdr>
        <w:top w:val="none" w:sz="0" w:space="0" w:color="auto"/>
        <w:left w:val="none" w:sz="0" w:space="0" w:color="auto"/>
        <w:bottom w:val="none" w:sz="0" w:space="0" w:color="auto"/>
        <w:right w:val="none" w:sz="0" w:space="0" w:color="auto"/>
      </w:divBdr>
    </w:div>
    <w:div w:id="1503397148">
      <w:bodyDiv w:val="1"/>
      <w:marLeft w:val="0"/>
      <w:marRight w:val="0"/>
      <w:marTop w:val="0"/>
      <w:marBottom w:val="0"/>
      <w:divBdr>
        <w:top w:val="none" w:sz="0" w:space="0" w:color="auto"/>
        <w:left w:val="none" w:sz="0" w:space="0" w:color="auto"/>
        <w:bottom w:val="none" w:sz="0" w:space="0" w:color="auto"/>
        <w:right w:val="none" w:sz="0" w:space="0" w:color="auto"/>
      </w:divBdr>
    </w:div>
    <w:div w:id="1641425336">
      <w:bodyDiv w:val="1"/>
      <w:marLeft w:val="0"/>
      <w:marRight w:val="0"/>
      <w:marTop w:val="0"/>
      <w:marBottom w:val="0"/>
      <w:divBdr>
        <w:top w:val="none" w:sz="0" w:space="0" w:color="auto"/>
        <w:left w:val="none" w:sz="0" w:space="0" w:color="auto"/>
        <w:bottom w:val="none" w:sz="0" w:space="0" w:color="auto"/>
        <w:right w:val="none" w:sz="0" w:space="0" w:color="auto"/>
      </w:divBdr>
    </w:div>
    <w:div w:id="1708094456">
      <w:bodyDiv w:val="1"/>
      <w:marLeft w:val="0"/>
      <w:marRight w:val="0"/>
      <w:marTop w:val="0"/>
      <w:marBottom w:val="0"/>
      <w:divBdr>
        <w:top w:val="none" w:sz="0" w:space="0" w:color="auto"/>
        <w:left w:val="none" w:sz="0" w:space="0" w:color="auto"/>
        <w:bottom w:val="none" w:sz="0" w:space="0" w:color="auto"/>
        <w:right w:val="none" w:sz="0" w:space="0" w:color="auto"/>
      </w:divBdr>
    </w:div>
    <w:div w:id="1813448791">
      <w:bodyDiv w:val="1"/>
      <w:marLeft w:val="0"/>
      <w:marRight w:val="0"/>
      <w:marTop w:val="0"/>
      <w:marBottom w:val="0"/>
      <w:divBdr>
        <w:top w:val="none" w:sz="0" w:space="0" w:color="auto"/>
        <w:left w:val="none" w:sz="0" w:space="0" w:color="auto"/>
        <w:bottom w:val="none" w:sz="0" w:space="0" w:color="auto"/>
        <w:right w:val="none" w:sz="0" w:space="0" w:color="auto"/>
      </w:divBdr>
    </w:div>
    <w:div w:id="1899516084">
      <w:bodyDiv w:val="1"/>
      <w:marLeft w:val="0"/>
      <w:marRight w:val="0"/>
      <w:marTop w:val="0"/>
      <w:marBottom w:val="0"/>
      <w:divBdr>
        <w:top w:val="none" w:sz="0" w:space="0" w:color="auto"/>
        <w:left w:val="none" w:sz="0" w:space="0" w:color="auto"/>
        <w:bottom w:val="none" w:sz="0" w:space="0" w:color="auto"/>
        <w:right w:val="none" w:sz="0" w:space="0" w:color="auto"/>
      </w:divBdr>
    </w:div>
    <w:div w:id="21473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ZAMBRANO</dc:creator>
  <cp:keywords/>
  <dc:description/>
  <cp:lastModifiedBy>JOHAN ZAMBRANO</cp:lastModifiedBy>
  <cp:revision>1</cp:revision>
  <dcterms:created xsi:type="dcterms:W3CDTF">2025-04-03T21:23:00Z</dcterms:created>
  <dcterms:modified xsi:type="dcterms:W3CDTF">2025-04-03T21:47:00Z</dcterms:modified>
</cp:coreProperties>
</file>