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Informe: Normativas de Calidad de Software en Colombia y en la aplicación de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Empresa Aceicar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1. Introducción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Este informe presenta un análisis de las principales normas de calidad de software y leyes colombianas aplicables al desarrollo de sistemas, con un enfoque práctico orientado a la empresa Aceicar, dedicada al cambio y venta de aceites automotrices. Se destaca cómo estas normativas pueden implementarse para garantizar la calidad, seguridad y legalidad del sistema de facturación electrónica que dicha empresa está desarrollando.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2. Normas de Calidad para el Desarrollo de Software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NTC-ISO/IEC 12207Define procesos del ciclo de vida del software (desde el análisis hasta el retiro del sistema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).Aplicación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: Permite estructurar claramente cada fase del sistema de facturación de Aceicar, incluyendo diseño, desarrollo, pruebas e implementación.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NTC-ISO/IEC 15504 (SPICE)Evalúa la madurez de los procesos de desarrollo de software para lograr mejora continua. Aplicación: Se pueden auditar periódicamente los procesos del sistema para optimizar el rendimiento y detectar fallas en facturación o registro de ventas.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NTC-ISO 9001Norma general de gestión de calidad que busca la mejora continua y la satisfacción del cliente. Aplicación: Asegura que el sistema cumpla los requisitos de los usuarios y que haya retroalimentación para mejorar el servicio.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NTC-ISO/IEC 27001Especifica requisitos para sistemas de gestión de seguridad de la información. Aplicación: Se debe implementar para proteger los datos personales de clientes, como nombres, correos y vehículos.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MTP-ES-R-SW-01Modelo colombiano para la realización de pruebas de software. Aplicación: Aplicable en la fase de pruebas del sistema de Aceicar, garantizando que se detecten errores antes del despliegue.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NTC-ISO/IEC TR 9126-1Clasifica la calidad del software en funcionalidades, usabilidad, fiabilidad, eficiencia, mantenibilidad y portabilidad. Aplicación: Todas estas características fueron incluidas en los requerimientos del sistema de facturación, como seguridad, usabilidad e interoperabilidad.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3. Leyes del Marco Legal para el Desarrollo de Software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Constitución Política de Colombia (Art. 15 y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61)Protege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los datos personales y la propiedad intelectual. Aplicación: La base de datos del sistema debe proteger la información de los clientes y el software debe registrarse como propiedad de la empresa.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Ley 23 de 1982 y Decreto 1360 de 1989Regulan los derechos de autor. Aplicación: El sistema de Aceicar debe registrarse ante la Dirección Nacional de Derechos de Autor como obra de software.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Ley 1581 de 2012Protección de datos personales. Aplicación: Se debe solicitar autorización para tratar los datos de los clientes y cumplir con principios como finalidad y confidencialidad.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lastRenderedPageBreak/>
        <w:t>Ley 1341 de 2009 y Decreto 1078 de 2015Regulan el uso de TIC y servicios asociados. Aplicación: Respaldan el uso de software como herramienta para innovar, como lo hace Aceicar con la digitalización de la facturación.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Ley 527 de 1999Regula el comercio electrónico y la firma digital. Aplicación: Las facturas deben estar firmadas digitalmente para ser legalmente válidas.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Ley 1753 de 2015 y Resolución 306 de 2019Aunque se enfocan en el sector salud, establecen precedentes sobre la importancia de la interoperabilidad de software.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4. Ejemplo de Aplicación en Aceicar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Supongamos que se genera una factura por un cambio de aceite: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El sistema valida los datos del cliente (ISO 12207 + Ley 1581).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Calcula impuestos automáticamente (ISO 9126 - eficiencia).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Firma digitalmente la factura (Ley 527 + ISO 27001).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Envía por correo la factura en XML (cumpliendo con NTC-ISO/IEC 12207).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5. Conclusión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En Aceicar cumplir con las normas de calidad y leyes nacionales no solo asegura la legalidad del software, sino que también mejora su eficiencia, seguridad y aceptación por parte de los usuarios. En implementar estas normativas contribuirá a su modernización, confiabilidad y crecimiento empresarial.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4A391D" w:rsidRDefault="004A391D" w:rsidP="005605FD">
      <w:pPr>
        <w:ind w:firstLine="0"/>
      </w:pPr>
      <w:bookmarkStart w:id="0" w:name="_GoBack"/>
      <w:bookmarkEnd w:id="0"/>
    </w:p>
    <w:sectPr w:rsidR="004A39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01"/>
    <w:rsid w:val="004A391D"/>
    <w:rsid w:val="005605FD"/>
    <w:rsid w:val="0091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2A9E6"/>
  <w15:chartTrackingRefBased/>
  <w15:docId w15:val="{95737D2C-1506-4E04-9C8B-5E101297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16601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916601"/>
  </w:style>
  <w:style w:type="character" w:customStyle="1" w:styleId="eop">
    <w:name w:val="eop"/>
    <w:basedOn w:val="Fuentedeprrafopredeter"/>
    <w:rsid w:val="00916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8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2025-05-05T12:04:00Z</dcterms:created>
  <dcterms:modified xsi:type="dcterms:W3CDTF">2025-05-05T12:18:00Z</dcterms:modified>
</cp:coreProperties>
</file>