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r>
        <w:rPr>
          <w:b/>
        </w:rPr>
        <w:t xml:space="preserve">Versión 1.1 (30-10-2026): ajuste de calendario y objetivo específico único, pendiente de la conformidad del docente. Ver el registro de cambios antes de la sección 8.</w:t>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r>
              <w:t>Johao Ramírez</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r>
              <w:t>17.391.555-1</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r>
              <w:t>San Joaquín</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r>
              <w:t>SIRFA — Sistema de Recomendación de Fagos frente a Antibiorresistencia</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r>
              <w:t>Desarrollo de Software como área principal, con un componente de Ciencia de Datos y Analítica.</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19F1010C" w:rsidR="00D110EC" w:rsidRDefault="00D110EC" w:rsidP="14C86939">
            <w:pPr>
              <w:rPr>
                <w:b/>
                <w:bCs/>
              </w:rPr>
            </w:pPr>
            <w:r>
              <w:t>El proyecto aborda las seis competencias del perfil de egreso de la carrera:</w:t>
            </w:r>
          </w:p>
          <w:p>
            <w:r>
              <w:t>1. Diseñar y generar soluciones de software innovadoras y de calidad aplicando el ciclo de vida: el proyecto recorre el ciclo completo, desde el levantamiento de requisitos hasta el despliegue y las pruebas.</w:t>
            </w:r>
          </w:p>
          <w:p>
            <w:r>
              <w:t>2. Diseñar y generar soluciones que resuelvan requerimientos de información con bases de datos relacionales y no relacionales: PostgreSQL para el dominio transaccional (aislados, fagos, solicitudes, auditoría) y MongoDB para salidas de análisis, anotaciones y caché de representaciones vectoriales.</w:t>
            </w:r>
          </w:p>
          <w:p>
            <w:r>
              <w:t>3. Diseñar y adaptar los procesos de ingeniería de requisitos: levantamiento de requisitos funcionales y no funcionales, historias de usuario por rol y Especificación de Requisitos de Software (SRS).</w:t>
            </w:r>
          </w:p>
          <w:p>
            <w:r>
              <w:t>4. Evaluar y gestionar proyectos en contextos tradicionales y ágiles: gestión en cascada con etapas, entregables y puertas de control, Carta Gantt con tareas específicas, control de cambios y matriz de riesgos.</w:t>
            </w:r>
          </w:p>
          <w:p>
            <w:r>
              <w:t>5. Diseñar soluciones conforme a estándares y marcos regulatorios, con foco en calidad, seguridad y sostenibilidad: control de acceso por rol, registro de auditoría inmutable y anonimización por diseño, en el marco de la vigilancia de resistencia antimicrobiana del ISP y el MINSAL.</w:t>
            </w:r>
          </w:p>
          <w:p>
            <w:r>
              <w:t>6. Desarrollar proyectos de software para plataformas y dispositivos móviles: aplicación móvil complementaria de consulta de solicitudes y recepción de alertas.</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r>
              <w:t>La resistencia a los antimicrobianos es una de las principales amenazas sanitarias globales según la Organización Mundial de la Salud. Cuando una infección es causada por una bacteria resistente a los carbapenémicos —los antibióticos de último recurso— las opciones terapéuticas prácticamente se agotan. Chile tiene el problema documentado y una política pública activa: existe el Plan Nacional Contra la Resistencia a los Antimicrobianos 2021-2025 del Ministerio de Salud, y el Instituto de Salud Pública (ISP) mantiene vigilancia de carbapenemasas en enterobacterias y Pseudomonas aeruginosa desde el primer caso de Klebsiella pneumoniae productora de KPC detectado en 2012; entre 2014 y 2017 el ISP procesó 489 aislados productores de carbapenemasas, de los cuales el 58% correspondió a Klebsiella. La terapia fágica —el uso de bacteriófagos, virus que infectan y destruyen bacterias— es la alternativa emergente frente a este escenario. Su cuello de botella no es conceptual sino operacional: los fagos tienen un rango de hospedador muy estrecho, de modo que determinar cuál de los cientos de fagos conocidos puede infectar una cepa en particular requiere hoy ensayar en laboratorio uno por uno, con el costo y el tiempo que eso implica en un contexto clínico donde el paciente no puede esperar. La situación se ubica a nivel nacional, en la red de laboratorios clínicos y hospitalarios del país, y afecta a pacientes hospitalizados, en unidades de cuidados intensivos e inmunodeprimidos, que son la población más expuesta a infecciones multirresistentes. El aporte de valor del proyecto es transformar una capacidad predictiva ya demostrada en la literatura en una plataforma operable, con trazabilidad y visión agregada de cobertura terapéutica.</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r>
              <w:t>SIRFA es una plataforma web que apoya la selección de bacteriófagos candidatos frente a aislados de bacterias multirresistentes. Un laboratorio clínico registra un aislado bacteriano resistente y carga su genoma; el sistema lo procesa mediante un pipeline bioinformático (control de calidad, identificación de especie y tipificación) y un modelo de aprendizaje automático predice qué bacteriófagos de un banco curado tienen probabilidad de infectar esa cepa específica, entregando una lista priorizada de candidatos con explicación de los factores que sustentan cada predicción. Un microbiólogo revisa y valida la recomendación antes de emitirla, y un clínico solicitante puede consultarla desde la web o desde una aplicación móvil. Todo el ciclo queda trazado mediante control de acceso por rol y un registro de auditoría inmutable, exigido por tratarse de datos de origen clínico. Adicionalmente, un tablero de inteligencia de negocio muestra la cobertura del banco de fagos, las brechas terapéuticas y la evolución de la resistencia en el tiempo, como insumo de vigilancia. El foco principal es Klebsiella pneumoniae, por ser el único patógeno con un conjunto de datos público de interacciones fago-hospedador verificadas experimentalmente a nivel de cepa y, a la vez, el patógeno dominante en la vigilancia chilena de carbapenemasas. El sistema no reemplaza el ensayo de laboratorio ni el juicio clínico: prioriza computacionalmente los candidatos que vale la pena ensayar.</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r>
              <w:t>El proyecto se relaciona directamente con el perfil de egreso de Ingeniería en Informática porque su desafío central no es biológico sino de ingeniería de software: construir una plataforma completa, con múltiples perfiles de usuario, persistencia sobre bases de datos relacionales y no relacionales, integración con servicios y repositorios externos, control de acceso y trazabilidad, visualización analítica y despliegue reproducible. Las competencias seleccionadas son necesarias de forma no accesoria: sin ingeniería de requisitos no es posible modelar correctamente el flujo de solicitud, validación y emisión de recomendaciones que involucra a tres perfiles distintos; sin modelamiento de datos relacional y documental no es posible sostener a la vez el dominio transaccional y las salidas de análisis; sin diseño orientado a seguridad y estándares no sería admisible manejar información de origen clínico, que exige control de acceso y auditoría; sin gestión formal de proyecto, con etapas, entregables y puertas de control, no sería abordable un desarrollo de esta extensión en un semestre; y sin desarrollo móvil no se cubriría el escenario de consulta del profesional clínico fuera del escritorio. El dominio bioinformático aporta el problema y los datos, pero el trabajo evaluado es la construcción del sistema.</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2CB82D1" w14:textId="3C08D8AE" w:rsidR="00D110EC" w:rsidRDefault="00D110EC" w:rsidP="00C27FB0">
            <w:pPr>
              <w:jc w:val="both"/>
              <w:rPr>
                <w:rFonts w:ascii="Calibri" w:hAnsi="Calibri" w:cs="Arial"/>
                <w:i/>
                <w:color w:val="548DD4"/>
                <w:sz w:val="20"/>
                <w:szCs w:val="20"/>
                <w:lang w:eastAsia="es-CL"/>
              </w:rPr>
            </w:pPr>
            <w:r>
              <w:t>Mis intereses profesionales se orientan a la construcción de plataformas completas —sistemas que integran arquitectura, datos, servicios y seguridad— por sobre el desarrollo de componentes aislados, y dentro de eso, a la aplicación de técnicas de aprendizaje automático sobre dominios donde la decisión que apoya el sistema tiene consecuencias reales.</w:t>
            </w:r>
          </w:p>
          <w:p w14:paraId="64665DAC" w14:textId="077BFBAD" w:rsidR="00D110EC" w:rsidRPr="005142B6" w:rsidRDefault="00D110EC" w:rsidP="009D04DC">
            <w:pPr>
              <w:jc w:val="both"/>
              <w:rPr>
                <w:rFonts w:ascii="Calibri" w:hAnsi="Calibri" w:cs="Arial"/>
                <w:i/>
                <w:color w:val="548DD4"/>
                <w:sz w:val="20"/>
                <w:szCs w:val="20"/>
                <w:highlight w:val="yellow"/>
                <w:lang w:eastAsia="es-CL"/>
              </w:rPr>
            </w:pPr>
            <w:r>
              <w:rPr>
                <w:rFonts w:ascii="Calibri" w:hAnsi="Calibri" w:cs="Arial"/>
                <w:i/>
                <w:color w:val="548DD4"/>
                <w:sz w:val="20"/>
                <w:szCs w:val="20"/>
                <w:lang w:eastAsia="es-CL"/>
              </w:rPr>
              <w:t>¿Cuáles son tus intereses profesionales?  ¿Qué aspectos de tus intereses profesionales se ven reflejados en tu Proyecto APT? Realizar este Proyecto APT</w:t>
            </w:r>
            <w:r w:rsidR="00DA5CB1">
              <w:rPr>
                <w:rFonts w:ascii="Calibri" w:hAnsi="Calibri" w:cs="Arial"/>
                <w:i/>
                <w:color w:val="548DD4"/>
                <w:sz w:val="20"/>
                <w:szCs w:val="20"/>
                <w:lang w:eastAsia="es-CL"/>
              </w:rPr>
              <w:t>,</w:t>
            </w:r>
            <w:r>
              <w:rPr>
                <w:rFonts w:ascii="Calibri" w:hAnsi="Calibri" w:cs="Arial"/>
                <w:i/>
                <w:color w:val="548DD4"/>
                <w:sz w:val="20"/>
                <w:szCs w:val="20"/>
                <w:lang w:eastAsia="es-CL"/>
              </w:rPr>
              <w:t xml:space="preserve"> ¿de qué manera va a contribuir a tu desarrollo profesional? </w:t>
            </w:r>
          </w:p>
          <w:p>
            <w:r>
              <w:t>Esa definición no es teórica: a lo largo de la carrera, en los proyectos donde más aprendí fue en los que tuve que sostener el sistema completo —desde la arquitectura hasta los datos, la integración y la seguridad— y no solo una parte aislada. Eso me confirmó que lo que quiero hacer profesionalmente es construir sistemas completos y en operación, no prototipos que quedan en una demostración.</w:t>
            </w:r>
          </w:p>
          <w:p>
            <w:r>
              <w:t>En paralelo, me interesa la genética y la bioinformática como dominio de aplicación. Es un área donde los problemas son genuinamente difíciles, donde los datos públicos disponibles permiten trabajar con rigor sin necesidad de infraestructura de laboratorio, y donde el software tiene un impacto directo en la salud de las personas. Quise que mi proyecto de título tuviera esa dimensión social desde el planteamiento inicial.</w:t>
            </w:r>
          </w:p>
          <w:p>
            <w:r>
              <w:t>SIRFA reúne ambas cosas. Por el lado técnico me exige exactamente aquello en lo que quiero especializarme: levantar requisitos sobre un proceso que involucra a varios perfiles de usuario, diseñar un modelo de datos que sostenga tanto el dominio transaccional como las salidas de análisis, integrar fuentes externas heterogéneas, implementar control de acceso y trazabilidad sobre información sensible, entrenar y evaluar un modelo predictivo con criterios de explicabilidad, y desplegar todo de forma reproducible. Por el lado del propósito, aborda la resistencia a los antimicrobianos, un problema sanitario documentado en Chile y priorizado por la política pública nacional.</w:t>
            </w:r>
          </w:p>
          <w:p>
            <w:r>
              <w:t>Desarrollar este proyecto contribuye a mi desarrollo profesional en tres frentes concretos. Primero, me obliga a trabajar con estándares que hasta ahora había aplicado de forma parcial: seguridad por diseño, auditoría, y pruebas sistemáticas como parte del ciclo y no como un paso final. Segundo, me permite pasar de consumir modelos de aprendizaje automático a entrenarlos y evaluarlos con métricas defendibles frente a la literatura, que es la brecha que quiero cerrar en mi formación. Y tercero, me deja un proyecto que puedo mostrar y explicar en profundidad, en un área —salud y datos— hacia la que quiero orientar mi ejercicio profesional después de titularme.</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r>
              <w:t>El proyecto es factible dentro del semestre por cuatro razones. Primero, todos los datos son públicos y gratuitos: INPHARED, PhageScope y MVP para el banco de fagos y las interacciones conocidas, y el conjunto de datos de interacciones verificadas de Klebsiella pneumoniae publicado en Nature Communications (2024) como base de entrenamiento y validación. Segundo, todo el stack es de código abierto (Python, FastAPI, PostgreSQL, MongoDB, Next.js, React Native, Docker), sin licencias ni costos de infraestructura obligatorios. Tercero, existe un precedente técnico validado —el trabajo PhageHostLearn— que demuestra que el enfoque predictivo funciona y entrega métricas de referencia contra las cuales comparar, lo que reduce sustantivamente el riesgo de ejecución respecto de partir de una hipótesis no probada. Cuarto, el alcance está deliberadamente acotado a un patógeno, dejando Pseudomonas aeruginosa como extensión opcional. El principal factor que podría dificultar el desarrollo es el costo computacional de generar representaciones vectoriales de proteínas, que se mitiga usando variantes reducidas del modelo y precomputando y almacenando en caché los vectores del banco una sola vez. Un segundo riesgo es la extensión del alcance para un desarrollador único, que se maneja con priorización estricta de los requisitos en la SRS —alcance congelado tras su aprobación— y acotando la aplicación móvil a consulta y alertas en lugar de replicar la plataforma.</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r>
              <w:t>Diseñar, desarrollar y evaluar una plataforma integral de apoyo a la terapia fágica frente a la antibiorresistencia, que gestione de forma trazable y segura el proceso completo —desde el registro de un aislado bacteriano multirresistente hasta la emisión de una recomendación de bacteriófagos validada por especialistas— y que entregue información agregada para la vigilancia de la resistencia antimicrobiana y la toma de decisiones en salud pública.</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 </w:t>
            </w:r>
            <w:r>
              <w:rPr>
                <w:rFonts w:ascii="Calibri" w:hAnsi="Calibri"/>
                <w:color w:val="1F3864" w:themeColor="accent1" w:themeShade="80"/>
              </w:rPr>
              <w:t>e</w:t>
            </w:r>
            <w:r w:rsidRPr="00CA22A9">
              <w:rPr>
                <w:rFonts w:ascii="Calibri" w:hAnsi="Calibri"/>
                <w:color w:val="1F3864" w:themeColor="accent1" w:themeShade="80"/>
              </w:rPr>
              <w:t>specífico</w:t>
            </w:r>
          </w:p>
        </w:tc>
        <w:tc>
          <w:tcPr>
            <w:tcW w:w="6860" w:type="dxa"/>
            <w:vAlign w:val="center"/>
          </w:tcPr>
          <w:p w14:paraId="7DE4F8FE" w14:textId="5561DC75" w:rsidR="00D110EC" w:rsidRPr="00C502A9" w:rsidRDefault="00D110EC" w:rsidP="009B74E2">
            <w:pPr>
              <w:jc w:val="both"/>
              <w:rPr>
                <w:rFonts w:ascii="Calibri" w:hAnsi="Calibri" w:cs="Arial"/>
                <w:i/>
                <w:color w:val="548DD4"/>
                <w:sz w:val="20"/>
                <w:szCs w:val="20"/>
                <w:lang w:eastAsia="es-CL"/>
              </w:rPr>
            </w:pPr>
            <w:r>
              <w:t>Especificar, construir y validar los componentes de la plataforma —pipeline genómico y banco de fagos, modelo de predicción, plataforma web con control de acceso, auditoría y tablero, y aplicación móvil complementaria— siguiendo el ciclo de vida definido y el plan de pruebas unitarias, de integración y de seguridad.</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7334030E" w:rsidR="00D110EC" w:rsidRDefault="00D110EC" w:rsidP="00C27FB0">
            <w:pPr>
              <w:jc w:val="both"/>
              <w:rPr>
                <w:rFonts w:ascii="Calibri" w:hAnsi="Calibri" w:cs="Arial"/>
                <w:i/>
                <w:color w:val="548DD4"/>
                <w:sz w:val="20"/>
                <w:szCs w:val="20"/>
                <w:lang w:eastAsia="es-CL"/>
              </w:rPr>
            </w:pPr>
            <w:r>
              <w:t>Metodología de trabajo: tradicional en cascada (modelo secuencial por etapas, desarrollador único). Se elige porque los requisitos del sistema pueden especificarse por completo desde el inicio, a partir del proceso de selección de fagos descrito en la literatura de terapia fágica, y porque el curso exige artefactos formales de ingeniería de software —especificación de requisitos, documento de diseño, plan de pruebas con evidencias y manual técnico— cuyo orden natural es el de las etapas de este modelo. Cada etapa termina en una puerta de control con un entregable aprobado antes de iniciar la siguiente, y las evaluaciones sumativas del curso (Informe de Avance en la semana 10 e Informe Final en la semana 15) coinciden con el cierre de etapas.</w:t>
            </w:r>
          </w:p>
          <w:p w14:paraId="44C1301F" w14:textId="4AB695DC" w:rsidR="00D110EC" w:rsidRPr="00A337B2" w:rsidRDefault="00D110EC" w:rsidP="00C27FB0">
            <w:pPr>
              <w:jc w:val="both"/>
              <w:rPr>
                <w:rFonts w:ascii="Calibri" w:hAnsi="Calibri" w:cs="Arial"/>
                <w:i/>
                <w:color w:val="FF0000"/>
                <w:sz w:val="18"/>
                <w:szCs w:val="20"/>
                <w:lang w:eastAsia="es-CL"/>
              </w:rPr>
            </w:pPr>
            <w:r w:rsidRPr="00711C16">
              <w:rPr>
                <w:rFonts w:ascii="Calibri" w:hAnsi="Calibri" w:cs="Arial"/>
                <w:i/>
                <w:color w:val="548DD4"/>
                <w:sz w:val="20"/>
                <w:szCs w:val="20"/>
                <w:lang w:eastAsia="es-CL"/>
              </w:rPr>
              <w:t>Cuando el proyecto a desarrollar es grupal, es necesario incorporar la definición de las funciones, tareas y responsabilidades asociadas a cada integrante del equipo.</w:t>
            </w:r>
          </w:p>
          <w:p>
            <w:r>
              <w:t>Etapa 1 — Análisis y especificación de requisitos (semanas 5–12): levantamiento de requisitos funcionales y no funcionales, definición de roles y permisos, e historias de usuario por rol. Entregable: Especificación de Requisitos de Software (SRS) simplificada. Puerta de control: SRS aprobada; los cambios posteriores se registran y se evalúan por su impacto en alcance y cronograma.</w:t>
            </w:r>
          </w:p>
          <w:p>
            <w:r>
              <w:t>Etapa 2 — Diseño (semanas 6–12): arquitectura y diagrama de componentes, modelo entidad-relación para PostgreSQL, esquema documental para MongoDB, diagramas UML (casos de uso, clases, secuencia y componentes) y plan de pruebas. Entregable: Documento de Diseño. Puerta de control: línea base de diseño congelada antes de comenzar la construcción.</w:t>
            </w:r>
          </w:p>
          <w:p>
            <w:r>
              <w:t>Etapa 3 — Construcción (semanas 8–15): implementación en orden de dependencia técnica, según el diseño aprobado: pipeline genómico y banco de fagos (semanas 8–13; el primer corte cierra con el Informe de Avance, semana 12), modelo predictivo con explicabilidad (semanas 13–14), plataforma web con control de acceso, auditoría y tablero (semanas 13–15) y aplicación móvil (semana 14). Entregable: sistema integrado sobre Docker en el repositorio público. Puerta de control: componentes integrados y ejecutándose sin pasos manuales no documentados.</w:t>
            </w:r>
          </w:p>
          <w:p>
            <w:r>
              <w:t>Etapa 4 — Pruebas y verificación (semana 15): ejecución del plan de pruebas definido en la etapa de diseño: pruebas unitarias, de integración del flujo completo de ingesta, predicción y recomendación, de extremo a extremo, de rendimiento y de seguridad sobre el control de acceso por rol y la completitud del registro de auditoría. Entregable: Plan de Pruebas con evidencias, incorporado al Informe Final. Puerta de control: defectos críticos corregidos o documentados.</w:t>
            </w:r>
          </w:p>
          <w:p>
            <w:r>
              <w:t>Etapa 5 — Despliegue y cierre (semanas 16–18): corrección de defectos, Manual técnico y de despliegue, README final del repositorio y preparación de la presentación ante comisión. Entregable: sistema desplegable y documentado.</w:t>
            </w:r>
          </w:p>
          <w:p>
            <w:r>
              <w:t>Control de cambios y riesgos: las etapas se ejecutan en secuencia, con un traslape máximo de una semana entre etapas adyacentes para ajustarse a las 18 semanas del calendario. La matriz de riesgos se revisa al cierre de cada etapa, y la reflexión de cada hito sumativo (semanas 4, 10, 15 y 18) se registra en el Diario de Reflexión de la fase correspondiente.</w:t>
            </w:r>
          </w:p>
          <w:p>
            <w:r>
              <w:t>Al tratarse de un proyecto individual, con desvinculación de equipo autorizada por el docente, no aplica la definición de funciones y responsabilidades por integrante: el autor asume la totalidad de los roles de análisis, diseño, desarrollo, pruebas y documentación.</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r>
              <w:t>Avance</w:t>
            </w:r>
          </w:p>
        </w:tc>
        <w:tc>
          <w:tcPr>
            <w:tcW w:w="1843" w:type="dxa"/>
          </w:tcPr>
          <w:p>
            <w:r>
              <w:t>Especificación de requisitos y documento de diseño</w:t>
            </w:r>
          </w:p>
        </w:tc>
        <w:tc>
          <w:tcPr>
            <w:tcW w:w="3825" w:type="dxa"/>
          </w:tcPr>
          <w:p>
            <w:r>
              <w:t>Especificación de Requisitos de Software (SRS) con requisitos funcionales, no funcionales e historias de usuario por rol; Documento de Diseño con arquitectura, modelo entidad-relación, esquema documental, diagramas UML y plan de pruebas.</w:t>
            </w:r>
          </w:p>
        </w:tc>
        <w:tc>
          <w:tcPr>
            <w:tcW w:w="2551" w:type="dxa"/>
          </w:tcPr>
          <w:p>
            <w:r>
              <w:t>Evidencia el avance del objetivo específico en su componente de especificación y diseño, y las competencias de ingeniería de requisitos y diseño de la solución.</w:t>
            </w:r>
          </w:p>
        </w:tc>
      </w:tr>
      <w:tr w:rsidR="00D110EC" w:rsidRPr="00CA29F2" w14:paraId="64910DAE" w14:textId="77777777" w:rsidTr="009D04DC">
        <w:trPr>
          <w:trHeight w:val="362"/>
        </w:trPr>
        <w:tc>
          <w:tcPr>
            <w:tcW w:w="1843" w:type="dxa"/>
          </w:tcPr>
          <w:p>
            <w:r>
              <w:t>Avance</w:t>
            </w:r>
          </w:p>
        </w:tc>
        <w:tc>
          <w:tcPr>
            <w:tcW w:w="1843" w:type="dxa"/>
          </w:tcPr>
          <w:p>
            <w:r>
              <w:t>Pipeline de procesamiento genómico y banco de fagos, dockerizados</w:t>
            </w:r>
          </w:p>
        </w:tc>
        <w:tc>
          <w:tcPr>
            <w:tcW w:w="3825" w:type="dxa"/>
          </w:tcPr>
          <w:p>
            <w:r>
              <w:t>Código fuente, Dockerfile y docker-compose, y registros de ejecución del pipeline de ingesta, control de calidad, identificación de especie y tipificación de aislados, junto con el banco de fagos poblado desde INPHARED (200 genomas de Klebsiella pneumoniae); PhageScope y MVP se suman en la semana 13.</w:t>
            </w:r>
          </w:p>
        </w:tc>
        <w:tc>
          <w:tcPr>
            <w:tcW w:w="2551" w:type="dxa"/>
          </w:tcPr>
          <w:p>
            <w:r>
              <w:t>Evidencia el avance del objetivo específico en su componente de pipeline y banco de fagos (primer corte funcional), y el estándar de reproducibilidad exigido por el Anexo 1 del Instructivo.</w:t>
            </w:r>
          </w:p>
        </w:tc>
      </w:tr>
      <w:tr w:rsidR="00D110EC" w:rsidRPr="00CA29F2" w14:paraId="76C9D9C6" w14:textId="77777777" w:rsidTr="009D04DC">
        <w:trPr>
          <w:trHeight w:val="362"/>
        </w:trPr>
        <w:tc>
          <w:tcPr>
            <w:tcW w:w="1843" w:type="dxa"/>
          </w:tcPr>
          <w:p>
            <w:r>
              <w:t>Final</w:t>
            </w:r>
          </w:p>
        </w:tc>
        <w:tc>
          <w:tcPr>
            <w:tcW w:w="1843" w:type="dxa"/>
          </w:tcPr>
          <w:p>
            <w:r>
              <w:t>Modelo de predicción de compatibilidad fago-hospedador evaluado</w:t>
            </w:r>
          </w:p>
        </w:tc>
        <w:tc>
          <w:tcPr>
            <w:tcW w:w="3825" w:type="dxa"/>
          </w:tcPr>
          <w:p>
            <w:r>
              <w:t>Código de entrenamiento y evaluación del modelo, con métricas de desempeño (razón de acierto en el top-5, AUC, sensibilidad y especificidad) comparadas contra las reportadas en la literatura, e informe de explicabilidad de las predicciones.</w:t>
            </w:r>
          </w:p>
        </w:tc>
        <w:tc>
          <w:tcPr>
            <w:tcW w:w="2551" w:type="dxa"/>
          </w:tcPr>
          <w:p>
            <w:r>
              <w:t>Evidencia el avance del objetivo específico en su componente de modelo de predicción y sustenta técnicamente la recomendación que entrega la plataforma.</w:t>
            </w:r>
          </w:p>
        </w:tc>
      </w:tr>
      <w:tr w:rsidR="00D110EC" w:rsidRPr="00CA29F2" w14:paraId="34B7F5BE" w14:textId="77777777" w:rsidTr="009D04DC">
        <w:trPr>
          <w:trHeight w:val="362"/>
        </w:trPr>
        <w:tc>
          <w:tcPr>
            <w:tcW w:w="1843" w:type="dxa"/>
          </w:tcPr>
          <w:p>
            <w:r>
              <w:t>Final</w:t>
            </w:r>
          </w:p>
        </w:tc>
        <w:tc>
          <w:tcPr>
            <w:tcW w:w="1843" w:type="dxa"/>
          </w:tcPr>
          <w:p>
            <w:r>
              <w:t>Plataforma web con control de acceso, auditoría y tablero</w:t>
            </w:r>
          </w:p>
        </w:tc>
        <w:tc>
          <w:tcPr>
            <w:tcW w:w="3825" w:type="dxa"/>
          </w:tcPr>
          <w:p>
            <w:r>
              <w:t>Aplicación web funcional con gestión del ciclo de vida de solicitudes, control de acceso por rol, registro de auditoría inmutable y tablero de cobertura del banco, brechas terapéuticas y tendencias, sobre PostgreSQL y MongoDB.</w:t>
            </w:r>
          </w:p>
        </w:tc>
        <w:tc>
          <w:tcPr>
            <w:tcW w:w="2551" w:type="dxa"/>
          </w:tcPr>
          <w:p>
            <w:r>
              <w:t>Evidencia el avance del objetivo específico en su componente de plataforma web y constituye el entregable central del proyecto.</w:t>
            </w:r>
          </w:p>
        </w:tc>
      </w:tr>
      <w:tr w:rsidR="00D110EC" w:rsidRPr="00CA29F2" w14:paraId="5A718B97" w14:textId="77777777" w:rsidTr="009D04DC">
        <w:trPr>
          <w:trHeight w:val="362"/>
        </w:trPr>
        <w:tc>
          <w:tcPr>
            <w:tcW w:w="1843" w:type="dxa"/>
          </w:tcPr>
          <w:p>
            <w:r>
              <w:t>Final</w:t>
            </w:r>
          </w:p>
        </w:tc>
        <w:tc>
          <w:tcPr>
            <w:tcW w:w="1843" w:type="dxa"/>
          </w:tcPr>
          <w:p>
            <w:r>
              <w:t>Aplicación móvil y plan de pruebas ejecutado</w:t>
            </w:r>
          </w:p>
        </w:tc>
        <w:tc>
          <w:tcPr>
            <w:tcW w:w="3825" w:type="dxa"/>
          </w:tcPr>
          <w:p>
            <w:r>
              <w:t>Aplicación móvil de consulta de solicitudes y alertas, y resultados documentados de las pruebas unitarias, de integración, de extremo a extremo y de seguridad.</w:t>
            </w:r>
          </w:p>
        </w:tc>
        <w:tc>
          <w:tcPr>
            <w:tcW w:w="2551" w:type="dxa"/>
          </w:tcPr>
          <w:p>
            <w:r>
              <w:t>Evidencia el avance del objetivo específico en sus componentes de aplicación móvil y calidad, y las competencias de desarrollo móvil y de calidad de software.</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r>
              <w:t>Ingeniería de requisitos y diseño de la solución</w:t>
            </w:r>
          </w:p>
        </w:tc>
        <w:tc>
          <w:tcPr>
            <w:tcW w:w="1580" w:type="dxa"/>
          </w:tcPr>
          <w:p>
            <w:r>
              <w:t>Etapa 1: Análisis y especificación de requisitos</w:t>
            </w:r>
          </w:p>
        </w:tc>
        <w:tc>
          <w:tcPr>
            <w:tcW w:w="1580" w:type="dxa"/>
          </w:tcPr>
          <w:p>
            <w:pPr>
              <w:spacing w:after="60"/>
            </w:pPr>
            <w:r>
              <w:rPr>
                <w:sz w:val="16"/>
              </w:rPr>
              <w:t>1.1 Crear el repositorio público, la estructura del proyecto y el entorno Docker base;</w:t>
            </w:r>
          </w:p>
          <w:p>
            <w:pPr>
              <w:spacing w:after="60"/>
            </w:pPr>
            <w:r>
              <w:rPr>
                <w:sz w:val="16"/>
              </w:rPr>
              <w:t>1.2 levantar requisitos y definir roles y permisos;</w:t>
            </w:r>
          </w:p>
          <w:p>
            <w:pPr>
              <w:spacing w:after="60"/>
            </w:pPr>
            <w:r>
              <w:rPr>
                <w:sz w:val="16"/>
              </w:rPr>
              <w:t>1.3 redactar la SRS (requisitos funcionales, no funcionales e historias por rol).</w:t>
            </w:r>
          </w:p>
        </w:tc>
        <w:tc>
          <w:tcPr>
            <w:tcW w:w="1580" w:type="dxa"/>
          </w:tcPr>
          <w:p>
            <w:r>
              <w:t>Literatura de terapia fágica, GitHub, Docker</w:t>
            </w:r>
          </w:p>
        </w:tc>
        <w:tc>
          <w:tcPr>
            <w:tcW w:w="1580" w:type="dxa"/>
            <w:tcBorders>
              <w:right w:val="single" w:sz="4" w:space="0" w:color="FFFFFF" w:themeColor="background1"/>
            </w:tcBorders>
          </w:tcPr>
          <w:p>
            <w:r>
              <w:t>Semanas 5–12</w:t>
            </w:r>
          </w:p>
        </w:tc>
        <w:tc>
          <w:tcPr>
            <w:tcW w:w="1580" w:type="dxa"/>
            <w:tcBorders>
              <w:left w:val="single" w:sz="4" w:space="0" w:color="FFFFFF" w:themeColor="background1"/>
            </w:tcBorders>
            <w:shd w:val="clear" w:color="auto" w:fill="D9D9D9" w:themeFill="background1" w:themeFillShade="D9"/>
          </w:tcPr>
          <w:p>
            <w:r>
              <w:t>Johao Ramírez</w:t>
            </w:r>
          </w:p>
        </w:tc>
        <w:tc>
          <w:tcPr>
            <w:tcW w:w="1581" w:type="dxa"/>
          </w:tcPr>
          <w:p>
            <w:r>
              <w:t>Puerta de control: SRS aprobada. Los cambios posteriores pasan por control de cambios.</w:t>
            </w:r>
          </w:p>
        </w:tc>
      </w:tr>
      <w:tr w:rsidR="00D110EC" w:rsidRPr="00A337B2" w14:paraId="591B4E66" w14:textId="77777777" w:rsidTr="00C27FB0">
        <w:trPr>
          <w:jc w:val="center"/>
        </w:trPr>
        <w:tc>
          <w:tcPr>
            <w:tcW w:w="1580" w:type="dxa"/>
          </w:tcPr>
          <w:p>
            <w:r>
              <w:t>Ingeniería de requisitos y diseño de la solución</w:t>
            </w:r>
          </w:p>
        </w:tc>
        <w:tc>
          <w:tcPr>
            <w:tcW w:w="1580" w:type="dxa"/>
          </w:tcPr>
          <w:p>
            <w:r>
              <w:t>Etapa 2: Diseño</w:t>
            </w:r>
          </w:p>
        </w:tc>
        <w:tc>
          <w:tcPr>
            <w:tcW w:w="1580" w:type="dxa"/>
          </w:tcPr>
          <w:p>
            <w:pPr>
              <w:spacing w:after="60"/>
            </w:pPr>
            <w:r>
              <w:rPr>
                <w:sz w:val="16"/>
              </w:rPr>
              <w:t>2.1 Arquitectura y diagrama de componentes;</w:t>
            </w:r>
          </w:p>
          <w:p>
            <w:pPr>
              <w:spacing w:after="60"/>
            </w:pPr>
            <w:r>
              <w:rPr>
                <w:sz w:val="16"/>
              </w:rPr>
              <w:t>2.2 modelo ER de PostgreSQL y esquema documental de MongoDB;</w:t>
            </w:r>
          </w:p>
          <w:p>
            <w:pPr>
              <w:spacing w:after="60"/>
            </w:pPr>
            <w:r>
              <w:rPr>
                <w:sz w:val="16"/>
              </w:rPr>
              <w:t>2.3 diagramas UML de casos de uso, clases y secuencia;</w:t>
            </w:r>
          </w:p>
          <w:p>
            <w:pPr>
              <w:spacing w:after="60"/>
            </w:pPr>
            <w:r>
              <w:rPr>
                <w:sz w:val="16"/>
              </w:rPr>
              <w:t>2.4 Documento de Diseño y plan de pruebas.</w:t>
            </w:r>
          </w:p>
        </w:tc>
        <w:tc>
          <w:tcPr>
            <w:tcW w:w="1580" w:type="dxa"/>
          </w:tcPr>
          <w:p>
            <w:r>
              <w:t>Herramientas de modelado UML y ER</w:t>
            </w:r>
          </w:p>
        </w:tc>
        <w:tc>
          <w:tcPr>
            <w:tcW w:w="1580" w:type="dxa"/>
            <w:tcBorders>
              <w:right w:val="single" w:sz="4" w:space="0" w:color="FFFFFF" w:themeColor="background1"/>
            </w:tcBorders>
          </w:tcPr>
          <w:p>
            <w:r>
              <w:t>Semanas 6–12</w:t>
            </w:r>
          </w:p>
        </w:tc>
        <w:tc>
          <w:tcPr>
            <w:tcW w:w="1580" w:type="dxa"/>
            <w:tcBorders>
              <w:left w:val="single" w:sz="4" w:space="0" w:color="FFFFFF" w:themeColor="background1"/>
            </w:tcBorders>
            <w:shd w:val="clear" w:color="auto" w:fill="D9D9D9" w:themeFill="background1" w:themeFillShade="D9"/>
          </w:tcPr>
          <w:p>
            <w:r>
              <w:t>Johao Ramírez</w:t>
            </w:r>
          </w:p>
        </w:tc>
        <w:tc>
          <w:tcPr>
            <w:tcW w:w="1581" w:type="dxa"/>
          </w:tcPr>
          <w:p>
            <w:r>
              <w:t>Puerta de control: línea base de diseño. Un error de modelado aquí se propaga a las etapas siguientes.</w:t>
            </w:r>
          </w:p>
        </w:tc>
      </w:tr>
      <w:tr w:rsidR="00D110EC" w:rsidRPr="00A337B2" w14:paraId="591B4E66" w14:textId="77777777" w:rsidTr="00C27FB0">
        <w:trPr>
          <w:jc w:val="center"/>
        </w:trPr>
        <w:tc>
          <w:tcPr>
            <w:tcW w:w="1580" w:type="dxa"/>
          </w:tcPr>
          <w:p>
            <w:r>
              <w:t>Construcción de software y modelamiento de datos</w:t>
            </w:r>
          </w:p>
        </w:tc>
        <w:tc>
          <w:tcPr>
            <w:tcW w:w="1580" w:type="dxa"/>
          </w:tcPr>
          <w:p>
            <w:r>
              <w:t>Etapa 3a: Pipeline genómico y banco de fagos</w:t>
            </w:r>
          </w:p>
        </w:tc>
        <w:tc>
          <w:tcPr>
            <w:tcW w:w="1580" w:type="dxa"/>
          </w:tcPr>
          <w:p>
            <w:pPr>
              <w:spacing w:after="60"/>
            </w:pPr>
            <w:r>
              <w:rPr>
                <w:sz w:val="16"/>
              </w:rPr>
              <w:t>3.1 Descargar y normalizar genomas de fagos;</w:t>
            </w:r>
          </w:p>
          <w:p>
            <w:pPr>
              <w:spacing w:after="60"/>
            </w:pPr>
            <w:r>
              <w:rPr>
                <w:sz w:val="16"/>
              </w:rPr>
              <w:t>3.2 ingesta de aislados con validación y control de calidad;</w:t>
            </w:r>
          </w:p>
          <w:p>
            <w:pPr>
              <w:spacing w:after="60"/>
            </w:pPr>
            <w:r>
              <w:rPr>
                <w:sz w:val="16"/>
              </w:rPr>
              <w:t>3.3 identificación de especie y tipificación del locus K;</w:t>
            </w:r>
          </w:p>
          <w:p>
            <w:pPr>
              <w:spacing w:after="60"/>
            </w:pPr>
            <w:r>
              <w:rPr>
                <w:sz w:val="16"/>
              </w:rPr>
              <w:t>3.4 predicción de genes y proteínas de unión al receptor;</w:t>
            </w:r>
          </w:p>
          <w:p>
            <w:pPr>
              <w:spacing w:after="60"/>
            </w:pPr>
            <w:r>
              <w:rPr>
                <w:sz w:val="16"/>
              </w:rPr>
              <w:t>3.5 carga del banco curado y empaquetado en Docker;</w:t>
            </w:r>
          </w:p>
          <w:p>
            <w:pPr>
              <w:spacing w:after="60"/>
            </w:pPr>
            <w:r>
              <w:rPr>
                <w:sz w:val="16"/>
              </w:rPr>
              <w:t>3.6 integración del pipeline.</w:t>
            </w:r>
          </w:p>
        </w:tc>
        <w:tc>
          <w:tcPr>
            <w:tcW w:w="1580" w:type="dxa"/>
          </w:tcPr>
          <w:p>
            <w:r>
              <w:t>INPHARED, PhageScope, MVP, Biopython, Prodigal, Kaptive, Docker</w:t>
            </w:r>
          </w:p>
        </w:tc>
        <w:tc>
          <w:tcPr>
            <w:tcW w:w="1580" w:type="dxa"/>
            <w:tcBorders>
              <w:right w:val="single" w:sz="4" w:space="0" w:color="FFFFFF" w:themeColor="background1"/>
            </w:tcBorders>
          </w:tcPr>
          <w:p>
            <w:r>
              <w:t>Semanas 8–13</w:t>
            </w:r>
          </w:p>
        </w:tc>
        <w:tc>
          <w:tcPr>
            <w:tcW w:w="1580" w:type="dxa"/>
            <w:tcBorders>
              <w:left w:val="single" w:sz="4" w:space="0" w:color="FFFFFF" w:themeColor="background1"/>
            </w:tcBorders>
            <w:shd w:val="clear" w:color="auto" w:fill="D9D9D9" w:themeFill="background1" w:themeFillShade="D9"/>
          </w:tcPr>
          <w:p>
            <w:r>
              <w:t>Johao Ramírez</w:t>
            </w:r>
          </w:p>
        </w:tc>
        <w:tc>
          <w:tcPr>
            <w:tcW w:w="1581" w:type="dxa"/>
          </w:tcPr>
          <w:p>
            <w:r>
              <w:t>El primer corte cierra con el Informe de Avance (semana 12); el cierre completo pasa a la semana 13. Riesgo: heterogeneidad de metadatos entre fuentes.</w:t>
            </w:r>
          </w:p>
        </w:tc>
      </w:tr>
      <w:tr w:rsidR="00D110EC" w:rsidRPr="00A337B2" w14:paraId="591B4E66" w14:textId="77777777" w:rsidTr="00C27FB0">
        <w:trPr>
          <w:jc w:val="center"/>
        </w:trPr>
        <w:tc>
          <w:tcPr>
            <w:tcW w:w="1580" w:type="dxa"/>
          </w:tcPr>
          <w:p>
            <w:r>
              <w:t>Minería de datos y analítica</w:t>
            </w:r>
          </w:p>
        </w:tc>
        <w:tc>
          <w:tcPr>
            <w:tcW w:w="1580" w:type="dxa"/>
          </w:tcPr>
          <w:p>
            <w:r>
              <w:t>Etapa 3b: Modelo de predicción de compatibilidad</w:t>
            </w:r>
          </w:p>
        </w:tc>
        <w:tc>
          <w:tcPr>
            <w:tcW w:w="1580" w:type="dxa"/>
          </w:tcPr>
          <w:p>
            <w:pPr>
              <w:spacing w:after="60"/>
            </w:pPr>
            <w:r>
              <w:rPr>
                <w:sz w:val="16"/>
              </w:rPr>
              <w:t>3.7 Representaciones vectoriales ESM-2 de proteínas de fagos y hospedadores;</w:t>
            </w:r>
          </w:p>
          <w:p>
            <w:pPr>
              <w:spacing w:after="60"/>
            </w:pPr>
            <w:r>
              <w:rPr>
                <w:sz w:val="16"/>
              </w:rPr>
              <w:t>3.8 entrenamiento del clasificador con validación cruzada;</w:t>
            </w:r>
          </w:p>
          <w:p>
            <w:pPr>
              <w:spacing w:after="60"/>
            </w:pPr>
            <w:r>
              <w:rPr>
                <w:sz w:val="16"/>
              </w:rPr>
              <w:t>3.9 evaluación con las métricas de la literatura y explicabilidad SHAP.</w:t>
            </w:r>
          </w:p>
        </w:tc>
        <w:tc>
          <w:tcPr>
            <w:tcW w:w="1580" w:type="dxa"/>
          </w:tcPr>
          <w:p>
            <w:r>
              <w:t>Conjunto de datos de interacciones de K. pneumoniae, ESM-2, XGBoost, SHAP</w:t>
            </w:r>
          </w:p>
        </w:tc>
        <w:tc>
          <w:tcPr>
            <w:tcW w:w="1580" w:type="dxa"/>
            <w:tcBorders>
              <w:right w:val="single" w:sz="4" w:space="0" w:color="FFFFFF" w:themeColor="background1"/>
            </w:tcBorders>
          </w:tcPr>
          <w:p>
            <w:r>
              <w:t>Semanas 13–14</w:t>
            </w:r>
          </w:p>
        </w:tc>
        <w:tc>
          <w:tcPr>
            <w:tcW w:w="1580" w:type="dxa"/>
            <w:tcBorders>
              <w:left w:val="single" w:sz="4" w:space="0" w:color="FFFFFF" w:themeColor="background1"/>
            </w:tcBorders>
            <w:shd w:val="clear" w:color="auto" w:fill="D9D9D9" w:themeFill="background1" w:themeFillShade="D9"/>
          </w:tcPr>
          <w:p>
            <w:r>
              <w:t>Johao Ramírez</w:t>
            </w:r>
          </w:p>
        </w:tc>
        <w:tc>
          <w:tcPr>
            <w:tcW w:w="1581" w:type="dxa"/>
          </w:tcPr>
          <w:p>
            <w:r>
              <w:t>Riesgo principal: costo computacional de las representaciones vectoriales; se mitiga con caché y modelos reducidos.</w:t>
            </w:r>
          </w:p>
        </w:tc>
      </w:tr>
      <w:tr w:rsidR="00D110EC" w:rsidRPr="00A337B2" w14:paraId="591B4E66" w14:textId="77777777" w:rsidTr="00C27FB0">
        <w:trPr>
          <w:jc w:val="center"/>
        </w:trPr>
        <w:tc>
          <w:tcPr>
            <w:tcW w:w="1580" w:type="dxa"/>
          </w:tcPr>
          <w:p>
            <w:r>
              <w:t>Desarrollo web, seguridad e inteligencia de negocio</w:t>
            </w:r>
          </w:p>
        </w:tc>
        <w:tc>
          <w:tcPr>
            <w:tcW w:w="1580" w:type="dxa"/>
          </w:tcPr>
          <w:p>
            <w:r>
              <w:t>Etapa 3c: Plataforma web</w:t>
            </w:r>
          </w:p>
        </w:tc>
        <w:tc>
          <w:tcPr>
            <w:tcW w:w="1580" w:type="dxa"/>
          </w:tcPr>
          <w:p>
            <w:pPr>
              <w:spacing w:after="60"/>
            </w:pPr>
            <w:r>
              <w:rPr>
                <w:sz w:val="16"/>
              </w:rPr>
              <w:t>3.10 API con autenticación JWT, control de acceso por rol y máquina de estados de solicitudes;</w:t>
            </w:r>
          </w:p>
          <w:p>
            <w:pPr>
              <w:spacing w:after="60"/>
            </w:pPr>
            <w:r>
              <w:rPr>
                <w:sz w:val="16"/>
              </w:rPr>
              <w:t>3.11 registro de auditoría inmutable e integración del modelo;</w:t>
            </w:r>
          </w:p>
          <w:p>
            <w:pPr>
              <w:spacing w:after="60"/>
            </w:pPr>
            <w:r>
              <w:rPr>
                <w:sz w:val="16"/>
              </w:rPr>
              <w:t>3.12 interfaz web por rol;</w:t>
            </w:r>
          </w:p>
          <w:p>
            <w:pPr>
              <w:spacing w:after="60"/>
            </w:pPr>
            <w:r>
              <w:rPr>
                <w:sz w:val="16"/>
              </w:rPr>
              <w:t>3.13 tablero de cobertura, brechas y tendencias.</w:t>
            </w:r>
          </w:p>
        </w:tc>
        <w:tc>
          <w:tcPr>
            <w:tcW w:w="1580" w:type="dxa"/>
          </w:tcPr>
          <w:p>
            <w:r>
              <w:t>FastAPI, Next.js, PostgreSQL, MongoDB, Recharts</w:t>
            </w:r>
          </w:p>
        </w:tc>
        <w:tc>
          <w:tcPr>
            <w:tcW w:w="1580" w:type="dxa"/>
            <w:tcBorders>
              <w:right w:val="single" w:sz="4" w:space="0" w:color="FFFFFF" w:themeColor="background1"/>
            </w:tcBorders>
          </w:tcPr>
          <w:p>
            <w:r>
              <w:t>Semanas 13–15</w:t>
            </w:r>
          </w:p>
        </w:tc>
        <w:tc>
          <w:tcPr>
            <w:tcW w:w="1580" w:type="dxa"/>
            <w:tcBorders>
              <w:left w:val="single" w:sz="4" w:space="0" w:color="FFFFFF" w:themeColor="background1"/>
            </w:tcBorders>
            <w:shd w:val="clear" w:color="auto" w:fill="D9D9D9" w:themeFill="background1" w:themeFillShade="D9"/>
          </w:tcPr>
          <w:p>
            <w:r>
              <w:t>Johao Ramírez</w:t>
            </w:r>
          </w:p>
        </w:tc>
        <w:tc>
          <w:tcPr>
            <w:tcW w:w="1581" w:type="dxa"/>
          </w:tcPr>
          <w:p>
            <w:r>
              <w:t>Es el componente de mayor volumen de desarrollo del proyecto.</w:t>
            </w:r>
          </w:p>
        </w:tc>
      </w:tr>
      <w:tr w:rsidR="00D110EC" w:rsidRPr="00A337B2" w14:paraId="591B4E66" w14:textId="77777777" w:rsidTr="00C27FB0">
        <w:trPr>
          <w:jc w:val="center"/>
        </w:trPr>
        <w:tc>
          <w:tcPr>
            <w:tcW w:w="1580" w:type="dxa"/>
          </w:tcPr>
          <w:p>
            <w:r>
              <w:t>Desarrollo móvil y aseguramiento de la calidad</w:t>
            </w:r>
          </w:p>
        </w:tc>
        <w:tc>
          <w:tcPr>
            <w:tcW w:w="1580" w:type="dxa"/>
          </w:tcPr>
          <w:p>
            <w:r>
              <w:t>Etapa 3d: Aplicación móvil</w:t>
            </w:r>
          </w:p>
        </w:tc>
        <w:tc>
          <w:tcPr>
            <w:tcW w:w="1580" w:type="dxa"/>
          </w:tcPr>
          <w:p>
            <w:pPr>
              <w:spacing w:after="60"/>
            </w:pPr>
            <w:r>
              <w:rPr>
                <w:sz w:val="16"/>
              </w:rPr>
              <w:t>3.14 Aplicación móvil de consulta de solicitudes y alertas, acotada a esas dos funciones. Cierra la etapa de construcción.</w:t>
            </w:r>
          </w:p>
        </w:tc>
        <w:tc>
          <w:tcPr>
            <w:tcW w:w="1580" w:type="dxa"/>
          </w:tcPr>
          <w:p>
            <w:r>
              <w:t>React Native</w:t>
            </w:r>
          </w:p>
        </w:tc>
        <w:tc>
          <w:tcPr>
            <w:tcW w:w="1580" w:type="dxa"/>
            <w:tcBorders>
              <w:right w:val="single" w:sz="4" w:space="0" w:color="FFFFFF" w:themeColor="background1"/>
            </w:tcBorders>
          </w:tcPr>
          <w:p>
            <w:r>
              <w:t>Semana 14</w:t>
            </w:r>
          </w:p>
        </w:tc>
        <w:tc>
          <w:tcPr>
            <w:tcW w:w="1580" w:type="dxa"/>
            <w:tcBorders>
              <w:left w:val="single" w:sz="4" w:space="0" w:color="FFFFFF" w:themeColor="background1"/>
            </w:tcBorders>
            <w:shd w:val="clear" w:color="auto" w:fill="D9D9D9" w:themeFill="background1" w:themeFillShade="D9"/>
          </w:tcPr>
          <w:p>
            <w:r>
              <w:t>Johao Ramírez</w:t>
            </w:r>
          </w:p>
        </w:tc>
        <w:tc>
          <w:tcPr>
            <w:tcW w:w="1581" w:type="dxa"/>
          </w:tcPr>
          <w:p>
            <w:r>
              <w:t>Se desarrolla junto con el cierre de la interfaz web; alcance acotado por diseño.</w:t>
            </w:r>
          </w:p>
        </w:tc>
      </w:tr>
      <w:tr w:rsidR="00D110EC" w:rsidRPr="00A337B2" w14:paraId="591B4E66" w14:textId="77777777" w:rsidTr="00C27FB0">
        <w:trPr>
          <w:jc w:val="center"/>
        </w:trPr>
        <w:tc>
          <w:tcPr>
            <w:tcW w:w="1580" w:type="dxa"/>
          </w:tcPr>
          <w:p>
            <w:r>
              <w:t>Desarrollo móvil y aseguramiento de la calidad</w:t>
            </w:r>
          </w:p>
        </w:tc>
        <w:tc>
          <w:tcPr>
            <w:tcW w:w="1580" w:type="dxa"/>
          </w:tcPr>
          <w:p>
            <w:r>
              <w:t>Etapa 4: Pruebas y verificación</w:t>
            </w:r>
          </w:p>
        </w:tc>
        <w:tc>
          <w:tcPr>
            <w:tcW w:w="1580" w:type="dxa"/>
          </w:tcPr>
          <w:p>
            <w:pPr>
              <w:spacing w:after="60"/>
            </w:pPr>
            <w:r>
              <w:rPr>
                <w:sz w:val="16"/>
              </w:rPr>
              <w:t>4.1 Pruebas unitarias y de integración;</w:t>
            </w:r>
          </w:p>
          <w:p>
            <w:pPr>
              <w:spacing w:after="60"/>
            </w:pPr>
            <w:r>
              <w:rPr>
                <w:sz w:val="16"/>
              </w:rPr>
              <w:t>4.2 pruebas de extremo a extremo y de rendimiento;</w:t>
            </w:r>
          </w:p>
          <w:p>
            <w:pPr>
              <w:spacing w:after="60"/>
            </w:pPr>
            <w:r>
              <w:rPr>
                <w:sz w:val="16"/>
              </w:rPr>
              <w:t>4.3 pruebas de seguridad sobre el control de acceso y la auditoría;</w:t>
            </w:r>
          </w:p>
          <w:p>
            <w:pPr>
              <w:spacing w:after="60"/>
            </w:pPr>
            <w:r>
              <w:rPr>
                <w:sz w:val="16"/>
              </w:rPr>
              <w:t>4.4 Plan de Pruebas con evidencias e Informe Final.</w:t>
            </w:r>
          </w:p>
        </w:tc>
        <w:tc>
          <w:tcPr>
            <w:tcW w:w="1580" w:type="dxa"/>
          </w:tcPr>
          <w:p>
            <w:r>
              <w:t>pytest, Playwright, GitHub Actions</w:t>
            </w:r>
          </w:p>
        </w:tc>
        <w:tc>
          <w:tcPr>
            <w:tcW w:w="1580" w:type="dxa"/>
            <w:tcBorders>
              <w:right w:val="single" w:sz="4" w:space="0" w:color="FFFFFF" w:themeColor="background1"/>
            </w:tcBorders>
          </w:tcPr>
          <w:p>
            <w:r>
              <w:t>Semana 15</w:t>
            </w:r>
          </w:p>
        </w:tc>
        <w:tc>
          <w:tcPr>
            <w:tcW w:w="1580" w:type="dxa"/>
            <w:tcBorders>
              <w:left w:val="single" w:sz="4" w:space="0" w:color="FFFFFF" w:themeColor="background1"/>
            </w:tcBorders>
            <w:shd w:val="clear" w:color="auto" w:fill="D9D9D9" w:themeFill="background1" w:themeFillShade="D9"/>
          </w:tcPr>
          <w:p>
            <w:r>
              <w:t>Johao Ramírez</w:t>
            </w:r>
          </w:p>
        </w:tc>
        <w:tc>
          <w:tcPr>
            <w:tcW w:w="1581" w:type="dxa"/>
          </w:tcPr>
          <w:p>
            <w:r>
              <w:t>Cierre coincide con el Informe Final (semana 15); es la semana de mayor carga del semestre.</w:t>
            </w:r>
          </w:p>
        </w:tc>
      </w:tr>
      <w:tr w:rsidR="00D110EC" w:rsidRPr="00A337B2" w14:paraId="591B4E66" w14:textId="77777777" w:rsidTr="00C27FB0">
        <w:trPr>
          <w:jc w:val="center"/>
        </w:trPr>
        <w:tc>
          <w:tcPr>
            <w:tcW w:w="1580" w:type="dxa"/>
          </w:tcPr>
          <w:p>
            <w:r>
              <w:t>Todas las competencias</w:t>
            </w:r>
          </w:p>
        </w:tc>
        <w:tc>
          <w:tcPr>
            <w:tcW w:w="1580" w:type="dxa"/>
          </w:tcPr>
          <w:p>
            <w:r>
              <w:t>Etapa 5: Despliegue y cierre</w:t>
            </w:r>
          </w:p>
        </w:tc>
        <w:tc>
          <w:tcPr>
            <w:tcW w:w="1580" w:type="dxa"/>
          </w:tcPr>
          <w:p>
            <w:pPr>
              <w:spacing w:after="60"/>
            </w:pPr>
            <w:r>
              <w:rPr>
                <w:sz w:val="16"/>
              </w:rPr>
              <w:t>5.1 Corrección de defectos y retroalimentación;</w:t>
            </w:r>
          </w:p>
          <w:p>
            <w:pPr>
              <w:spacing w:after="60"/>
            </w:pPr>
            <w:r>
              <w:rPr>
                <w:sz w:val="16"/>
              </w:rPr>
              <w:t>5.2 Manual técnico y de despliegue y README final;</w:t>
            </w:r>
          </w:p>
          <w:p>
            <w:pPr>
              <w:spacing w:after="60"/>
            </w:pPr>
            <w:r>
              <w:rPr>
                <w:sz w:val="16"/>
              </w:rPr>
              <w:t>5.3 preparación de la presentación y la demostración;</w:t>
            </w:r>
          </w:p>
          <w:p>
            <w:pPr>
              <w:spacing w:after="60"/>
            </w:pPr>
            <w:r>
              <w:rPr>
                <w:sz w:val="16"/>
              </w:rPr>
              <w:t>5.4 presentación ante comisión.</w:t>
            </w:r>
          </w:p>
        </w:tc>
        <w:tc>
          <w:tcPr>
            <w:tcW w:w="1580" w:type="dxa"/>
          </w:tcPr>
          <w:p>
            <w:r>
              <w:t>Docker, GitHub, plantilla de presentación del curso</w:t>
            </w:r>
          </w:p>
        </w:tc>
        <w:tc>
          <w:tcPr>
            <w:tcW w:w="1580" w:type="dxa"/>
            <w:tcBorders>
              <w:right w:val="single" w:sz="4" w:space="0" w:color="FFFFFF" w:themeColor="background1"/>
            </w:tcBorders>
          </w:tcPr>
          <w:p>
            <w:r>
              <w:t>Semanas 16–18</w:t>
            </w:r>
          </w:p>
        </w:tc>
        <w:tc>
          <w:tcPr>
            <w:tcW w:w="1580" w:type="dxa"/>
            <w:tcBorders>
              <w:left w:val="single" w:sz="4" w:space="0" w:color="FFFFFF" w:themeColor="background1"/>
            </w:tcBorders>
            <w:shd w:val="clear" w:color="auto" w:fill="D9D9D9" w:themeFill="background1" w:themeFillShade="D9"/>
          </w:tcPr>
          <w:p>
            <w:r>
              <w:t>Johao Ramírez</w:t>
            </w:r>
          </w:p>
        </w:tc>
        <w:tc>
          <w:tcPr>
            <w:tcW w:w="1581" w:type="dxa"/>
          </w:tcPr>
          <w:p>
            <w:r>
              <w:t>Presentación final ante comisión en las semanas 17–18.</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r>
              <w:rPr>
                <w:b/>
              </w:rPr>
              <w:t xml:space="preserve">Registro de cambios — versión 1.1 (30-10-2026)</w:t>
            </w:r>
          </w:p>
          <w:p>
            <w:r>
              <w:t xml:space="preserve">Esta versión ajusta el calendario por el plazo que el docente indicó el 29-10-2026 para la entrega 2 (30-10, semana 12) y reemplaza los cinco objetivos específicos por un único objetivo específico amplio. El alcance y las actividades no cambian. La distribución posterior a la semana 12 y el cambio de objetivos son propuestas que requieren la conformidad del docente. La versión 1.0, entregada en la Fase 1, se conserva sin cambios.</w:t>
            </w:r>
          </w:p>
          <w:p>
            <w:r>
              <w:t xml:space="preserve">Valores de la versión 1.0 que cambian: etapa 1, semanas 5–6 (ahora 5–12); etapa 2, semanas 6–7 (ahora 6–12); pipeline genómico y banco de fagos, semanas 8–10 (ahora 8–13, con un primer corte en la semana 12); modelo de predicción, semanas 11–12 (ahora 13–14); plataforma web, semanas 13–14 (ahora 13–15); construcción en conjunto, semanas 8–14 (ahora 8–15). La evidencia de avance sobre el pipeline y el banco de fagos pasa de «poblado desde INPHARED, PhageScope y MVP» a «poblado desde INPHARED, con PhageScope y MVP en la semana 13».</w:t>
            </w:r>
          </w:p>
          <w:p>
            <w:r>
              <w:t xml:space="preserve">Objetivos específicos de la versión 1.0, reemplazados por el objetivo único: 1. Especificar los requisitos y diseñar la solución; 2. Construir el pipeline de procesamiento genómico y poblar el banco de fagos; 3. Implementar y evaluar el modelo de predicción de compatibilidad fago-hospedador a nivel de cepa para Klebsiella pneumoniae; 4. Desarrollar la plataforma web; 5. Desarrollar la aplicación móvil complementaria y validar la calidad del sistema. El texto completo de cada uno está en la versión 1.0.</w:t>
            </w:r>
          </w:p>
          <w:p>
            <w:r>
              <w:t xml:space="preserve">En las evidencias y en el plan de trabajo, las referencias «objetivo específico 1 a 5» y «OE1 a OE5» se reformularon por componente. El Informe de Avance, la SRS y el Documento de Diseño conservan por ahora la referencia a los cinco objetivos de la versión 1.0.</w:t>
            </w:r>
          </w:p>
          <w:p>
            <w:r>
              <w:t xml:space="preserve">La Carta Gantt de la sección 8 se conserva como línea base de la versión 1.0; el calendario vigente es el de las secciones 5 y 7. El detalle de los ajustes está en el Informe de Avance (sección 3.2, ajuste A6).</w:t>
            </w:r>
          </w:p>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type="auto" w:w="0"/>
        <w:tblLayout w:type="fixed"/>
        <w:tblLook w:firstColumn="1" w:firstRow="1" w:lastColumn="0" w:lastRow="0" w:noHBand="0" w:noVBand="1" w:val="04A0"/>
        <w:tblLayout w:type="fixed"/>
      </w:tblPr>
      <w:tblGrid>
        <w:gridCol w:w="2551"/>
        <w:gridCol w:w="328"/>
        <w:gridCol w:w="328"/>
        <w:gridCol w:w="328"/>
        <w:gridCol w:w="328"/>
        <w:gridCol w:w="328"/>
        <w:gridCol w:w="328"/>
        <w:gridCol w:w="328"/>
        <w:gridCol w:w="328"/>
        <w:gridCol w:w="328"/>
        <w:gridCol w:w="328"/>
        <w:gridCol w:w="328"/>
        <w:gridCol w:w="328"/>
        <w:gridCol w:w="328"/>
        <w:gridCol w:w="328"/>
        <w:gridCol w:w="328"/>
        <w:gridCol w:w="328"/>
        <w:gridCol w:w="328"/>
        <w:gridCol w:w="328"/>
      </w:tblGrid>
      <w:tr>
        <w:trPr>
          <w:cantSplit/>
          <w:tblHeader/>
        </w:trPr>
        <w:tc>
          <w:tcPr>
            <w:tcW w:type="dxa" w:w="2551"/>
            <w:vMerge w:val="restart"/>
            <w:vAlign w:val="center"/>
          </w:tcPr>
          <w:p>
            <w:pPr>
              <w:spacing w:after="0" w:before="0" w:line="240" w:lineRule="auto"/>
              <w:jc w:val="left"/>
            </w:pPr>
            <w:r>
              <w:rPr>
                <w:b/>
                <w:color w:val="000000"/>
                <w:sz w:val="15"/>
              </w:rPr>
              <w:t>Actividad</w:t>
            </w:r>
          </w:p>
        </w:tc>
        <w:tc>
          <w:tcPr>
            <w:tcW w:type="dxa" w:w="1316"/>
            <w:gridSpan w:val="4"/>
            <w:vAlign w:val="center"/>
            <w:shd w:val="clear" w:color="auto" w:fill="E2F0D9"/>
          </w:tcPr>
          <w:p>
            <w:pPr>
              <w:spacing w:after="0" w:before="0" w:line="240" w:lineRule="auto"/>
              <w:jc w:val="center"/>
            </w:pPr>
            <w:r>
              <w:rPr>
                <w:b/>
                <w:color w:val="000000"/>
                <w:sz w:val="15"/>
              </w:rPr>
              <w:t>Fase 1</w:t>
            </w:r>
          </w:p>
        </w:tc>
        <w:tc>
          <w:tcPr>
            <w:tcW w:type="dxa" w:w="3619"/>
            <w:gridSpan w:val="11"/>
            <w:vAlign w:val="center"/>
            <w:shd w:val="clear" w:color="auto" w:fill="FFF2CC"/>
          </w:tcPr>
          <w:p>
            <w:pPr>
              <w:spacing w:after="0" w:before="0" w:line="240" w:lineRule="auto"/>
              <w:jc w:val="center"/>
            </w:pPr>
            <w:r>
              <w:rPr>
                <w:b/>
                <w:color w:val="000000"/>
                <w:sz w:val="15"/>
              </w:rPr>
              <w:t>Fase 2</w:t>
            </w:r>
          </w:p>
        </w:tc>
        <w:tc>
          <w:tcPr>
            <w:tcW w:type="dxa" w:w="987"/>
            <w:gridSpan w:val="3"/>
            <w:vAlign w:val="center"/>
            <w:shd w:val="clear" w:color="auto" w:fill="FCE4D6"/>
          </w:tcPr>
          <w:p>
            <w:pPr>
              <w:spacing w:after="0" w:before="0" w:line="240" w:lineRule="auto"/>
              <w:jc w:val="center"/>
            </w:pPr>
            <w:r>
              <w:rPr>
                <w:b/>
                <w:color w:val="000000"/>
                <w:sz w:val="15"/>
              </w:rPr>
              <w:t>Fase 3</w:t>
            </w:r>
          </w:p>
        </w:tc>
      </w:tr>
      <w:tr>
        <w:trPr>
          <w:cantSplit/>
          <w:tblHeader/>
        </w:trPr>
        <w:tc>
          <w:tcPr>
            <w:tcW w:type="dxa" w:w="2551"/>
            <w:vMerge/>
          </w:tcPr>
          <w:p/>
        </w:tc>
        <w:tc>
          <w:tcPr>
            <w:tcW w:type="dxa" w:w="329"/>
            <w:vAlign w:val="center"/>
            <w:tcMar>
              <w:left w:w="10" w:type="dxa"/>
              <w:right w:w="10" w:type="dxa"/>
            </w:tcMar>
          </w:tcPr>
          <w:p>
            <w:pPr>
              <w:spacing w:after="0" w:before="0" w:line="240" w:lineRule="auto"/>
              <w:jc w:val="center"/>
            </w:pPr>
            <w:r>
              <w:rPr>
                <w:b/>
                <w:color w:val="000000"/>
                <w:sz w:val="12"/>
              </w:rPr>
              <w:t>1</w:t>
            </w:r>
          </w:p>
        </w:tc>
        <w:tc>
          <w:tcPr>
            <w:tcW w:type="dxa" w:w="329"/>
            <w:vAlign w:val="center"/>
            <w:tcMar>
              <w:left w:w="10" w:type="dxa"/>
              <w:right w:w="10" w:type="dxa"/>
            </w:tcMar>
          </w:tcPr>
          <w:p>
            <w:pPr>
              <w:spacing w:after="0" w:before="0" w:line="240" w:lineRule="auto"/>
              <w:jc w:val="center"/>
            </w:pPr>
            <w:r>
              <w:rPr>
                <w:b/>
                <w:color w:val="000000"/>
                <w:sz w:val="12"/>
              </w:rPr>
              <w:t>2</w:t>
            </w:r>
          </w:p>
        </w:tc>
        <w:tc>
          <w:tcPr>
            <w:tcW w:type="dxa" w:w="329"/>
            <w:vAlign w:val="center"/>
            <w:tcMar>
              <w:left w:w="10" w:type="dxa"/>
              <w:right w:w="10" w:type="dxa"/>
            </w:tcMar>
          </w:tcPr>
          <w:p>
            <w:pPr>
              <w:spacing w:after="0" w:before="0" w:line="240" w:lineRule="auto"/>
              <w:jc w:val="center"/>
            </w:pPr>
            <w:r>
              <w:rPr>
                <w:b/>
                <w:color w:val="000000"/>
                <w:sz w:val="12"/>
              </w:rPr>
              <w:t>3</w:t>
            </w:r>
          </w:p>
        </w:tc>
        <w:tc>
          <w:tcPr>
            <w:tcW w:type="dxa" w:w="329"/>
            <w:vAlign w:val="center"/>
            <w:tcMar>
              <w:left w:w="10" w:type="dxa"/>
              <w:right w:w="10" w:type="dxa"/>
            </w:tcMar>
          </w:tcPr>
          <w:p>
            <w:pPr>
              <w:spacing w:after="0" w:before="0" w:line="240" w:lineRule="auto"/>
              <w:jc w:val="center"/>
            </w:pPr>
            <w:r>
              <w:rPr>
                <w:b/>
                <w:color w:val="000000"/>
                <w:sz w:val="12"/>
              </w:rPr>
              <w:t>4</w:t>
            </w:r>
          </w:p>
        </w:tc>
        <w:tc>
          <w:tcPr>
            <w:tcW w:type="dxa" w:w="329"/>
            <w:vAlign w:val="center"/>
            <w:tcMar>
              <w:left w:w="10" w:type="dxa"/>
              <w:right w:w="10" w:type="dxa"/>
            </w:tcMar>
          </w:tcPr>
          <w:p>
            <w:pPr>
              <w:spacing w:after="0" w:before="0" w:line="240" w:lineRule="auto"/>
              <w:jc w:val="center"/>
            </w:pPr>
            <w:r>
              <w:rPr>
                <w:b/>
                <w:color w:val="000000"/>
                <w:sz w:val="12"/>
              </w:rPr>
              <w:t>5</w:t>
            </w:r>
          </w:p>
        </w:tc>
        <w:tc>
          <w:tcPr>
            <w:tcW w:type="dxa" w:w="329"/>
            <w:vAlign w:val="center"/>
            <w:tcMar>
              <w:left w:w="10" w:type="dxa"/>
              <w:right w:w="10" w:type="dxa"/>
            </w:tcMar>
          </w:tcPr>
          <w:p>
            <w:pPr>
              <w:spacing w:after="0" w:before="0" w:line="240" w:lineRule="auto"/>
              <w:jc w:val="center"/>
            </w:pPr>
            <w:r>
              <w:rPr>
                <w:b/>
                <w:color w:val="000000"/>
                <w:sz w:val="12"/>
              </w:rPr>
              <w:t>6</w:t>
            </w:r>
          </w:p>
        </w:tc>
        <w:tc>
          <w:tcPr>
            <w:tcW w:type="dxa" w:w="329"/>
            <w:vAlign w:val="center"/>
            <w:tcMar>
              <w:left w:w="10" w:type="dxa"/>
              <w:right w:w="10" w:type="dxa"/>
            </w:tcMar>
          </w:tcPr>
          <w:p>
            <w:pPr>
              <w:spacing w:after="0" w:before="0" w:line="240" w:lineRule="auto"/>
              <w:jc w:val="center"/>
            </w:pPr>
            <w:r>
              <w:rPr>
                <w:b/>
                <w:color w:val="000000"/>
                <w:sz w:val="12"/>
              </w:rPr>
              <w:t>7</w:t>
            </w:r>
          </w:p>
        </w:tc>
        <w:tc>
          <w:tcPr>
            <w:tcW w:type="dxa" w:w="329"/>
            <w:vAlign w:val="center"/>
            <w:tcMar>
              <w:left w:w="10" w:type="dxa"/>
              <w:right w:w="10" w:type="dxa"/>
            </w:tcMar>
          </w:tcPr>
          <w:p>
            <w:pPr>
              <w:spacing w:after="0" w:before="0" w:line="240" w:lineRule="auto"/>
              <w:jc w:val="center"/>
            </w:pPr>
            <w:r>
              <w:rPr>
                <w:b/>
                <w:color w:val="000000"/>
                <w:sz w:val="12"/>
              </w:rPr>
              <w:t>8</w:t>
            </w:r>
          </w:p>
        </w:tc>
        <w:tc>
          <w:tcPr>
            <w:tcW w:type="dxa" w:w="329"/>
            <w:vAlign w:val="center"/>
            <w:tcMar>
              <w:left w:w="10" w:type="dxa"/>
              <w:right w:w="10" w:type="dxa"/>
            </w:tcMar>
          </w:tcPr>
          <w:p>
            <w:pPr>
              <w:spacing w:after="0" w:before="0" w:line="240" w:lineRule="auto"/>
              <w:jc w:val="center"/>
            </w:pPr>
            <w:r>
              <w:rPr>
                <w:b/>
                <w:color w:val="000000"/>
                <w:sz w:val="12"/>
              </w:rPr>
              <w:t>9</w:t>
            </w:r>
          </w:p>
        </w:tc>
        <w:tc>
          <w:tcPr>
            <w:tcW w:type="dxa" w:w="329"/>
            <w:vAlign w:val="center"/>
            <w:tcMar>
              <w:left w:w="10" w:type="dxa"/>
              <w:right w:w="10" w:type="dxa"/>
            </w:tcMar>
          </w:tcPr>
          <w:p>
            <w:pPr>
              <w:spacing w:after="0" w:before="0" w:line="240" w:lineRule="auto"/>
              <w:jc w:val="center"/>
            </w:pPr>
            <w:r>
              <w:rPr>
                <w:b/>
                <w:color w:val="000000"/>
                <w:sz w:val="12"/>
              </w:rPr>
              <w:t>10</w:t>
            </w:r>
          </w:p>
        </w:tc>
        <w:tc>
          <w:tcPr>
            <w:tcW w:type="dxa" w:w="329"/>
            <w:vAlign w:val="center"/>
            <w:tcMar>
              <w:left w:w="10" w:type="dxa"/>
              <w:right w:w="10" w:type="dxa"/>
            </w:tcMar>
          </w:tcPr>
          <w:p>
            <w:pPr>
              <w:spacing w:after="0" w:before="0" w:line="240" w:lineRule="auto"/>
              <w:jc w:val="center"/>
            </w:pPr>
            <w:r>
              <w:rPr>
                <w:b/>
                <w:color w:val="000000"/>
                <w:sz w:val="12"/>
              </w:rPr>
              <w:t>11</w:t>
            </w:r>
          </w:p>
        </w:tc>
        <w:tc>
          <w:tcPr>
            <w:tcW w:type="dxa" w:w="329"/>
            <w:vAlign w:val="center"/>
            <w:tcMar>
              <w:left w:w="10" w:type="dxa"/>
              <w:right w:w="10" w:type="dxa"/>
            </w:tcMar>
          </w:tcPr>
          <w:p>
            <w:pPr>
              <w:spacing w:after="0" w:before="0" w:line="240" w:lineRule="auto"/>
              <w:jc w:val="center"/>
            </w:pPr>
            <w:r>
              <w:rPr>
                <w:b/>
                <w:color w:val="000000"/>
                <w:sz w:val="12"/>
              </w:rPr>
              <w:t>12</w:t>
            </w:r>
          </w:p>
        </w:tc>
        <w:tc>
          <w:tcPr>
            <w:tcW w:type="dxa" w:w="329"/>
            <w:vAlign w:val="center"/>
            <w:tcMar>
              <w:left w:w="10" w:type="dxa"/>
              <w:right w:w="10" w:type="dxa"/>
            </w:tcMar>
          </w:tcPr>
          <w:p>
            <w:pPr>
              <w:spacing w:after="0" w:before="0" w:line="240" w:lineRule="auto"/>
              <w:jc w:val="center"/>
            </w:pPr>
            <w:r>
              <w:rPr>
                <w:b/>
                <w:color w:val="000000"/>
                <w:sz w:val="12"/>
              </w:rPr>
              <w:t>13</w:t>
            </w:r>
          </w:p>
        </w:tc>
        <w:tc>
          <w:tcPr>
            <w:tcW w:type="dxa" w:w="329"/>
            <w:vAlign w:val="center"/>
            <w:tcMar>
              <w:left w:w="10" w:type="dxa"/>
              <w:right w:w="10" w:type="dxa"/>
            </w:tcMar>
          </w:tcPr>
          <w:p>
            <w:pPr>
              <w:spacing w:after="0" w:before="0" w:line="240" w:lineRule="auto"/>
              <w:jc w:val="center"/>
            </w:pPr>
            <w:r>
              <w:rPr>
                <w:b/>
                <w:color w:val="000000"/>
                <w:sz w:val="12"/>
              </w:rPr>
              <w:t>14</w:t>
            </w:r>
          </w:p>
        </w:tc>
        <w:tc>
          <w:tcPr>
            <w:tcW w:type="dxa" w:w="329"/>
            <w:vAlign w:val="center"/>
            <w:tcMar>
              <w:left w:w="10" w:type="dxa"/>
              <w:right w:w="10" w:type="dxa"/>
            </w:tcMar>
          </w:tcPr>
          <w:p>
            <w:pPr>
              <w:spacing w:after="0" w:before="0" w:line="240" w:lineRule="auto"/>
              <w:jc w:val="center"/>
            </w:pPr>
            <w:r>
              <w:rPr>
                <w:b/>
                <w:color w:val="000000"/>
                <w:sz w:val="12"/>
              </w:rPr>
              <w:t>15</w:t>
            </w:r>
          </w:p>
        </w:tc>
        <w:tc>
          <w:tcPr>
            <w:tcW w:type="dxa" w:w="329"/>
            <w:vAlign w:val="center"/>
            <w:tcMar>
              <w:left w:w="10" w:type="dxa"/>
              <w:right w:w="10" w:type="dxa"/>
            </w:tcMar>
          </w:tcPr>
          <w:p>
            <w:pPr>
              <w:spacing w:after="0" w:before="0" w:line="240" w:lineRule="auto"/>
              <w:jc w:val="center"/>
            </w:pPr>
            <w:r>
              <w:rPr>
                <w:b/>
                <w:color w:val="000000"/>
                <w:sz w:val="12"/>
              </w:rPr>
              <w:t>16</w:t>
            </w:r>
          </w:p>
        </w:tc>
        <w:tc>
          <w:tcPr>
            <w:tcW w:type="dxa" w:w="329"/>
            <w:vAlign w:val="center"/>
            <w:tcMar>
              <w:left w:w="10" w:type="dxa"/>
              <w:right w:w="10" w:type="dxa"/>
            </w:tcMar>
          </w:tcPr>
          <w:p>
            <w:pPr>
              <w:spacing w:after="0" w:before="0" w:line="240" w:lineRule="auto"/>
              <w:jc w:val="center"/>
            </w:pPr>
            <w:r>
              <w:rPr>
                <w:b/>
                <w:color w:val="000000"/>
                <w:sz w:val="12"/>
              </w:rPr>
              <w:t>17</w:t>
            </w:r>
          </w:p>
        </w:tc>
        <w:tc>
          <w:tcPr>
            <w:tcW w:type="dxa" w:w="329"/>
            <w:vAlign w:val="center"/>
            <w:tcMar>
              <w:left w:w="10" w:type="dxa"/>
              <w:right w:w="10" w:type="dxa"/>
            </w:tcMar>
          </w:tcPr>
          <w:p>
            <w:pPr>
              <w:spacing w:after="0" w:before="0" w:line="240" w:lineRule="auto"/>
              <w:jc w:val="center"/>
            </w:pPr>
            <w:r>
              <w:rPr>
                <w:b/>
                <w:color w:val="000000"/>
                <w:sz w:val="12"/>
              </w:rPr>
              <w:t>18</w:t>
            </w:r>
          </w:p>
        </w:tc>
      </w:tr>
      <w:tr>
        <w:trPr>
          <w:cantSplit/>
        </w:trPr>
        <w:tc>
          <w:tcPr>
            <w:tcW w:type="dxa" w:w="8473"/>
            <w:gridSpan w:val="19"/>
            <w:vAlign w:val="center"/>
            <w:shd w:val="clear" w:color="auto" w:fill="E4EEF0"/>
          </w:tcPr>
          <w:p>
            <w:pPr>
              <w:spacing w:after="0" w:before="0" w:line="240" w:lineRule="auto"/>
              <w:jc w:val="left"/>
            </w:pPr>
            <w:r>
              <w:rPr>
                <w:b/>
                <w:color w:val="0B4F5C"/>
                <w:sz w:val="15"/>
              </w:rPr>
              <w:t>Definición del proyecto (Fase 1 del curso)</w:t>
            </w:r>
          </w:p>
        </w:tc>
      </w:tr>
      <w:tr>
        <w:trPr>
          <w:cantSplit/>
        </w:trPr>
        <w:tc>
          <w:tcPr>
            <w:tcW w:type="dxa" w:w="2551"/>
            <w:vAlign w:val="center"/>
          </w:tcPr>
          <w:p>
            <w:pPr>
              <w:spacing w:after="0" w:before="0" w:line="240" w:lineRule="auto"/>
              <w:jc w:val="left"/>
            </w:pPr>
            <w:r>
              <w:rPr>
                <w:b w:val="0"/>
                <w:color w:val="000000"/>
                <w:sz w:val="13"/>
              </w:rPr>
              <w:t>0.1  Marco teórico, fuentes de datos y definición del alcance</w:t>
            </w:r>
          </w:p>
        </w:tc>
        <w:tc>
          <w:tcPr>
            <w:tcW w:type="dxa" w:w="329"/>
            <w:shd w:val="clear" w:color="auto" w:fill="028090"/>
          </w:tcPr>
          <w:p/>
        </w:tc>
        <w:tc>
          <w:tcPr>
            <w:tcW w:type="dxa" w:w="329"/>
            <w:shd w:val="clear" w:color="auto" w:fill="028090"/>
          </w:tcPr>
          <w:p/>
        </w:tc>
        <w:tc>
          <w:tcPr>
            <w:tcW w:type="dxa" w:w="329"/>
            <w:shd w:val="clear" w:color="auto" w:fill="028090"/>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r>
      <w:tr>
        <w:trPr>
          <w:cantSplit/>
        </w:trPr>
        <w:tc>
          <w:tcPr>
            <w:tcW w:type="dxa" w:w="2551"/>
            <w:vAlign w:val="center"/>
          </w:tcPr>
          <w:p>
            <w:pPr>
              <w:spacing w:after="0" w:before="0" w:line="240" w:lineRule="auto"/>
              <w:jc w:val="left"/>
            </w:pPr>
            <w:r>
              <w:rPr>
                <w:b/>
                <w:color w:val="000000"/>
                <w:sz w:val="13"/>
              </w:rPr>
              <w:t>0.2  Presentación de Fase 1 — Definición de Proyecto</w:t>
            </w:r>
          </w:p>
        </w:tc>
        <w:tc>
          <w:tcPr>
            <w:tcW w:type="dxa" w:w="329"/>
          </w:tcPr>
          <w:p/>
        </w:tc>
        <w:tc>
          <w:tcPr>
            <w:tcW w:type="dxa" w:w="329"/>
          </w:tcPr>
          <w:p/>
        </w:tc>
        <w:tc>
          <w:tcPr>
            <w:tcW w:type="dxa" w:w="329"/>
          </w:tcPr>
          <w:p/>
        </w:tc>
        <w:tc>
          <w:tcPr>
            <w:tcW w:type="dxa" w:w="329"/>
            <w:shd w:val="clear" w:color="auto" w:fill="02C39A"/>
            <w:vAlign w:val="center"/>
          </w:tcPr>
          <w:p>
            <w:pPr>
              <w:spacing w:after="0" w:before="0" w:line="240" w:lineRule="auto"/>
              <w:jc w:val="center"/>
            </w:pPr>
            <w:r>
              <w:rPr>
                <w:b/>
                <w:color w:val="000000"/>
                <w:sz w:val="14"/>
              </w:rPr>
              <w:t>◆</w:t>
            </w: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r>
      <w:tr>
        <w:trPr>
          <w:cantSplit/>
        </w:trPr>
        <w:tc>
          <w:tcPr>
            <w:tcW w:type="dxa" w:w="8473"/>
            <w:gridSpan w:val="19"/>
            <w:vAlign w:val="center"/>
            <w:shd w:val="clear" w:color="auto" w:fill="E4EEF0"/>
          </w:tcPr>
          <w:p>
            <w:pPr>
              <w:spacing w:after="0" w:before="0" w:line="240" w:lineRule="auto"/>
              <w:jc w:val="left"/>
            </w:pPr>
            <w:r>
              <w:rPr>
                <w:b/>
                <w:color w:val="0B4F5C"/>
                <w:sz w:val="15"/>
              </w:rPr>
              <w:t>Etapa 1 · Análisis y especificación de requisitos</w:t>
            </w:r>
          </w:p>
        </w:tc>
      </w:tr>
      <w:tr>
        <w:trPr>
          <w:cantSplit/>
        </w:trPr>
        <w:tc>
          <w:tcPr>
            <w:tcW w:type="dxa" w:w="2551"/>
            <w:vAlign w:val="center"/>
          </w:tcPr>
          <w:p>
            <w:pPr>
              <w:spacing w:after="0" w:before="0" w:line="240" w:lineRule="auto"/>
              <w:jc w:val="left"/>
            </w:pPr>
            <w:r>
              <w:rPr>
                <w:b w:val="0"/>
                <w:color w:val="000000"/>
                <w:sz w:val="13"/>
              </w:rPr>
              <w:t>1.1  Repositorio público, estructura del proyecto y entorno Docker base</w:t>
            </w:r>
          </w:p>
        </w:tc>
        <w:tc>
          <w:tcPr>
            <w:tcW w:type="dxa" w:w="329"/>
          </w:tcPr>
          <w:p/>
        </w:tc>
        <w:tc>
          <w:tcPr>
            <w:tcW w:type="dxa" w:w="329"/>
          </w:tcPr>
          <w:p/>
        </w:tc>
        <w:tc>
          <w:tcPr>
            <w:tcW w:type="dxa" w:w="329"/>
          </w:tcPr>
          <w:p/>
        </w:tc>
        <w:tc>
          <w:tcPr>
            <w:tcW w:type="dxa" w:w="329"/>
          </w:tcPr>
          <w:p/>
        </w:tc>
        <w:tc>
          <w:tcPr>
            <w:tcW w:type="dxa" w:w="329"/>
            <w:shd w:val="clear" w:color="auto" w:fill="028090"/>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r>
      <w:tr>
        <w:trPr>
          <w:cantSplit/>
        </w:trPr>
        <w:tc>
          <w:tcPr>
            <w:tcW w:type="dxa" w:w="2551"/>
            <w:vAlign w:val="center"/>
          </w:tcPr>
          <w:p>
            <w:pPr>
              <w:spacing w:after="0" w:before="0" w:line="240" w:lineRule="auto"/>
              <w:jc w:val="left"/>
            </w:pPr>
            <w:r>
              <w:rPr>
                <w:b w:val="0"/>
                <w:color w:val="000000"/>
                <w:sz w:val="13"/>
              </w:rPr>
              <w:t>1.2  Levantamiento de requisitos y definición de roles y permisos</w:t>
            </w:r>
          </w:p>
        </w:tc>
        <w:tc>
          <w:tcPr>
            <w:tcW w:type="dxa" w:w="329"/>
          </w:tcPr>
          <w:p/>
        </w:tc>
        <w:tc>
          <w:tcPr>
            <w:tcW w:type="dxa" w:w="329"/>
          </w:tcPr>
          <w:p/>
        </w:tc>
        <w:tc>
          <w:tcPr>
            <w:tcW w:type="dxa" w:w="329"/>
          </w:tcPr>
          <w:p/>
        </w:tc>
        <w:tc>
          <w:tcPr>
            <w:tcW w:type="dxa" w:w="329"/>
          </w:tcPr>
          <w:p/>
        </w:tc>
        <w:tc>
          <w:tcPr>
            <w:tcW w:type="dxa" w:w="329"/>
            <w:shd w:val="clear" w:color="auto" w:fill="028090"/>
          </w:tcPr>
          <w:p/>
        </w:tc>
        <w:tc>
          <w:tcPr>
            <w:tcW w:type="dxa" w:w="329"/>
            <w:shd w:val="clear" w:color="auto" w:fill="028090"/>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r>
      <w:tr>
        <w:trPr>
          <w:cantSplit/>
        </w:trPr>
        <w:tc>
          <w:tcPr>
            <w:tcW w:type="dxa" w:w="2551"/>
            <w:vAlign w:val="center"/>
          </w:tcPr>
          <w:p>
            <w:pPr>
              <w:spacing w:after="0" w:before="0" w:line="240" w:lineRule="auto"/>
              <w:jc w:val="left"/>
            </w:pPr>
            <w:r>
              <w:rPr>
                <w:b/>
                <w:color w:val="000000"/>
                <w:sz w:val="13"/>
              </w:rPr>
              <w:t>1.3  Especificación de Requisitos (SRS): RF, RNF e historias por rol</w:t>
            </w:r>
          </w:p>
        </w:tc>
        <w:tc>
          <w:tcPr>
            <w:tcW w:type="dxa" w:w="329"/>
          </w:tcPr>
          <w:p/>
        </w:tc>
        <w:tc>
          <w:tcPr>
            <w:tcW w:type="dxa" w:w="329"/>
          </w:tcPr>
          <w:p/>
        </w:tc>
        <w:tc>
          <w:tcPr>
            <w:tcW w:type="dxa" w:w="329"/>
          </w:tcPr>
          <w:p/>
        </w:tc>
        <w:tc>
          <w:tcPr>
            <w:tcW w:type="dxa" w:w="329"/>
          </w:tcPr>
          <w:p/>
        </w:tc>
        <w:tc>
          <w:tcPr>
            <w:tcW w:type="dxa" w:w="329"/>
            <w:shd w:val="clear" w:color="auto" w:fill="F3C987"/>
          </w:tcPr>
          <w:p/>
        </w:tc>
        <w:tc>
          <w:tcPr>
            <w:tcW w:type="dxa" w:w="329"/>
            <w:shd w:val="clear" w:color="auto" w:fill="E9A23B"/>
            <w:vAlign w:val="center"/>
          </w:tcPr>
          <w:p>
            <w:pPr>
              <w:spacing w:after="0" w:before="0" w:line="240" w:lineRule="auto"/>
              <w:jc w:val="center"/>
            </w:pPr>
            <w:r>
              <w:rPr>
                <w:b/>
                <w:color w:val="000000"/>
                <w:sz w:val="14"/>
              </w:rPr>
              <w:t>◆</w:t>
            </w: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r>
      <w:tr>
        <w:trPr>
          <w:cantSplit/>
        </w:trPr>
        <w:tc>
          <w:tcPr>
            <w:tcW w:type="dxa" w:w="8473"/>
            <w:gridSpan w:val="19"/>
            <w:vAlign w:val="center"/>
            <w:shd w:val="clear" w:color="auto" w:fill="E4EEF0"/>
          </w:tcPr>
          <w:p>
            <w:pPr>
              <w:spacing w:after="0" w:before="0" w:line="240" w:lineRule="auto"/>
              <w:jc w:val="left"/>
            </w:pPr>
            <w:r>
              <w:rPr>
                <w:b/>
                <w:color w:val="0B4F5C"/>
                <w:sz w:val="15"/>
              </w:rPr>
              <w:t>Etapa 2 · Diseño</w:t>
            </w:r>
          </w:p>
        </w:tc>
      </w:tr>
      <w:tr>
        <w:trPr>
          <w:cantSplit/>
        </w:trPr>
        <w:tc>
          <w:tcPr>
            <w:tcW w:type="dxa" w:w="2551"/>
            <w:vAlign w:val="center"/>
          </w:tcPr>
          <w:p>
            <w:pPr>
              <w:spacing w:after="0" w:before="0" w:line="240" w:lineRule="auto"/>
              <w:jc w:val="left"/>
            </w:pPr>
            <w:r>
              <w:rPr>
                <w:b w:val="0"/>
                <w:color w:val="000000"/>
                <w:sz w:val="13"/>
              </w:rPr>
              <w:t>2.1  Arquitectura y diagrama de componentes</w:t>
            </w:r>
          </w:p>
        </w:tc>
        <w:tc>
          <w:tcPr>
            <w:tcW w:type="dxa" w:w="329"/>
          </w:tcPr>
          <w:p/>
        </w:tc>
        <w:tc>
          <w:tcPr>
            <w:tcW w:type="dxa" w:w="329"/>
          </w:tcPr>
          <w:p/>
        </w:tc>
        <w:tc>
          <w:tcPr>
            <w:tcW w:type="dxa" w:w="329"/>
          </w:tcPr>
          <w:p/>
        </w:tc>
        <w:tc>
          <w:tcPr>
            <w:tcW w:type="dxa" w:w="329"/>
          </w:tcPr>
          <w:p/>
        </w:tc>
        <w:tc>
          <w:tcPr>
            <w:tcW w:type="dxa" w:w="329"/>
          </w:tcPr>
          <w:p/>
        </w:tc>
        <w:tc>
          <w:tcPr>
            <w:tcW w:type="dxa" w:w="329"/>
            <w:shd w:val="clear" w:color="auto" w:fill="028090"/>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r>
      <w:tr>
        <w:trPr>
          <w:cantSplit/>
        </w:trPr>
        <w:tc>
          <w:tcPr>
            <w:tcW w:type="dxa" w:w="2551"/>
            <w:vAlign w:val="center"/>
          </w:tcPr>
          <w:p>
            <w:pPr>
              <w:spacing w:after="0" w:before="0" w:line="240" w:lineRule="auto"/>
              <w:jc w:val="left"/>
            </w:pPr>
            <w:r>
              <w:rPr>
                <w:b w:val="0"/>
                <w:color w:val="000000"/>
                <w:sz w:val="13"/>
              </w:rPr>
              <w:t>2.2  Modelo de datos: ER de PostgreSQL y esquema documental de MongoDB</w:t>
            </w:r>
          </w:p>
        </w:tc>
        <w:tc>
          <w:tcPr>
            <w:tcW w:type="dxa" w:w="329"/>
          </w:tcPr>
          <w:p/>
        </w:tc>
        <w:tc>
          <w:tcPr>
            <w:tcW w:type="dxa" w:w="329"/>
          </w:tcPr>
          <w:p/>
        </w:tc>
        <w:tc>
          <w:tcPr>
            <w:tcW w:type="dxa" w:w="329"/>
          </w:tcPr>
          <w:p/>
        </w:tc>
        <w:tc>
          <w:tcPr>
            <w:tcW w:type="dxa" w:w="329"/>
          </w:tcPr>
          <w:p/>
        </w:tc>
        <w:tc>
          <w:tcPr>
            <w:tcW w:type="dxa" w:w="329"/>
          </w:tcPr>
          <w:p/>
        </w:tc>
        <w:tc>
          <w:tcPr>
            <w:tcW w:type="dxa" w:w="329"/>
            <w:shd w:val="clear" w:color="auto" w:fill="028090"/>
          </w:tcPr>
          <w:p/>
        </w:tc>
        <w:tc>
          <w:tcPr>
            <w:tcW w:type="dxa" w:w="329"/>
            <w:shd w:val="clear" w:color="auto" w:fill="028090"/>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r>
      <w:tr>
        <w:trPr>
          <w:cantSplit/>
        </w:trPr>
        <w:tc>
          <w:tcPr>
            <w:tcW w:type="dxa" w:w="2551"/>
            <w:vAlign w:val="center"/>
          </w:tcPr>
          <w:p>
            <w:pPr>
              <w:spacing w:after="0" w:before="0" w:line="240" w:lineRule="auto"/>
              <w:jc w:val="left"/>
            </w:pPr>
            <w:r>
              <w:rPr>
                <w:b w:val="0"/>
                <w:color w:val="000000"/>
                <w:sz w:val="13"/>
              </w:rPr>
              <w:t>2.3  Diagramas UML: casos de uso, clases y secuencia del flujo principal</w:t>
            </w: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shd w:val="clear" w:color="auto" w:fill="028090"/>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r>
      <w:tr>
        <w:trPr>
          <w:cantSplit/>
        </w:trPr>
        <w:tc>
          <w:tcPr>
            <w:tcW w:type="dxa" w:w="2551"/>
            <w:vAlign w:val="center"/>
          </w:tcPr>
          <w:p>
            <w:pPr>
              <w:spacing w:after="0" w:before="0" w:line="240" w:lineRule="auto"/>
              <w:jc w:val="left"/>
            </w:pPr>
            <w:r>
              <w:rPr>
                <w:b/>
                <w:color w:val="000000"/>
                <w:sz w:val="13"/>
              </w:rPr>
              <w:t>2.4  Documento de Diseño y plan de pruebas — línea base de diseño</w:t>
            </w: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shd w:val="clear" w:color="auto" w:fill="E9A23B"/>
            <w:vAlign w:val="center"/>
          </w:tcPr>
          <w:p>
            <w:pPr>
              <w:spacing w:after="0" w:before="0" w:line="240" w:lineRule="auto"/>
              <w:jc w:val="center"/>
            </w:pPr>
            <w:r>
              <w:rPr>
                <w:b/>
                <w:color w:val="000000"/>
                <w:sz w:val="14"/>
              </w:rPr>
              <w:t>◆</w:t>
            </w: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r>
      <w:tr>
        <w:trPr>
          <w:cantSplit/>
        </w:trPr>
        <w:tc>
          <w:tcPr>
            <w:tcW w:type="dxa" w:w="8473"/>
            <w:gridSpan w:val="19"/>
            <w:vAlign w:val="center"/>
            <w:shd w:val="clear" w:color="auto" w:fill="E4EEF0"/>
          </w:tcPr>
          <w:p>
            <w:pPr>
              <w:spacing w:after="0" w:before="0" w:line="240" w:lineRule="auto"/>
              <w:jc w:val="left"/>
            </w:pPr>
            <w:r>
              <w:rPr>
                <w:b/>
                <w:color w:val="0B4F5C"/>
                <w:sz w:val="15"/>
              </w:rPr>
              <w:t>Etapa 3 · Construcción</w:t>
            </w:r>
          </w:p>
        </w:tc>
      </w:tr>
      <w:tr>
        <w:trPr>
          <w:cantSplit/>
        </w:trPr>
        <w:tc>
          <w:tcPr>
            <w:tcW w:type="dxa" w:w="2551"/>
            <w:vAlign w:val="center"/>
          </w:tcPr>
          <w:p>
            <w:pPr>
              <w:spacing w:after="0" w:before="0" w:line="240" w:lineRule="auto"/>
              <w:jc w:val="left"/>
            </w:pPr>
            <w:r>
              <w:rPr>
                <w:b w:val="0"/>
                <w:color w:val="000000"/>
                <w:sz w:val="13"/>
              </w:rPr>
              <w:t>3.1  Descarga y normalización de genomas de fagos (INPHARED, PhageScope)</w:t>
            </w: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shd w:val="clear" w:color="auto" w:fill="028090"/>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r>
      <w:tr>
        <w:trPr>
          <w:cantSplit/>
        </w:trPr>
        <w:tc>
          <w:tcPr>
            <w:tcW w:type="dxa" w:w="2551"/>
            <w:vAlign w:val="center"/>
          </w:tcPr>
          <w:p>
            <w:pPr>
              <w:spacing w:after="0" w:before="0" w:line="240" w:lineRule="auto"/>
              <w:jc w:val="left"/>
            </w:pPr>
            <w:r>
              <w:rPr>
                <w:b w:val="0"/>
                <w:color w:val="000000"/>
                <w:sz w:val="13"/>
              </w:rPr>
              <w:t>3.2  Ingesta de aislados: validación de formato y control de calidad</w:t>
            </w: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shd w:val="clear" w:color="auto" w:fill="028090"/>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r>
      <w:tr>
        <w:trPr>
          <w:cantSplit/>
        </w:trPr>
        <w:tc>
          <w:tcPr>
            <w:tcW w:type="dxa" w:w="2551"/>
            <w:vAlign w:val="center"/>
          </w:tcPr>
          <w:p>
            <w:pPr>
              <w:spacing w:after="0" w:before="0" w:line="240" w:lineRule="auto"/>
              <w:jc w:val="left"/>
            </w:pPr>
            <w:r>
              <w:rPr>
                <w:b w:val="0"/>
                <w:color w:val="000000"/>
                <w:sz w:val="13"/>
              </w:rPr>
              <w:t>3.3  Identificación de especie y tipificación del locus K (Kaptive)</w:t>
            </w: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shd w:val="clear" w:color="auto" w:fill="028090"/>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r>
      <w:tr>
        <w:trPr>
          <w:cantSplit/>
        </w:trPr>
        <w:tc>
          <w:tcPr>
            <w:tcW w:type="dxa" w:w="2551"/>
            <w:vAlign w:val="center"/>
          </w:tcPr>
          <w:p>
            <w:pPr>
              <w:spacing w:after="0" w:before="0" w:line="240" w:lineRule="auto"/>
              <w:jc w:val="left"/>
            </w:pPr>
            <w:r>
              <w:rPr>
                <w:b w:val="0"/>
                <w:color w:val="000000"/>
                <w:sz w:val="13"/>
              </w:rPr>
              <w:t>3.4  Predicción de genes (Prodigal) y proteínas de unión al receptor</w:t>
            </w: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shd w:val="clear" w:color="auto" w:fill="028090"/>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r>
      <w:tr>
        <w:trPr>
          <w:cantSplit/>
        </w:trPr>
        <w:tc>
          <w:tcPr>
            <w:tcW w:type="dxa" w:w="2551"/>
            <w:vAlign w:val="center"/>
          </w:tcPr>
          <w:p>
            <w:pPr>
              <w:spacing w:after="0" w:before="0" w:line="240" w:lineRule="auto"/>
              <w:jc w:val="left"/>
            </w:pPr>
            <w:r>
              <w:rPr>
                <w:b w:val="0"/>
                <w:color w:val="000000"/>
                <w:sz w:val="13"/>
              </w:rPr>
              <w:t>3.5  Carga del banco curado en las bases de datos y empaquetado en Docker</w:t>
            </w: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shd w:val="clear" w:color="auto" w:fill="028090"/>
          </w:tcPr>
          <w:p/>
        </w:tc>
        <w:tc>
          <w:tcPr>
            <w:tcW w:type="dxa" w:w="329"/>
            <w:shd w:val="clear" w:color="auto" w:fill="028090"/>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r>
      <w:tr>
        <w:trPr>
          <w:cantSplit/>
        </w:trPr>
        <w:tc>
          <w:tcPr>
            <w:tcW w:type="dxa" w:w="2551"/>
            <w:vAlign w:val="center"/>
          </w:tcPr>
          <w:p>
            <w:pPr>
              <w:spacing w:after="0" w:before="0" w:line="240" w:lineRule="auto"/>
              <w:jc w:val="left"/>
            </w:pPr>
            <w:r>
              <w:rPr>
                <w:b/>
                <w:color w:val="000000"/>
                <w:sz w:val="13"/>
              </w:rPr>
              <w:t>3.6  Integración del pipeline e Informe de Avance</w:t>
            </w: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shd w:val="clear" w:color="auto" w:fill="02C39A"/>
            <w:vAlign w:val="center"/>
          </w:tcPr>
          <w:p>
            <w:pPr>
              <w:spacing w:after="0" w:before="0" w:line="240" w:lineRule="auto"/>
              <w:jc w:val="center"/>
            </w:pPr>
            <w:r>
              <w:rPr>
                <w:b/>
                <w:color w:val="000000"/>
                <w:sz w:val="14"/>
              </w:rPr>
              <w:t>◆</w:t>
            </w: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r>
      <w:tr>
        <w:trPr>
          <w:cantSplit/>
        </w:trPr>
        <w:tc>
          <w:tcPr>
            <w:tcW w:type="dxa" w:w="2551"/>
            <w:vAlign w:val="center"/>
          </w:tcPr>
          <w:p>
            <w:pPr>
              <w:spacing w:after="0" w:before="0" w:line="240" w:lineRule="auto"/>
              <w:jc w:val="left"/>
            </w:pPr>
            <w:r>
              <w:rPr>
                <w:b w:val="0"/>
                <w:color w:val="000000"/>
                <w:sz w:val="13"/>
              </w:rPr>
              <w:t>3.7  Representaciones vectoriales ESM-2 de proteínas de fagos y hospedadores</w:t>
            </w: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shd w:val="clear" w:color="auto" w:fill="028090"/>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r>
      <w:tr>
        <w:trPr>
          <w:cantSplit/>
        </w:trPr>
        <w:tc>
          <w:tcPr>
            <w:tcW w:type="dxa" w:w="2551"/>
            <w:vAlign w:val="center"/>
          </w:tcPr>
          <w:p>
            <w:pPr>
              <w:spacing w:after="0" w:before="0" w:line="240" w:lineRule="auto"/>
              <w:jc w:val="left"/>
            </w:pPr>
            <w:r>
              <w:rPr>
                <w:b w:val="0"/>
                <w:color w:val="000000"/>
                <w:sz w:val="13"/>
              </w:rPr>
              <w:t>3.8  Entrenamiento del clasificador XGBoost con validación cruzada</w:t>
            </w: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shd w:val="clear" w:color="auto" w:fill="028090"/>
          </w:tcPr>
          <w:p/>
        </w:tc>
        <w:tc>
          <w:tcPr>
            <w:tcW w:type="dxa" w:w="329"/>
            <w:shd w:val="clear" w:color="auto" w:fill="028090"/>
          </w:tcPr>
          <w:p/>
        </w:tc>
        <w:tc>
          <w:tcPr>
            <w:tcW w:type="dxa" w:w="329"/>
          </w:tcPr>
          <w:p/>
        </w:tc>
        <w:tc>
          <w:tcPr>
            <w:tcW w:type="dxa" w:w="329"/>
          </w:tcPr>
          <w:p/>
        </w:tc>
        <w:tc>
          <w:tcPr>
            <w:tcW w:type="dxa" w:w="329"/>
          </w:tcPr>
          <w:p/>
        </w:tc>
        <w:tc>
          <w:tcPr>
            <w:tcW w:type="dxa" w:w="329"/>
          </w:tcPr>
          <w:p/>
        </w:tc>
        <w:tc>
          <w:tcPr>
            <w:tcW w:type="dxa" w:w="329"/>
          </w:tcPr>
          <w:p/>
        </w:tc>
        <w:tc>
          <w:tcPr>
            <w:tcW w:type="dxa" w:w="329"/>
          </w:tcPr>
          <w:p/>
        </w:tc>
      </w:tr>
      <w:tr>
        <w:trPr>
          <w:cantSplit/>
        </w:trPr>
        <w:tc>
          <w:tcPr>
            <w:tcW w:type="dxa" w:w="2551"/>
            <w:vAlign w:val="center"/>
          </w:tcPr>
          <w:p>
            <w:pPr>
              <w:spacing w:after="0" w:before="0" w:line="240" w:lineRule="auto"/>
              <w:jc w:val="left"/>
            </w:pPr>
            <w:r>
              <w:rPr>
                <w:b/>
                <w:color w:val="000000"/>
                <w:sz w:val="13"/>
              </w:rPr>
              <w:t>3.9  Evaluación (top-5, AUC) y explicabilidad SHAP del modelo</w:t>
            </w: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shd w:val="clear" w:color="auto" w:fill="E9A23B"/>
            <w:vAlign w:val="center"/>
          </w:tcPr>
          <w:p>
            <w:pPr>
              <w:spacing w:after="0" w:before="0" w:line="240" w:lineRule="auto"/>
              <w:jc w:val="center"/>
            </w:pPr>
            <w:r>
              <w:rPr>
                <w:b/>
                <w:color w:val="000000"/>
                <w:sz w:val="14"/>
              </w:rPr>
              <w:t>◆</w:t>
            </w:r>
          </w:p>
        </w:tc>
        <w:tc>
          <w:tcPr>
            <w:tcW w:type="dxa" w:w="329"/>
          </w:tcPr>
          <w:p/>
        </w:tc>
        <w:tc>
          <w:tcPr>
            <w:tcW w:type="dxa" w:w="329"/>
          </w:tcPr>
          <w:p/>
        </w:tc>
        <w:tc>
          <w:tcPr>
            <w:tcW w:type="dxa" w:w="329"/>
          </w:tcPr>
          <w:p/>
        </w:tc>
        <w:tc>
          <w:tcPr>
            <w:tcW w:type="dxa" w:w="329"/>
          </w:tcPr>
          <w:p/>
        </w:tc>
        <w:tc>
          <w:tcPr>
            <w:tcW w:type="dxa" w:w="329"/>
          </w:tcPr>
          <w:p/>
        </w:tc>
        <w:tc>
          <w:tcPr>
            <w:tcW w:type="dxa" w:w="329"/>
          </w:tcPr>
          <w:p/>
        </w:tc>
      </w:tr>
      <w:tr>
        <w:trPr>
          <w:cantSplit/>
        </w:trPr>
        <w:tc>
          <w:tcPr>
            <w:tcW w:type="dxa" w:w="2551"/>
            <w:vAlign w:val="center"/>
          </w:tcPr>
          <w:p>
            <w:pPr>
              <w:spacing w:after="0" w:before="0" w:line="240" w:lineRule="auto"/>
              <w:jc w:val="left"/>
            </w:pPr>
            <w:r>
              <w:rPr>
                <w:b w:val="0"/>
                <w:color w:val="000000"/>
                <w:sz w:val="13"/>
              </w:rPr>
              <w:t>3.10  API: autenticación JWT, control de acceso por rol y máquina de estados</w:t>
            </w: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shd w:val="clear" w:color="auto" w:fill="028090"/>
          </w:tcPr>
          <w:p/>
        </w:tc>
        <w:tc>
          <w:tcPr>
            <w:tcW w:type="dxa" w:w="329"/>
          </w:tcPr>
          <w:p/>
        </w:tc>
        <w:tc>
          <w:tcPr>
            <w:tcW w:type="dxa" w:w="329"/>
          </w:tcPr>
          <w:p/>
        </w:tc>
        <w:tc>
          <w:tcPr>
            <w:tcW w:type="dxa" w:w="329"/>
          </w:tcPr>
          <w:p/>
        </w:tc>
        <w:tc>
          <w:tcPr>
            <w:tcW w:type="dxa" w:w="329"/>
          </w:tcPr>
          <w:p/>
        </w:tc>
        <w:tc>
          <w:tcPr>
            <w:tcW w:type="dxa" w:w="329"/>
          </w:tcPr>
          <w:p/>
        </w:tc>
      </w:tr>
      <w:tr>
        <w:trPr>
          <w:cantSplit/>
        </w:trPr>
        <w:tc>
          <w:tcPr>
            <w:tcW w:type="dxa" w:w="2551"/>
            <w:vAlign w:val="center"/>
          </w:tcPr>
          <w:p>
            <w:pPr>
              <w:spacing w:after="0" w:before="0" w:line="240" w:lineRule="auto"/>
              <w:jc w:val="left"/>
            </w:pPr>
            <w:r>
              <w:rPr>
                <w:b w:val="0"/>
                <w:color w:val="000000"/>
                <w:sz w:val="13"/>
              </w:rPr>
              <w:t>3.11  Registro de auditoría inmutable e integración del modelo en la API</w:t>
            </w: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shd w:val="clear" w:color="auto" w:fill="028090"/>
          </w:tcPr>
          <w:p/>
        </w:tc>
        <w:tc>
          <w:tcPr>
            <w:tcW w:type="dxa" w:w="329"/>
          </w:tcPr>
          <w:p/>
        </w:tc>
        <w:tc>
          <w:tcPr>
            <w:tcW w:type="dxa" w:w="329"/>
          </w:tcPr>
          <w:p/>
        </w:tc>
        <w:tc>
          <w:tcPr>
            <w:tcW w:type="dxa" w:w="329"/>
          </w:tcPr>
          <w:p/>
        </w:tc>
        <w:tc>
          <w:tcPr>
            <w:tcW w:type="dxa" w:w="329"/>
          </w:tcPr>
          <w:p/>
        </w:tc>
        <w:tc>
          <w:tcPr>
            <w:tcW w:type="dxa" w:w="329"/>
          </w:tcPr>
          <w:p/>
        </w:tc>
      </w:tr>
      <w:tr>
        <w:trPr>
          <w:cantSplit/>
        </w:trPr>
        <w:tc>
          <w:tcPr>
            <w:tcW w:type="dxa" w:w="2551"/>
            <w:vAlign w:val="center"/>
          </w:tcPr>
          <w:p>
            <w:pPr>
              <w:spacing w:after="0" w:before="0" w:line="240" w:lineRule="auto"/>
              <w:jc w:val="left"/>
            </w:pPr>
            <w:r>
              <w:rPr>
                <w:b w:val="0"/>
                <w:color w:val="000000"/>
                <w:sz w:val="13"/>
              </w:rPr>
              <w:t>3.12  Interfaz web por rol</w:t>
            </w: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shd w:val="clear" w:color="auto" w:fill="028090"/>
          </w:tcPr>
          <w:p/>
        </w:tc>
        <w:tc>
          <w:tcPr>
            <w:tcW w:type="dxa" w:w="329"/>
            <w:shd w:val="clear" w:color="auto" w:fill="028090"/>
          </w:tcPr>
          <w:p/>
        </w:tc>
        <w:tc>
          <w:tcPr>
            <w:tcW w:type="dxa" w:w="329"/>
          </w:tcPr>
          <w:p/>
        </w:tc>
        <w:tc>
          <w:tcPr>
            <w:tcW w:type="dxa" w:w="329"/>
          </w:tcPr>
          <w:p/>
        </w:tc>
        <w:tc>
          <w:tcPr>
            <w:tcW w:type="dxa" w:w="329"/>
          </w:tcPr>
          <w:p/>
        </w:tc>
        <w:tc>
          <w:tcPr>
            <w:tcW w:type="dxa" w:w="329"/>
          </w:tcPr>
          <w:p/>
        </w:tc>
      </w:tr>
      <w:tr>
        <w:trPr>
          <w:cantSplit/>
        </w:trPr>
        <w:tc>
          <w:tcPr>
            <w:tcW w:type="dxa" w:w="2551"/>
            <w:vAlign w:val="center"/>
          </w:tcPr>
          <w:p>
            <w:pPr>
              <w:spacing w:after="0" w:before="0" w:line="240" w:lineRule="auto"/>
              <w:jc w:val="left"/>
            </w:pPr>
            <w:r>
              <w:rPr>
                <w:b w:val="0"/>
                <w:color w:val="000000"/>
                <w:sz w:val="13"/>
              </w:rPr>
              <w:t>3.13  Tablero de cobertura, brechas terapéuticas y tendencias</w:t>
            </w: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shd w:val="clear" w:color="auto" w:fill="028090"/>
          </w:tcPr>
          <w:p/>
        </w:tc>
        <w:tc>
          <w:tcPr>
            <w:tcW w:type="dxa" w:w="329"/>
          </w:tcPr>
          <w:p/>
        </w:tc>
        <w:tc>
          <w:tcPr>
            <w:tcW w:type="dxa" w:w="329"/>
          </w:tcPr>
          <w:p/>
        </w:tc>
        <w:tc>
          <w:tcPr>
            <w:tcW w:type="dxa" w:w="329"/>
          </w:tcPr>
          <w:p/>
        </w:tc>
        <w:tc>
          <w:tcPr>
            <w:tcW w:type="dxa" w:w="329"/>
          </w:tcPr>
          <w:p/>
        </w:tc>
      </w:tr>
      <w:tr>
        <w:trPr>
          <w:cantSplit/>
        </w:trPr>
        <w:tc>
          <w:tcPr>
            <w:tcW w:type="dxa" w:w="2551"/>
            <w:vAlign w:val="center"/>
          </w:tcPr>
          <w:p>
            <w:pPr>
              <w:spacing w:after="0" w:before="0" w:line="240" w:lineRule="auto"/>
              <w:jc w:val="left"/>
            </w:pPr>
            <w:r>
              <w:rPr>
                <w:b/>
                <w:color w:val="000000"/>
                <w:sz w:val="13"/>
              </w:rPr>
              <w:t>3.14  Aplicación móvil: consulta de solicitudes y alertas — cierre de construcción</w:t>
            </w: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shd w:val="clear" w:color="auto" w:fill="E9A23B"/>
            <w:vAlign w:val="center"/>
          </w:tcPr>
          <w:p>
            <w:pPr>
              <w:spacing w:after="0" w:before="0" w:line="240" w:lineRule="auto"/>
              <w:jc w:val="center"/>
            </w:pPr>
            <w:r>
              <w:rPr>
                <w:b/>
                <w:color w:val="000000"/>
                <w:sz w:val="14"/>
              </w:rPr>
              <w:t>◆</w:t>
            </w:r>
          </w:p>
        </w:tc>
        <w:tc>
          <w:tcPr>
            <w:tcW w:type="dxa" w:w="329"/>
          </w:tcPr>
          <w:p/>
        </w:tc>
        <w:tc>
          <w:tcPr>
            <w:tcW w:type="dxa" w:w="329"/>
          </w:tcPr>
          <w:p/>
        </w:tc>
        <w:tc>
          <w:tcPr>
            <w:tcW w:type="dxa" w:w="329"/>
          </w:tcPr>
          <w:p/>
        </w:tc>
        <w:tc>
          <w:tcPr>
            <w:tcW w:type="dxa" w:w="329"/>
          </w:tcPr>
          <w:p/>
        </w:tc>
      </w:tr>
      <w:tr>
        <w:trPr>
          <w:cantSplit/>
        </w:trPr>
        <w:tc>
          <w:tcPr>
            <w:tcW w:type="dxa" w:w="8473"/>
            <w:gridSpan w:val="19"/>
            <w:vAlign w:val="center"/>
            <w:shd w:val="clear" w:color="auto" w:fill="E4EEF0"/>
          </w:tcPr>
          <w:p>
            <w:pPr>
              <w:spacing w:after="0" w:before="0" w:line="240" w:lineRule="auto"/>
              <w:jc w:val="left"/>
            </w:pPr>
            <w:r>
              <w:rPr>
                <w:b/>
                <w:color w:val="0B4F5C"/>
                <w:sz w:val="15"/>
              </w:rPr>
              <w:t>Etapa 4 · Pruebas y verificación</w:t>
            </w:r>
          </w:p>
        </w:tc>
      </w:tr>
      <w:tr>
        <w:trPr>
          <w:cantSplit/>
        </w:trPr>
        <w:tc>
          <w:tcPr>
            <w:tcW w:type="dxa" w:w="2551"/>
            <w:vAlign w:val="center"/>
          </w:tcPr>
          <w:p>
            <w:pPr>
              <w:spacing w:after="0" w:before="0" w:line="240" w:lineRule="auto"/>
              <w:jc w:val="left"/>
            </w:pPr>
            <w:r>
              <w:rPr>
                <w:b w:val="0"/>
                <w:color w:val="000000"/>
                <w:sz w:val="13"/>
              </w:rPr>
              <w:t>4.1  Pruebas unitarias y de integración (ingesta → predicción → recomendación)</w:t>
            </w: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shd w:val="clear" w:color="auto" w:fill="028090"/>
          </w:tcPr>
          <w:p/>
        </w:tc>
        <w:tc>
          <w:tcPr>
            <w:tcW w:type="dxa" w:w="329"/>
          </w:tcPr>
          <w:p/>
        </w:tc>
        <w:tc>
          <w:tcPr>
            <w:tcW w:type="dxa" w:w="329"/>
          </w:tcPr>
          <w:p/>
        </w:tc>
        <w:tc>
          <w:tcPr>
            <w:tcW w:type="dxa" w:w="329"/>
          </w:tcPr>
          <w:p/>
        </w:tc>
      </w:tr>
      <w:tr>
        <w:trPr>
          <w:cantSplit/>
        </w:trPr>
        <w:tc>
          <w:tcPr>
            <w:tcW w:type="dxa" w:w="2551"/>
            <w:vAlign w:val="center"/>
          </w:tcPr>
          <w:p>
            <w:pPr>
              <w:spacing w:after="0" w:before="0" w:line="240" w:lineRule="auto"/>
              <w:jc w:val="left"/>
            </w:pPr>
            <w:r>
              <w:rPr>
                <w:b w:val="0"/>
                <w:color w:val="000000"/>
                <w:sz w:val="13"/>
              </w:rPr>
              <w:t>4.2  Pruebas de extremo a extremo y de rendimiento</w:t>
            </w: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shd w:val="clear" w:color="auto" w:fill="028090"/>
          </w:tcPr>
          <w:p/>
        </w:tc>
        <w:tc>
          <w:tcPr>
            <w:tcW w:type="dxa" w:w="329"/>
          </w:tcPr>
          <w:p/>
        </w:tc>
        <w:tc>
          <w:tcPr>
            <w:tcW w:type="dxa" w:w="329"/>
          </w:tcPr>
          <w:p/>
        </w:tc>
        <w:tc>
          <w:tcPr>
            <w:tcW w:type="dxa" w:w="329"/>
          </w:tcPr>
          <w:p/>
        </w:tc>
      </w:tr>
      <w:tr>
        <w:trPr>
          <w:cantSplit/>
        </w:trPr>
        <w:tc>
          <w:tcPr>
            <w:tcW w:type="dxa" w:w="2551"/>
            <w:vAlign w:val="center"/>
          </w:tcPr>
          <w:p>
            <w:pPr>
              <w:spacing w:after="0" w:before="0" w:line="240" w:lineRule="auto"/>
              <w:jc w:val="left"/>
            </w:pPr>
            <w:r>
              <w:rPr>
                <w:b w:val="0"/>
                <w:color w:val="000000"/>
                <w:sz w:val="13"/>
              </w:rPr>
              <w:t>4.3  Pruebas de seguridad: control de acceso por rol y completitud de la auditoría</w:t>
            </w: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shd w:val="clear" w:color="auto" w:fill="028090"/>
          </w:tcPr>
          <w:p/>
        </w:tc>
        <w:tc>
          <w:tcPr>
            <w:tcW w:type="dxa" w:w="329"/>
          </w:tcPr>
          <w:p/>
        </w:tc>
        <w:tc>
          <w:tcPr>
            <w:tcW w:type="dxa" w:w="329"/>
          </w:tcPr>
          <w:p/>
        </w:tc>
        <w:tc>
          <w:tcPr>
            <w:tcW w:type="dxa" w:w="329"/>
          </w:tcPr>
          <w:p/>
        </w:tc>
      </w:tr>
      <w:tr>
        <w:trPr>
          <w:cantSplit/>
        </w:trPr>
        <w:tc>
          <w:tcPr>
            <w:tcW w:type="dxa" w:w="2551"/>
            <w:vAlign w:val="center"/>
          </w:tcPr>
          <w:p>
            <w:pPr>
              <w:spacing w:after="0" w:before="0" w:line="240" w:lineRule="auto"/>
              <w:jc w:val="left"/>
            </w:pPr>
            <w:r>
              <w:rPr>
                <w:b/>
                <w:color w:val="000000"/>
                <w:sz w:val="13"/>
              </w:rPr>
              <w:t>4.4  Plan de Pruebas con evidencias e Informe Final</w:t>
            </w: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shd w:val="clear" w:color="auto" w:fill="02C39A"/>
            <w:vAlign w:val="center"/>
          </w:tcPr>
          <w:p>
            <w:pPr>
              <w:spacing w:after="0" w:before="0" w:line="240" w:lineRule="auto"/>
              <w:jc w:val="center"/>
            </w:pPr>
            <w:r>
              <w:rPr>
                <w:b/>
                <w:color w:val="000000"/>
                <w:sz w:val="14"/>
              </w:rPr>
              <w:t>◆</w:t>
            </w:r>
          </w:p>
        </w:tc>
        <w:tc>
          <w:tcPr>
            <w:tcW w:type="dxa" w:w="329"/>
          </w:tcPr>
          <w:p/>
        </w:tc>
        <w:tc>
          <w:tcPr>
            <w:tcW w:type="dxa" w:w="329"/>
          </w:tcPr>
          <w:p/>
        </w:tc>
        <w:tc>
          <w:tcPr>
            <w:tcW w:type="dxa" w:w="329"/>
          </w:tcPr>
          <w:p/>
        </w:tc>
      </w:tr>
      <w:tr>
        <w:trPr>
          <w:cantSplit/>
        </w:trPr>
        <w:tc>
          <w:tcPr>
            <w:tcW w:type="dxa" w:w="8473"/>
            <w:gridSpan w:val="19"/>
            <w:vAlign w:val="center"/>
            <w:shd w:val="clear" w:color="auto" w:fill="E4EEF0"/>
          </w:tcPr>
          <w:p>
            <w:pPr>
              <w:spacing w:after="0" w:before="0" w:line="240" w:lineRule="auto"/>
              <w:jc w:val="left"/>
            </w:pPr>
            <w:r>
              <w:rPr>
                <w:b/>
                <w:color w:val="0B4F5C"/>
                <w:sz w:val="15"/>
              </w:rPr>
              <w:t>Etapa 5 · Despliegue y cierre</w:t>
            </w:r>
          </w:p>
        </w:tc>
      </w:tr>
      <w:tr>
        <w:trPr>
          <w:cantSplit/>
        </w:trPr>
        <w:tc>
          <w:tcPr>
            <w:tcW w:type="dxa" w:w="2551"/>
            <w:vAlign w:val="center"/>
          </w:tcPr>
          <w:p>
            <w:pPr>
              <w:spacing w:after="0" w:before="0" w:line="240" w:lineRule="auto"/>
              <w:jc w:val="left"/>
            </w:pPr>
            <w:r>
              <w:rPr>
                <w:b w:val="0"/>
                <w:color w:val="000000"/>
                <w:sz w:val="13"/>
              </w:rPr>
              <w:t>5.1  Corrección de defectos y retroalimentación del Informe Final</w:t>
            </w: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shd w:val="clear" w:color="auto" w:fill="028090"/>
          </w:tcPr>
          <w:p/>
        </w:tc>
        <w:tc>
          <w:tcPr>
            <w:tcW w:type="dxa" w:w="329"/>
          </w:tcPr>
          <w:p/>
        </w:tc>
        <w:tc>
          <w:tcPr>
            <w:tcW w:type="dxa" w:w="329"/>
          </w:tcPr>
          <w:p/>
        </w:tc>
      </w:tr>
      <w:tr>
        <w:trPr>
          <w:cantSplit/>
        </w:trPr>
        <w:tc>
          <w:tcPr>
            <w:tcW w:type="dxa" w:w="2551"/>
            <w:vAlign w:val="center"/>
          </w:tcPr>
          <w:p>
            <w:pPr>
              <w:spacing w:after="0" w:before="0" w:line="240" w:lineRule="auto"/>
              <w:jc w:val="left"/>
            </w:pPr>
            <w:r>
              <w:rPr>
                <w:b/>
                <w:color w:val="000000"/>
                <w:sz w:val="13"/>
              </w:rPr>
              <w:t>5.2  Manual técnico y de despliegue; README final del repositorio</w:t>
            </w: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shd w:val="clear" w:color="auto" w:fill="E9A23B"/>
            <w:vAlign w:val="center"/>
          </w:tcPr>
          <w:p>
            <w:pPr>
              <w:spacing w:after="0" w:before="0" w:line="240" w:lineRule="auto"/>
              <w:jc w:val="center"/>
            </w:pPr>
            <w:r>
              <w:rPr>
                <w:b/>
                <w:color w:val="000000"/>
                <w:sz w:val="14"/>
              </w:rPr>
              <w:t>◆</w:t>
            </w:r>
          </w:p>
        </w:tc>
        <w:tc>
          <w:tcPr>
            <w:tcW w:type="dxa" w:w="329"/>
          </w:tcPr>
          <w:p/>
        </w:tc>
        <w:tc>
          <w:tcPr>
            <w:tcW w:type="dxa" w:w="329"/>
          </w:tcPr>
          <w:p/>
        </w:tc>
      </w:tr>
      <w:tr>
        <w:trPr>
          <w:cantSplit/>
        </w:trPr>
        <w:tc>
          <w:tcPr>
            <w:tcW w:type="dxa" w:w="2551"/>
            <w:vAlign w:val="center"/>
          </w:tcPr>
          <w:p>
            <w:pPr>
              <w:spacing w:after="0" w:before="0" w:line="240" w:lineRule="auto"/>
              <w:jc w:val="left"/>
            </w:pPr>
            <w:r>
              <w:rPr>
                <w:b w:val="0"/>
                <w:color w:val="000000"/>
                <w:sz w:val="13"/>
              </w:rPr>
              <w:t>5.3  Preparación de la presentación y la demostración (incluye parte en inglés)</w:t>
            </w: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shd w:val="clear" w:color="auto" w:fill="028090"/>
          </w:tcPr>
          <w:p/>
        </w:tc>
        <w:tc>
          <w:tcPr>
            <w:tcW w:type="dxa" w:w="329"/>
          </w:tcPr>
          <w:p/>
        </w:tc>
      </w:tr>
      <w:tr>
        <w:trPr>
          <w:cantSplit/>
        </w:trPr>
        <w:tc>
          <w:tcPr>
            <w:tcW w:type="dxa" w:w="2551"/>
            <w:vAlign w:val="center"/>
          </w:tcPr>
          <w:p>
            <w:pPr>
              <w:spacing w:after="0" w:before="0" w:line="240" w:lineRule="auto"/>
              <w:jc w:val="left"/>
            </w:pPr>
            <w:r>
              <w:rPr>
                <w:b/>
                <w:color w:val="000000"/>
                <w:sz w:val="13"/>
              </w:rPr>
              <w:t>5.4  Presentación final ante comisión</w:t>
            </w: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tcPr>
          <w:p/>
        </w:tc>
        <w:tc>
          <w:tcPr>
            <w:tcW w:type="dxa" w:w="329"/>
            <w:shd w:val="clear" w:color="auto" w:fill="7FDFC7"/>
          </w:tcPr>
          <w:p/>
        </w:tc>
        <w:tc>
          <w:tcPr>
            <w:tcW w:type="dxa" w:w="329"/>
            <w:shd w:val="clear" w:color="auto" w:fill="02C39A"/>
            <w:vAlign w:val="center"/>
          </w:tcPr>
          <w:p>
            <w:pPr>
              <w:spacing w:after="0" w:before="0" w:line="240" w:lineRule="auto"/>
              <w:jc w:val="center"/>
            </w:pPr>
            <w:r>
              <w:rPr>
                <w:b/>
                <w:color w:val="000000"/>
                <w:sz w:val="14"/>
              </w:rPr>
              <w:t>◆</w:t>
            </w:r>
          </w:p>
        </w:tc>
      </w:tr>
    </w:tbl>
    <w:p>
      <w:pPr>
        <w:spacing w:before="80"/>
      </w:pPr>
      <w:r>
        <w:rPr>
          <w:color w:val="028090"/>
          <w:sz w:val="16"/>
        </w:rPr>
        <w:t>■</w:t>
      </w:r>
      <w:r>
        <w:rPr>
          <w:sz w:val="16"/>
        </w:rPr>
        <w:t xml:space="preserve"> Desarrollo   </w:t>
      </w:r>
      <w:r>
        <w:rPr>
          <w:color w:val="E9A23B"/>
          <w:sz w:val="16"/>
        </w:rPr>
        <w:t>◆</w:t>
      </w:r>
      <w:r>
        <w:rPr>
          <w:sz w:val="16"/>
        </w:rPr>
        <w:t xml:space="preserve"> Puerta de control   </w:t>
      </w:r>
      <w:r>
        <w:rPr>
          <w:color w:val="02C39A"/>
          <w:sz w:val="16"/>
        </w:rPr>
        <w:t>◆</w:t>
      </w:r>
      <w:r>
        <w:rPr>
          <w:sz w:val="16"/>
        </w:rPr>
        <w:t xml:space="preserve"> Evaluación sumativa del curso</w:t>
      </w:r>
    </w:p>
    <w:p w14:paraId="18F2DC26" w14:textId="77777777" w:rsidR="00D110EC" w:rsidRDefault="00D110EC"/>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r/>
            <w:r>
              <w:rPr>
                <w:rFonts w:ascii="Calibri" w:hAnsi="Calibri"/>
                <w:b/>
                <w:sz w:val="28"/>
              </w:rPr>
              <w:t>9. Abstract</w:t>
            </w:r>
          </w:p>
        </w:tc>
      </w:tr>
      <w:tr w:rsidR="00416B89" w14:paraId="3D1E863C" w14:textId="77777777" w:rsidTr="00E65CC9">
        <w:trPr>
          <w:trHeight w:val="440"/>
        </w:trPr>
        <w:tc>
          <w:tcPr>
            <w:tcW w:w="9640" w:type="dxa"/>
            <w:shd w:val="clear" w:color="auto" w:fill="D9E2F3" w:themeFill="accent1" w:themeFillTint="33"/>
            <w:vAlign w:val="center"/>
          </w:tcPr>
          <w:p>
            <w:r/>
            <w:r>
              <w:rPr>
                <w:rFonts w:ascii="Calibri" w:hAnsi="Calibri"/>
                <w:b w:val="0"/>
                <w:sz w:val="22"/>
              </w:rPr>
              <w:t>Resumen del proyecto redactado en inglés, conforme a la sección 11 del Instructivo CAPSTONE.</w:t>
            </w:r>
          </w:p>
        </w:tc>
      </w:tr>
    </w:tbl>
    <w:p>
      <w:pPr>
        <w:spacing w:after="160"/>
        <w:ind w:left="0" w:right="0" w:firstLine="0"/>
        <w:jc w:val="both"/>
      </w:pPr>
      <w:r>
        <w:rPr>
          <w:rFonts w:ascii="Calibri" w:hAnsi="Calibri"/>
          <w:sz w:val="22"/>
        </w:rPr>
        <w:t>Antimicrobial resistance is one of the most serious global health threats identified by the World Health Organization. When a hospitalised patient develops an infection caused by bacteria resistant to carbapenems — the last-resort antibiotics — treatment options are effectively exhausted. In Chile the problem is documented and monitored: the Public Health Institute has tracked carbapenemases since the first case of KPC-producing Klebsiella pneumoniae was detected in 2012, and of the 489 carbapenemase-producing isolates it processed between 2014 and 2017, 58 % were Klebsiella.</w:t>
      </w:r>
    </w:p>
    <w:p>
      <w:pPr>
        <w:spacing w:after="160"/>
        <w:ind w:left="0" w:right="0" w:firstLine="0"/>
        <w:jc w:val="both"/>
      </w:pPr>
      <w:r>
        <w:rPr>
          <w:rFonts w:ascii="Calibri" w:hAnsi="Calibri"/>
          <w:sz w:val="22"/>
        </w:rPr>
        <w:t>Phage therapy has emerged as an alternative. Bacteriophages are viruses that infect and destroy bacteria without harming human cells. Their bottleneck is operational rather than conceptual: each phage infects only one or a few specific bacterial strains, so identifying which of the hundreds of known phages can infect a particular isolate currently requires testing them one by one in the laboratory — a process that is slow and expensive in a context where the patient cannot wait.</w:t>
      </w:r>
    </w:p>
    <w:p>
      <w:pPr>
        <w:spacing w:after="160"/>
        <w:ind w:left="0" w:right="0" w:firstLine="0"/>
        <w:jc w:val="both"/>
      </w:pPr>
      <w:r>
        <w:rPr>
          <w:rFonts w:ascii="Calibri" w:hAnsi="Calibri"/>
          <w:sz w:val="22"/>
        </w:rPr>
        <w:t>SIRFA (Phage Recommendation System against Antibiotic Resistance) is a web platform that addresses this bottleneck computationally. A clinical laboratory registers a resistant bacterial isolate and uploads its genome; a bioinformatics pipeline processes it through quality control, species identification and typing, and a machine learning model predicts which phages from a curated bank are likely to infect that specific strain, returning a ranked list of candidates together with an explanation of the features supporting each prediction. A microbiologist reviews and validates the result before the recommendation is issued, and the requesting clinician consults it through the web interface or a companion mobile application. Role-based access control and an immutable audit trail cover the entire workflow, since clinical-origin data is involved, and an epidemiological dashboard reports phage bank coverage, therapeutic gaps and resistance trends over time.</w:t>
      </w:r>
    </w:p>
    <w:p>
      <w:pPr>
        <w:spacing w:after="160"/>
        <w:ind w:left="0" w:right="0" w:firstLine="0"/>
        <w:jc w:val="both"/>
      </w:pPr>
      <w:r>
        <w:rPr>
          <w:rFonts w:ascii="Calibri" w:hAnsi="Calibri"/>
          <w:sz w:val="22"/>
        </w:rPr>
        <w:t>The system does not diagnose or prescribe. Every output is a prioritised hypothesis to be tested, not a validated result, and no recommendation is clinically applicable without prior experimental validation in the laboratory. The project is entirely computational and works only with publicly available, de-identified genomes. Its contribution is to turn a predictive capability already demonstrated in the literature into an operable platform, with the traceability a clinical context demands and the aggregate view a health system needs in order to know where its therapeutic coverage falls short.</w:t>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r/>
            <w:r>
              <w:rPr>
                <w:rFonts w:ascii="Calibri" w:hAnsi="Calibri"/>
                <w:b/>
                <w:sz w:val="28"/>
              </w:rPr>
              <w:t>10. Conclusions and Individual Reflection</w:t>
            </w:r>
          </w:p>
        </w:tc>
      </w:tr>
      <w:tr w:rsidR="00416B89" w14:paraId="3D1E863C" w14:textId="77777777" w:rsidTr="00E65CC9">
        <w:trPr>
          <w:trHeight w:val="440"/>
        </w:trPr>
        <w:tc>
          <w:tcPr>
            <w:tcW w:w="9640" w:type="dxa"/>
            <w:shd w:val="clear" w:color="auto" w:fill="D9E2F3" w:themeFill="accent1" w:themeFillTint="33"/>
            <w:vAlign w:val="center"/>
          </w:tcPr>
          <w:p>
            <w:r/>
            <w:r>
              <w:rPr>
                <w:rFonts w:ascii="Calibri" w:hAnsi="Calibri"/>
                <w:b w:val="0"/>
                <w:sz w:val="22"/>
              </w:rPr>
              <w:t>Conclusiones y reflexión individual en inglés, conforme a la sección 11 del Instructivo CAPSTONE.</w:t>
            </w:r>
          </w:p>
        </w:tc>
      </w:tr>
    </w:tbl>
    <w:p>
      <w:pPr>
        <w:spacing w:after="160"/>
        <w:ind w:left="0" w:right="0" w:firstLine="0"/>
        <w:jc w:val="both"/>
      </w:pPr>
      <w:r>
        <w:rPr>
          <w:rFonts w:ascii="Calibri" w:hAnsi="Calibri"/>
          <w:sz w:val="22"/>
        </w:rPr>
        <w:t>SIRFA has been my project since the previous course, and defining it further this semester taught me more about engineering judgement than about biology. The work was not choosing a topic but sharpening one: fixing the scope, the user roles and the architecture until the proposal met the course criteria in full — in particular, that the solution be a complete application and not an analysis utility built around a single type of user.</w:t>
      </w:r>
    </w:p>
    <w:p>
      <w:pPr>
        <w:spacing w:after="160"/>
        <w:ind w:left="0" w:right="0" w:firstLine="0"/>
        <w:jc w:val="both"/>
      </w:pPr>
      <w:r>
        <w:rPr>
          <w:rFonts w:ascii="Calibri" w:hAnsi="Calibri"/>
          <w:sz w:val="22"/>
        </w:rPr>
        <w:t>That process clarified what I actually want to build. My professional interests lie in complete platforms — architecture, data, integration and security working together — rather than isolated components, and in applying machine learning to domains where the decision the system supports has real consequences. SIRFA satisfies both. Technically it demands requirements engineering across five user profiles, a data model that sustains both a transactional domain and analytical outputs, integration with external genomic repositories, access control and traceability over sensitive information, and a predictive model with explainability, because a black box is not acceptable in a clinical decision context. In terms of purpose, it addresses antimicrobial resistance, a problem that is documented, measured and prioritised by Chilean public health policy.</w:t>
      </w:r>
    </w:p>
    <w:p>
      <w:pPr>
        <w:spacing w:after="160"/>
        <w:ind w:left="0" w:right="0" w:firstLine="0"/>
        <w:jc w:val="both"/>
      </w:pPr>
      <w:r>
        <w:rPr>
          <w:rFonts w:ascii="Calibri" w:hAnsi="Calibri"/>
          <w:sz w:val="22"/>
        </w:rPr>
        <w:t>The main risk I have identified is the breadth of the scope for a single developer over fourteen effective weeks. I have mitigated it by narrowing the project to one pathogen — Klebsiella pneumoniae, the only one with a public dataset of experimentally verified strain-level interactions — and by limiting the mobile application to consultation and alerts rather than replicating the platform. A second risk is the computational cost of generating protein representations, which I plan to manage with reduced model variants and a precomputed cache.</w:t>
      </w:r>
    </w:p>
    <w:p>
      <w:pPr>
        <w:spacing w:after="160"/>
        <w:ind w:left="0" w:right="0" w:firstLine="0"/>
        <w:jc w:val="both"/>
      </w:pPr>
      <w:r>
        <w:rPr>
          <w:rFonts w:ascii="Calibri" w:hAnsi="Calibri"/>
          <w:sz w:val="22"/>
        </w:rPr>
        <w:t>What I expect to gain from this project is the habit of building to industry standards: security by design, traceability, and systematic testing planned from the design stage and executed against a formal test plan. I also expect to move from consuming machine learning models to training and evaluating them against metrics I can defend before published literature, which is the gap I most want to close in my own training. Above all, I want to finish the semester with a system I can demonstrate and explain in depth, in an area — health and data — where I intend to develop professionally after graduating.</w:t>
      </w:r>
    </w:p>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