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0B4F5C"/>
          <w:sz w:val="40"/>
        </w:rPr>
        <w:t>Carta Gantt — SIRFA</w:t>
      </w:r>
    </w:p>
    <w:p>
      <w:pPr>
        <w:spacing w:after="20" w:before="0"/>
      </w:pPr>
      <w:r>
        <w:rPr>
          <w:rFonts w:ascii="Calibri" w:hAnsi="Calibri"/>
          <w:b w:val="0"/>
          <w:i w:val="0"/>
          <w:color w:val="028090"/>
          <w:sz w:val="22"/>
        </w:rPr>
        <w:t>Sistema de Recomendación de Fagos frente a Antibiorresistencia  ·  18 semanas, del 10 de agosto al 12 de diciembre de 2026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595959"/>
          <w:sz w:val="18"/>
        </w:rPr>
        <w:t>Johao Ramírez  ·  Capstone PTY4614 / APT122  ·  Duoc UC, sede San Joaquín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rPr>
          <w:cantSplit/>
          <w:tblHeader w:val="true"/>
        </w:trPr>
        <w:tc>
          <w:tcPr>
            <w:tcW w:type="dxa" w:w="5329"/>
            <w:shd w:val="clear" w:color="auto" w:fill="0B4F5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737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  <w:tc>
          <w:tcPr>
            <w:tcW w:type="dxa" w:w="493"/>
            <w:gridSpan w:val="4"/>
            <w:shd w:val="clear" w:color="auto" w:fill="EEF4F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B4F5C"/>
                <w:sz w:val="17"/>
              </w:rPr>
              <w:t>Fase 1</w:t>
            </w:r>
          </w:p>
        </w:tc>
        <w:tc>
          <w:tcPr>
            <w:tcW w:type="dxa" w:w="493"/>
            <w:gridSpan w:val="12"/>
            <w:shd w:val="clear" w:color="auto" w:fill="D9E7E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B4F5C"/>
                <w:sz w:val="17"/>
              </w:rPr>
              <w:t>Fase 2</w:t>
            </w:r>
          </w:p>
        </w:tc>
        <w:tc>
          <w:tcPr>
            <w:tcW w:type="dxa" w:w="493"/>
            <w:gridSpan w:val="2"/>
            <w:shd w:val="clear" w:color="auto" w:fill="EEF4F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B4F5C"/>
                <w:sz w:val="17"/>
              </w:rPr>
              <w:t>Fase 3</w:t>
            </w:r>
          </w:p>
        </w:tc>
      </w:tr>
      <w:tr>
        <w:trPr>
          <w:cantSplit/>
          <w:tblHeader w:val="true"/>
        </w:trPr>
        <w:tc>
          <w:tcPr>
            <w:tcW w:type="dxa" w:w="5329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737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1</w:t>
            </w:r>
          </w:p>
        </w:tc>
        <w:tc>
          <w:tcPr>
            <w:tcW w:type="dxa" w:w="493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2</w:t>
            </w:r>
          </w:p>
        </w:tc>
        <w:tc>
          <w:tcPr>
            <w:tcW w:type="dxa" w:w="493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3</w:t>
            </w:r>
          </w:p>
        </w:tc>
        <w:tc>
          <w:tcPr>
            <w:tcW w:type="dxa" w:w="493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4</w:t>
            </w:r>
          </w:p>
        </w:tc>
        <w:tc>
          <w:tcPr>
            <w:tcW w:type="dxa" w:w="493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5</w:t>
            </w:r>
          </w:p>
        </w:tc>
        <w:tc>
          <w:tcPr>
            <w:tcW w:type="dxa" w:w="493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6</w:t>
            </w:r>
          </w:p>
        </w:tc>
        <w:tc>
          <w:tcPr>
            <w:tcW w:type="dxa" w:w="493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7</w:t>
            </w:r>
          </w:p>
        </w:tc>
        <w:tc>
          <w:tcPr>
            <w:tcW w:type="dxa" w:w="493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8</w:t>
            </w:r>
          </w:p>
        </w:tc>
        <w:tc>
          <w:tcPr>
            <w:tcW w:type="dxa" w:w="493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9</w:t>
            </w:r>
          </w:p>
        </w:tc>
        <w:tc>
          <w:tcPr>
            <w:tcW w:type="dxa" w:w="493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10</w:t>
            </w:r>
          </w:p>
        </w:tc>
        <w:tc>
          <w:tcPr>
            <w:tcW w:type="dxa" w:w="493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11</w:t>
            </w:r>
          </w:p>
        </w:tc>
        <w:tc>
          <w:tcPr>
            <w:tcW w:type="dxa" w:w="493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12</w:t>
            </w:r>
          </w:p>
        </w:tc>
        <w:tc>
          <w:tcPr>
            <w:tcW w:type="dxa" w:w="493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13</w:t>
            </w:r>
          </w:p>
        </w:tc>
        <w:tc>
          <w:tcPr>
            <w:tcW w:type="dxa" w:w="493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14</w:t>
            </w:r>
          </w:p>
        </w:tc>
        <w:tc>
          <w:tcPr>
            <w:tcW w:type="dxa" w:w="493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15</w:t>
            </w:r>
          </w:p>
        </w:tc>
        <w:tc>
          <w:tcPr>
            <w:tcW w:type="dxa" w:w="493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16</w:t>
            </w:r>
          </w:p>
        </w:tc>
        <w:tc>
          <w:tcPr>
            <w:tcW w:type="dxa" w:w="493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17</w:t>
            </w:r>
          </w:p>
        </w:tc>
        <w:tc>
          <w:tcPr>
            <w:tcW w:type="dxa" w:w="493"/>
            <w:shd w:val="clear" w:color="auto" w:fill="0B4F5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5329"/>
            <w:shd w:val="clear" w:color="auto" w:fill="F7F9FA"/>
          </w:tcPr>
          <w:p>
            <w:pPr>
              <w:spacing w:before="20" w:after="20" w:line="240" w:lineRule="auto"/>
              <w:jc w:val="left"/>
            </w:pPr>
            <w:r>
              <w:t>Definición del proyecto y marco teórico</w:t>
            </w:r>
            <w:r>
              <w:rPr>
                <w:rFonts w:ascii="Calibri" w:hAnsi="Calibri"/>
                <w:b w:val="0"/>
                <w:color w:val="1F1F1F"/>
                <w:sz w:val="17"/>
              </w:rPr>
            </w:r>
          </w:p>
        </w:tc>
        <w:tc>
          <w:tcPr>
            <w:tcW w:type="dxa" w:w="737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28090"/>
                <w:sz w:val="16"/>
              </w:rPr>
              <w:t>—</w:t>
            </w:r>
          </w:p>
        </w:tc>
        <w:tc>
          <w:tcPr>
            <w:tcW w:type="dxa" w:w="493"/>
            <w:shd w:val="clear" w:color="auto" w:fill="028090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8090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8090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/>
                <w:color w:val="1F1F1F"/>
                <w:sz w:val="17"/>
              </w:rPr>
              <w:t>Presentación de Fase 1 — Definición de Proyecto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28090"/>
                <w:sz w:val="16"/>
              </w:rPr>
              <w:t>—</w:t>
            </w:r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C39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43B46"/>
                <w:sz w:val="16"/>
              </w:rPr>
              <w:t>◆</w:t>
            </w:r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5329"/>
            <w:shd w:val="clear" w:color="auto" w:fill="F7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7"/>
              </w:rPr>
              <w:t>Retroalimentación, repositorio público y entorno Docker</w:t>
            </w:r>
          </w:p>
        </w:tc>
        <w:tc>
          <w:tcPr>
            <w:tcW w:type="dxa" w:w="737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28090"/>
                <w:sz w:val="16"/>
              </w:rPr>
              <w:t>OE1</w:t>
            </w:r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8090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7"/>
              </w:rPr>
              <w:t>Requisitos, arquitectura, modelo de datos y diagramas UML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28090"/>
                <w:sz w:val="16"/>
              </w:rPr>
              <w:t>OE1</w:t>
            </w:r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8090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8090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5329"/>
            <w:shd w:val="clear" w:color="auto" w:fill="F7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7"/>
              </w:rPr>
              <w:t>Pipeline de ingesta y procesamiento genómico</w:t>
            </w:r>
          </w:p>
        </w:tc>
        <w:tc>
          <w:tcPr>
            <w:tcW w:type="dxa" w:w="737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28090"/>
                <w:sz w:val="16"/>
              </w:rPr>
              <w:t>OE2</w:t>
            </w:r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8090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8090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7"/>
              </w:rPr>
              <w:t>Curación y carga del banco de fagos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28090"/>
                <w:sz w:val="16"/>
              </w:rPr>
              <w:t>OE2</w:t>
            </w:r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8090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8090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5329"/>
            <w:shd w:val="clear" w:color="auto" w:fill="F7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/>
                <w:color w:val="1F1F1F"/>
                <w:sz w:val="17"/>
              </w:rPr>
              <w:t>Informe de Avance — pipeline funcionando y banco poblado</w:t>
            </w:r>
          </w:p>
        </w:tc>
        <w:tc>
          <w:tcPr>
            <w:tcW w:type="dxa" w:w="737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28090"/>
                <w:sz w:val="16"/>
              </w:rPr>
              <w:t>OE2</w:t>
            </w:r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C39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43B46"/>
                <w:sz w:val="16"/>
              </w:rPr>
              <w:t>◆</w:t>
            </w:r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7"/>
              </w:rPr>
              <w:t>Modelo de predicción: entrenamiento, evaluación y explicabilidad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28090"/>
                <w:sz w:val="16"/>
              </w:rPr>
              <w:t>OE3</w:t>
            </w:r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8090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8090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5329"/>
            <w:shd w:val="clear" w:color="auto" w:fill="F7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7"/>
              </w:rPr>
              <w:t>Plataforma web: API, interfaz, solicitudes, RBAC y auditoría</w:t>
            </w:r>
          </w:p>
        </w:tc>
        <w:tc>
          <w:tcPr>
            <w:tcW w:type="dxa" w:w="737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28090"/>
                <w:sz w:val="16"/>
              </w:rPr>
              <w:t>OE4</w:t>
            </w:r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8090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8090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7"/>
              </w:rPr>
              <w:t>Tablero de cobertura, brechas y tendencias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28090"/>
                <w:sz w:val="16"/>
              </w:rPr>
              <w:t>OE4</w:t>
            </w:r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8090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8090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5329"/>
            <w:shd w:val="clear" w:color="auto" w:fill="F7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7"/>
              </w:rPr>
              <w:t>Aplicación móvil y ejecución del plan de pruebas</w:t>
            </w:r>
          </w:p>
        </w:tc>
        <w:tc>
          <w:tcPr>
            <w:tcW w:type="dxa" w:w="737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28090"/>
                <w:sz w:val="16"/>
              </w:rPr>
              <w:t>OE5</w:t>
            </w:r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8090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/>
                <w:color w:val="1F1F1F"/>
                <w:sz w:val="17"/>
              </w:rPr>
              <w:t>Informe Final — sistema integrado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28090"/>
                <w:sz w:val="16"/>
              </w:rPr>
              <w:t>OE5</w:t>
            </w:r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C39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43B46"/>
                <w:sz w:val="16"/>
              </w:rPr>
              <w:t>◆</w:t>
            </w:r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5329"/>
            <w:shd w:val="clear" w:color="auto" w:fill="F7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7"/>
              </w:rPr>
              <w:t>Retroalimentación, pulido de la plataforma y documentación</w:t>
            </w:r>
          </w:p>
        </w:tc>
        <w:tc>
          <w:tcPr>
            <w:tcW w:type="dxa" w:w="737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28090"/>
                <w:sz w:val="16"/>
              </w:rPr>
              <w:t>—</w:t>
            </w:r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8090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/>
                <w:color w:val="1F1F1F"/>
                <w:sz w:val="17"/>
              </w:rPr>
              <w:t>Preparación y presentación final ante comisión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28090"/>
                <w:sz w:val="16"/>
              </w:rPr>
              <w:t>Todos</w:t>
            </w:r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493"/>
            <w:shd w:val="clear" w:color="auto" w:fill="02C39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43B46"/>
                <w:sz w:val="16"/>
              </w:rPr>
              <w:t>◆</w:t>
            </w:r>
          </w:p>
        </w:tc>
        <w:tc>
          <w:tcPr>
            <w:tcW w:type="dxa" w:w="493"/>
            <w:shd w:val="clear" w:color="auto" w:fill="02C39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043B46"/>
                <w:sz w:val="16"/>
              </w:rPr>
              <w:t>◆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c>
          <w:tcPr>
            <w:tcW w:type="dxa" w:w="397"/>
            <w:shd w:val="clear" w:color="auto" w:fill="028090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147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Desarrollo</w:t>
            </w:r>
          </w:p>
        </w:tc>
        <w:tc>
          <w:tcPr>
            <w:tcW w:type="dxa" w:w="397"/>
            <w:shd w:val="clear" w:color="auto" w:fill="02C39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1F1F1F"/>
                <w:sz w:val="18"/>
              </w:rPr>
              <w:t>◆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Evaluación sumativa</w:t>
            </w:r>
          </w:p>
        </w:tc>
        <w:tc>
          <w:tcPr>
            <w:tcW w:type="dxa" w:w="113"/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113"/>
          </w:tcPr>
          <w:p>
            <w:pPr>
              <w:spacing w:before="20" w:after="20" w:line="240" w:lineRule="auto"/>
              <w:jc w:val="center"/>
            </w:pPr>
            <w:r/>
          </w:p>
        </w:tc>
      </w:tr>
    </w:tbl>
    <w:p>
      <w:pPr>
        <w:spacing w:after="80"/>
      </w:pPr>
    </w:p>
    <w:p>
      <w:pPr>
        <w:spacing w:after="80" w:before="120"/>
      </w:pPr>
      <w:r>
        <w:rPr>
          <w:rFonts w:ascii="Calibri" w:hAnsi="Calibri"/>
          <w:b/>
          <w:i w:val="0"/>
          <w:color w:val="0B4F5C"/>
          <w:sz w:val="24"/>
        </w:rPr>
        <w:t>Hitos evaluativos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1134"/>
            <w:shd w:val="clear" w:color="auto" w:fill="0B4F5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2381"/>
            <w:shd w:val="clear" w:color="auto" w:fill="0B4F5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Fechas</w:t>
            </w:r>
          </w:p>
        </w:tc>
        <w:tc>
          <w:tcPr>
            <w:tcW w:type="dxa" w:w="7143"/>
            <w:shd w:val="clear" w:color="auto" w:fill="0B4F5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Hito</w:t>
            </w:r>
          </w:p>
        </w:tc>
        <w:tc>
          <w:tcPr>
            <w:tcW w:type="dxa" w:w="1474"/>
            <w:shd w:val="clear" w:color="auto" w:fill="0B4F5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Ponderación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2381"/>
            <w:shd w:val="clear" w:color="auto" w:fill="F7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31 ago – 5 sep</w:t>
            </w:r>
          </w:p>
        </w:tc>
        <w:tc>
          <w:tcPr>
            <w:tcW w:type="dxa" w:w="7143"/>
            <w:shd w:val="clear" w:color="auto" w:fill="F7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Fase 1 · Definición de Proyecto (con presentación)</w:t>
            </w:r>
          </w:p>
        </w:tc>
        <w:tc>
          <w:tcPr>
            <w:tcW w:type="dxa" w:w="1474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1F1F1F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12 – 17 oct</w:t>
            </w:r>
          </w:p>
        </w:tc>
        <w:tc>
          <w:tcPr>
            <w:tcW w:type="dxa" w:w="714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Fase 2 · Informe de Avance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1F1F1F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2381"/>
            <w:shd w:val="clear" w:color="auto" w:fill="F7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16 – 21 nov</w:t>
            </w:r>
          </w:p>
        </w:tc>
        <w:tc>
          <w:tcPr>
            <w:tcW w:type="dxa" w:w="7143"/>
            <w:shd w:val="clear" w:color="auto" w:fill="F7F9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Fase 2 · Informe Final</w:t>
            </w:r>
          </w:p>
        </w:tc>
        <w:tc>
          <w:tcPr>
            <w:tcW w:type="dxa" w:w="1474"/>
            <w:shd w:val="clear" w:color="auto" w:fill="F7F9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1F1F1F"/>
                <w:sz w:val="18"/>
              </w:rPr>
              <w:t>30 %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17–18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30 nov – 12 dic</w:t>
            </w:r>
          </w:p>
        </w:tc>
        <w:tc>
          <w:tcPr>
            <w:tcW w:type="dxa" w:w="714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Fase 3 · Presentación ante comisión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1F1F1F"/>
                <w:sz w:val="18"/>
              </w:rPr>
              <w:t>30 %</w:t>
            </w:r>
          </w:p>
        </w:tc>
      </w:tr>
    </w:tbl>
    <w:p>
      <w:pPr>
        <w:spacing w:after="100" w:before="160"/>
      </w:pPr>
      <w:r>
        <w:rPr>
          <w:rFonts w:ascii="Calibri" w:hAnsi="Calibri"/>
          <w:b w:val="0"/>
          <w:i/>
          <w:color w:val="595959"/>
          <w:sz w:val="17"/>
        </w:rPr>
        <w:t>Elaborada sobre el cronograma oficial de la asignatura (2026.02_Cronograma_Capstone_PTY4614.xlsx). Las actividades corresponden a los cinco objetivos específicos del proyecto; cada tramo constituye un sprint de la metodología ágil adoptada.</w:t>
      </w:r>
    </w:p>
    <w:sectPr w:rsidR="00FC693F" w:rsidRPr="0006063C" w:rsidSect="00034616">
      <w:footerReference w:type="default" r:id="rId9"/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>SIRFA · Carta Gantt · Johao Ramírez · Capstone PTY4614, Duoc UC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