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
        <w:jc w:val="center"/>
      </w:pPr>
      <w:r>
        <w:rPr>
          <w:sz w:val="26"/>
          <w:szCs w:val="26"/>
        </w:rPr>
        <w:t xml:space="preserve">Duoc UC · Escuela de Informática y Telecomunicaciones</w:t>
      </w:r>
    </w:p>
    <w:p>
      <w:pPr>
        <w:spacing w:before="0" w:after="120"/>
        <w:jc w:val="center"/>
      </w:pPr>
      <w:r>
        <w:rPr>
          <w:sz w:val="24"/>
          <w:szCs w:val="24"/>
        </w:rPr>
        <w:t xml:space="preserve">Sede San Joaquín</w:t>
      </w:r>
    </w:p>
    <w:p>
      <w:pPr>
        <w:spacing w:before="2200" w:after="120"/>
        <w:jc w:val="center"/>
      </w:pPr>
      <w:r>
        <w:rPr>
          <w:b/>
          <w:sz w:val="32"/>
          <w:szCs w:val="32"/>
        </w:rPr>
        <w:t xml:space="preserve">Informe de Avance · Fase 2</w:t>
      </w:r>
    </w:p>
    <w:p>
      <w:pPr>
        <w:spacing w:before="240" w:after="120"/>
        <w:jc w:val="center"/>
      </w:pPr>
      <w:r>
        <w:rPr>
          <w:b/>
          <w:sz w:val="64"/>
          <w:szCs w:val="64"/>
        </w:rPr>
        <w:t xml:space="preserve">SIRFA</w:t>
      </w:r>
    </w:p>
    <w:p>
      <w:pPr>
        <w:spacing w:before="0" w:after="1400"/>
        <w:jc w:val="center"/>
      </w:pPr>
      <w:r>
        <w:rPr>
          <w:sz w:val="30"/>
          <w:szCs w:val="30"/>
        </w:rPr>
        <w:t xml:space="preserve">Sistema de Recomendación de Fagos frente a Antibiorresistencia</w:t>
      </w:r>
    </w:p>
    <w:p>
      <w:pPr>
        <w:spacing w:before="0" w:after="120"/>
        <w:jc w:val="center"/>
      </w:pPr>
      <w:r>
        <w:rPr>
          <w:sz w:val="24"/>
          <w:szCs w:val="24"/>
        </w:rPr>
        <w:t xml:space="preserve">Proyecto APT · Capstone PTY4614 / APT122</w:t>
      </w:r>
    </w:p>
    <w:p>
      <w:pPr>
        <w:spacing w:before="0" w:after="120"/>
        <w:jc w:val="center"/>
      </w:pPr>
      <w:r>
        <w:rPr>
          <w:sz w:val="24"/>
          <w:szCs w:val="24"/>
        </w:rPr>
        <w:t xml:space="preserve">Carrera: Ingeniería en Informática</w:t>
      </w:r>
    </w:p>
    <w:p>
      <w:pPr>
        <w:spacing w:before="0" w:after="120"/>
        <w:jc w:val="center"/>
      </w:pPr>
      <w:r>
        <w:rPr>
          <w:sz w:val="24"/>
          <w:szCs w:val="24"/>
        </w:rPr>
        <w:t xml:space="preserve">Estudiante: Johao Ramírez (proyecto individual)</w:t>
      </w:r>
    </w:p>
    <w:p>
      <w:pPr>
        <w:spacing w:before="600" w:after="120"/>
        <w:jc w:val="center"/>
      </w:pPr>
      <w:r>
        <w:rPr>
          <w:sz w:val="24"/>
          <w:szCs w:val="24"/>
        </w:rPr>
        <w:t xml:space="preserve">Entrega 2: 30 de octubre de 2026 · Corte de avance: 28 de octubre de 2026</w:t>
      </w:r>
    </w:p>
    <w:p>
      <w:r>
        <w:br w:type="page"/>
      </w:r>
    </w:p>
    <w:p>
      <w:pPr>
        <w:pStyle w:val="Heading1"/>
      </w:pPr>
      <w:r>
        <w:t xml:space="preserve">Informe de Avance SIRFA — Fase 2</w:t>
      </w:r>
    </w:p>
    <w:p>
      <w:pPr/>
      <w:r>
        <w:t xml:space="preserve">Versión final · </w:t>
      </w:r>
      <w:r>
        <w:t xml:space="preserve">28 de octubre de 2026</w:t>
      </w:r>
      <w:r>
        <w:t xml:space="preserve"> · </w:t>
      </w:r>
      <w:r>
        <w:t xml:space="preserve">Johao Ramírez</w:t>
      </w:r>
    </w:p>
    <w:p>
      <w:pPr>
        <w:keepNext/>
        <w:spacing w:before="240" w:after="160"/>
      </w:pPr>
      <w:r>
        <w:rPr>
          <w:b/>
          <w:sz w:val="28"/>
        </w:rPr>
        <w:t>Índice</w:t>
      </w:r>
    </w:p>
    <w:p>
      <w:pPr>
        <w:spacing w:after="60"/>
      </w:pPr>
      <w:r>
        <w:fldChar w:fldCharType="begin" w:dirty="true"/>
      </w:r>
      <w:r>
        <w:instrText xml:space="preserve"> TOC \o "2-3" \h \z \u </w:instrText>
      </w:r>
      <w:r>
        <w:fldChar w:fldCharType="separate"/>
      </w:r>
      <w:r>
        <w:t xml:space="preserve">Antecedentes</w:t>
      </w:r>
    </w:p>
    <w:p>
      <w:pPr>
        <w:spacing w:after="60"/>
      </w:pPr>
      <w:r>
        <w:t xml:space="preserve">Abstract (English)</w:t>
      </w:r>
    </w:p>
    <w:p>
      <w:pPr>
        <w:spacing w:after="60"/>
      </w:pPr>
      <w:r>
        <w:t xml:space="preserve">Resumen (español)</w:t>
      </w:r>
    </w:p>
    <w:p>
      <w:pPr>
        <w:spacing w:after="60"/>
      </w:pPr>
      <w:r>
        <w:t xml:space="preserve">1. Resumen de avance</w:t>
      </w:r>
    </w:p>
    <w:p>
      <w:pPr>
        <w:spacing w:after="60"/>
        <w:ind w:left="360"/>
      </w:pPr>
      <w:r>
        <w:t xml:space="preserve">1.1 Qué se ha hecho</w:t>
      </w:r>
    </w:p>
    <w:p>
      <w:pPr>
        <w:spacing w:after="60"/>
        <w:ind w:left="360"/>
      </w:pPr>
      <w:r>
        <w:t xml:space="preserve">1.2 Estado de los objetivos específicos</w:t>
      </w:r>
    </w:p>
    <w:p>
      <w:pPr>
        <w:spacing w:after="60"/>
        <w:ind w:left="360"/>
      </w:pPr>
      <w:r>
        <w:t xml:space="preserve">1.3 Objetivos</w:t>
      </w:r>
    </w:p>
    <w:p>
      <w:pPr>
        <w:spacing w:after="60"/>
        <w:ind w:left="360"/>
      </w:pPr>
      <w:r>
        <w:t xml:space="preserve">1.4 Metodología</w:t>
      </w:r>
    </w:p>
    <w:p>
      <w:pPr>
        <w:spacing w:after="60"/>
        <w:ind w:left="360"/>
      </w:pPr>
      <w:r>
        <w:t xml:space="preserve">1.5 Evidencias de avance</w:t>
      </w:r>
    </w:p>
    <w:p>
      <w:pPr>
        <w:spacing w:after="60"/>
      </w:pPr>
      <w:r>
        <w:t xml:space="preserve">2. Monitoreo del plan de trabajo</w:t>
      </w:r>
    </w:p>
    <w:p>
      <w:pPr>
        <w:spacing w:after="60"/>
      </w:pPr>
      <w:r>
        <w:t xml:space="preserve">3. Ajustes a partir del monitoreo</w:t>
      </w:r>
    </w:p>
    <w:p>
      <w:pPr>
        <w:spacing w:after="60"/>
        <w:ind w:left="360"/>
      </w:pPr>
      <w:r>
        <w:t xml:space="preserve">3.1 Factores que han facilitado y dificultado el plan</w:t>
      </w:r>
    </w:p>
    <w:p>
      <w:pPr>
        <w:spacing w:after="60"/>
        <w:ind w:left="360"/>
      </w:pPr>
      <w:r>
        <w:t xml:space="preserve">3.2 Actividades ajustadas o eliminadas</w:t>
      </w:r>
    </w:p>
    <w:p>
      <w:pPr>
        <w:spacing w:after="60"/>
        <w:ind w:left="360"/>
      </w:pPr>
      <w:r>
        <w:t xml:space="preserve">3.3 Actividades pendientes y reprogramadas</w:t>
      </w:r>
    </w:p>
    <w:p>
      <w:pPr>
        <w:spacing w:after="60"/>
      </w:pPr>
      <w:r>
        <w:t xml:space="preserve">4. Individual conclusions</w:t>
      </w:r>
    </w:p>
    <w:p>
      <w:pPr>
        <w:spacing w:after="60"/>
      </w:pPr>
      <w:r>
        <w:t xml:space="preserve">5. Individual reflection</w:t>
      </w:r>
    </w:p>
    <w:p>
      <w:pPr>
        <w:spacing w:after="60"/>
      </w:pPr>
      <w:r>
        <w:t xml:space="preserve">Referencias</w:t>
      </w:r>
    </w:p>
    <w:p>
      <w:pPr>
        <w:spacing w:after="60"/>
      </w:pPr>
      <w:r>
        <w:t xml:space="preserve">Anexos</w:t>
      </w:r>
    </w:p>
    <w:p>
      <w:r>
        <w:fldChar w:fldCharType="end"/>
      </w:r>
    </w:p>
    <w:p>
      <w:r>
        <w:br w:type="page"/>
      </w:r>
    </w:p>
    <w:p>
      <w:pPr>
        <w:pStyle w:val="Heading2"/>
      </w:pPr>
      <w:r>
        <w:t xml:space="preserve">Antecedentes</w:t>
      </w:r>
    </w:p>
    <w:p>
      <w:pPr/>
      <w:r>
        <w:t xml:space="preserve">Este informe reporta el avance del Proyecto APT SIRFA con corte al 28 de octubre de 2026 (semana 12): requisitos y diseño tienen borrador, el pipeline genómico corre sobre un genoma real, con una API y una web mínimas para registrarlo y ver sus resultados, y el modelo de predicción, la autenticación y el móvil aún no se inician.</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Campo</w:t>
            </w:r>
          </w:p>
        </w:tc>
        <w:tc>
          <w:tcPr>
            <w:tcW w:w="6173" w:type="dxa"/>
            <w:shd w:val="clear" w:color="auto" w:fill="F2F2F2"/>
          </w:tcPr>
          <w:p>
            <w:pPr/>
            <w:r>
              <w:t xml:space="preserve">Valor</w:t>
            </w:r>
          </w:p>
        </w:tc>
      </w:tr>
      <w:tr>
        <w:tc>
          <w:tcPr>
            <w:tcW w:w="3186" w:type="dxa"/>
          </w:tcPr>
          <w:p>
            <w:pPr/>
            <w:r>
              <w:t xml:space="preserve">Estudiante</w:t>
            </w:r>
          </w:p>
        </w:tc>
        <w:tc>
          <w:tcPr>
            <w:tcW w:w="6173" w:type="dxa"/>
          </w:tcPr>
          <w:p>
            <w:pPr/>
            <w:r>
              <w:t xml:space="preserve">Johao Ramírez</w:t>
            </w:r>
          </w:p>
        </w:tc>
      </w:tr>
      <w:tr>
        <w:tc>
          <w:tcPr>
            <w:tcW w:w="3186" w:type="dxa"/>
          </w:tcPr>
          <w:p>
            <w:pPr/>
            <w:r>
              <w:t xml:space="preserve">Carrera</w:t>
            </w:r>
          </w:p>
        </w:tc>
        <w:tc>
          <w:tcPr>
            <w:tcW w:w="6173" w:type="dxa"/>
          </w:tcPr>
          <w:p>
            <w:pPr/>
            <w:r>
              <w:t xml:space="preserve">Ingeniería en Informática</w:t>
            </w:r>
          </w:p>
        </w:tc>
      </w:tr>
      <w:tr>
        <w:tc>
          <w:tcPr>
            <w:tcW w:w="3186" w:type="dxa"/>
          </w:tcPr>
          <w:p>
            <w:pPr/>
            <w:r>
              <w:t xml:space="preserve">Sede</w:t>
            </w:r>
          </w:p>
        </w:tc>
        <w:tc>
          <w:tcPr>
            <w:tcW w:w="6173" w:type="dxa"/>
          </w:tcPr>
          <w:p>
            <w:pPr/>
            <w:r>
              <w:t xml:space="preserve">San Joaquín</w:t>
            </w:r>
          </w:p>
        </w:tc>
      </w:tr>
      <w:tr>
        <w:tc>
          <w:tcPr>
            <w:tcW w:w="3186" w:type="dxa"/>
          </w:tcPr>
          <w:p>
            <w:pPr/>
            <w:r>
              <w:t xml:space="preserve">Proyecto APT</w:t>
            </w:r>
          </w:p>
        </w:tc>
        <w:tc>
          <w:tcPr>
            <w:tcW w:w="6173" w:type="dxa"/>
          </w:tcPr>
          <w:p>
            <w:pPr/>
            <w:r>
              <w:t xml:space="preserve">SIRFA — Sistema de Recomendación de Fagos frente a Antibiorresistencia</w:t>
            </w:r>
          </w:p>
        </w:tc>
      </w:tr>
      <w:tr>
        <w:tc>
          <w:tcPr>
            <w:tcW w:w="3186" w:type="dxa"/>
          </w:tcPr>
          <w:p>
            <w:pPr/>
            <w:r>
              <w:t xml:space="preserve">Asignatura</w:t>
            </w:r>
          </w:p>
        </w:tc>
        <w:tc>
          <w:tcPr>
            <w:tcW w:w="6173" w:type="dxa"/>
          </w:tcPr>
          <w:p>
            <w:pPr/>
            <w:r>
              <w:t xml:space="preserve">Capstone PTY4614 / APT122</w:t>
            </w:r>
          </w:p>
        </w:tc>
      </w:tr>
      <w:tr>
        <w:tc>
          <w:tcPr>
            <w:tcW w:w="3186" w:type="dxa"/>
          </w:tcPr>
          <w:p>
            <w:pPr/>
            <w:r>
              <w:t xml:space="preserve">Entrega</w:t>
            </w:r>
          </w:p>
        </w:tc>
        <w:tc>
          <w:tcPr>
            <w:tcW w:w="6173" w:type="dxa"/>
          </w:tcPr>
          <w:p>
            <w:pPr/>
            <w:r>
              <w:t xml:space="preserve">Fase 2, Informe de Avance</w:t>
            </w:r>
          </w:p>
        </w:tc>
      </w:tr>
      <w:tr>
        <w:tc>
          <w:tcPr>
            <w:tcW w:w="3186" w:type="dxa"/>
          </w:tcPr>
          <w:p>
            <w:pPr/>
            <w:r>
              <w:t xml:space="preserve">Equipo</w:t>
            </w:r>
          </w:p>
        </w:tc>
        <w:tc>
          <w:tcPr>
            <w:tcW w:w="6173" w:type="dxa"/>
          </w:tcPr>
          <w:p>
            <w:pPr/>
            <w:r>
              <w:t xml:space="preserve">Individual, con desvinculación de equipo autorizada por el docente</w:t>
            </w:r>
          </w:p>
        </w:tc>
      </w:tr>
      <w:tr>
        <w:tc>
          <w:tcPr>
            <w:tcW w:w="3186" w:type="dxa"/>
          </w:tcPr>
          <w:p>
            <w:pPr/>
            <w:r>
              <w:t xml:space="preserve">Corte</w:t>
            </w:r>
          </w:p>
        </w:tc>
        <w:tc>
          <w:tcPr>
            <w:tcW w:w="6173" w:type="dxa"/>
          </w:tcPr>
          <w:p>
            <w:pPr/>
            <w:r>
              <w:t xml:space="preserve">28-10-2026, semana 12 del calendario</w:t>
            </w:r>
          </w:p>
        </w:tc>
      </w:tr>
      <w:tr>
        <w:tc>
          <w:tcPr>
            <w:tcW w:w="3186" w:type="dxa"/>
          </w:tcPr>
          <w:p>
            <w:pPr/>
            <w:r>
              <w:t xml:space="preserve">Estado del documento</w:t>
            </w:r>
          </w:p>
        </w:tc>
        <w:tc>
          <w:tcPr>
            <w:tcW w:w="6173" w:type="dxa"/>
          </w:tcPr>
          <w:p>
            <w:pPr/>
            <w:r>
              <w:t xml:space="preserve">Versión final para entrega; el código del corte funcional aún no está publicado en un repositorio (evidencia E3 y sección 3.3)</w:t>
            </w:r>
          </w:p>
        </w:tc>
      </w:tr>
    </w:tbl>
    <w:p>
      <w:pPr>
        <w:pStyle w:val="Heading2"/>
      </w:pPr>
      <w:r>
        <w:t xml:space="preserve">Abstract (English)</w:t>
      </w:r>
    </w:p>
    <w:p>
      <w:pPr/>
      <w:r>
        <w:t xml:space="preserve">SIRFA (Sistema de Recomendación de Fagos frente a Antibiorresistencia) is an individual capstone project that aims to prioritize bacteriophage candidates against carbapenem-resistant </w:t>
      </w:r>
      <w:r>
        <w:rPr>
          <w:i/>
        </w:rPr>
        <w:t xml:space="preserve">Klebsiella pneumoniae</w:t>
      </w:r>
      <w:r>
        <w:t xml:space="preserve"> isolates before laboratory testing. It does not diagnose or prescribe. This progress report covers the project up to 28 October 2026 (week 12 of an 18-week waterfall plan). The software requirements specification (66 functional and 33 non-functional requirements) and the design document (24 relational tables, 4 document collections, 4 UML diagrams and 60 test cases) were drafted. A first working slice was built: a genomic pipeline that validates a FASTA file, assesses assembly quality, verifies the species with Mash against 13 reference genomes, types the capsule locus with Kaptive and predicts genes with Prodigal; a bank of 200 </w:t>
      </w:r>
      <w:r>
        <w:rPr>
          <w:i/>
        </w:rPr>
        <w:t xml:space="preserve">Klebsiella</w:t>
      </w:r>
      <w:r>
        <w:t xml:space="preserve"> phages with their genomes; a job queue with retries in PostgreSQL; a REST API; and a minimal web interface, covered by 102 automated tests. On a real genome the analysis finishes in about 20 seconds. The prediction model, authentication and roles, the dashboard and the mobile app have not been started. A minimal vertical flow is proposed as a fallback.</w:t>
      </w:r>
    </w:p>
    <w:p>
      <w:pPr>
        <w:pStyle w:val="Heading2"/>
      </w:pPr>
      <w:r>
        <w:t xml:space="preserve">Resumen (español)</w:t>
      </w:r>
    </w:p>
    <w:p>
      <w:pPr/>
      <w:r>
        <w:t xml:space="preserve">SIRFA (Sistema de Recomendación de Fagos frente a Antibiorresistencia) es un proyecto de título individual que busca priorizar bacteriófagos candidatos frente a aislados de </w:t>
      </w:r>
      <w:r>
        <w:rPr>
          <w:i/>
        </w:rPr>
        <w:t xml:space="preserve">Klebsiella pneumoniae</w:t>
      </w:r>
      <w:r>
        <w:t xml:space="preserve"> resistentes a carbapenémicos antes del ensayo de laboratorio. No diagnostica ni prescribe. Este informe de avance cubre el proyecto hasta el 28 de octubre de 2026 (semana 12 de un plan en cascada de 18 semanas). Se redactaron la especificación de requisitos de software (66 requisitos funcionales y 33 no funcionales) y el documento de diseño (24 tablas relacionales, 4 colecciones documentales, 4 diagramas UML y 60 casos de prueba). Se construyó un primer corte funcional: un pipeline genómico que valida el archivo FASTA, evalúa la calidad del ensamblado, verifica la especie con Mash contra 13 genomas de referencia, tipifica el locus de la cápsula con Kaptive y predice los genes con Prodigal; un banco de 200 fagos de </w:t>
      </w:r>
      <w:r>
        <w:rPr>
          <w:i/>
        </w:rPr>
        <w:t xml:space="preserve">Klebsiella</w:t>
      </w:r>
      <w:r>
        <w:t xml:space="preserve"> con sus genomas; una cola de trabajos con reintentos en PostgreSQL; una API REST y una web mínima, cubiertos por 102 pruebas automatizadas. Con un genoma real el análisis termina en unos 20 segundos. El modelo de predicción, la autenticación y los roles, el tablero y la app móvil no se han iniciado. Se propone un flujo vertical mínimo como respaldo.</w:t>
      </w:r>
    </w:p>
    <w:p>
      <w:pPr>
        <w:pStyle w:val="Heading2"/>
      </w:pPr>
      <w:r>
        <w:t xml:space="preserve">1. Resumen de avance</w:t>
      </w:r>
    </w:p>
    <w:p>
      <w:pPr/>
      <w:r>
        <w:t xml:space="preserve">Al 28 de octubre el proyecto cumplió en borrador el OE1, avanzó parcialmente el OE2 con un corte funcional verificado y dio los primeros pasos del OE4 con una API y una web mínimas; los OE3 y OE5 aún no se inician.</w:t>
      </w:r>
    </w:p>
    <w:p>
      <w:pPr>
        <w:pStyle w:val="Heading3"/>
      </w:pPr>
      <w:r>
        <w:t xml:space="preserve">1.1 Qué se ha hecho</w:t>
      </w:r>
    </w:p>
    <w:p>
      <w:pPr/>
      <w:r>
        <w:t xml:space="preserve">Se redactó la Especificación de Requisitos de Software v0.2, con 66 requisitos funcionales, 33 no funcionales, 18 historias de usuario y 12 reglas de negocio. Se redactó también el Documento de Diseño v0.2: arquitectura, 24 tablas de PostgreSQL, 4 colecciones de MongoDB, 4 diagramas UML, el diseño de los requisitos no funcionales y un plan de 60 casos de prueba. Ambos documentos están pendientes de revisión del docente.</w:t>
      </w:r>
    </w:p>
    <w:p>
      <w:pPr/>
      <w:r>
        <w:t xml:space="preserve">Se construyó el corte funcional del pipeline genómico y del banco de fagos, empaquetado con docker compose en cuatro servicios (PostgreSQL, MongoDB, API y worker). Carga 200 fagos de </w:t>
      </w:r>
      <w:r>
        <w:rPr>
          <w:i/>
        </w:rPr>
        <w:t xml:space="preserve">Klebsiella</w:t>
      </w:r>
      <w:r>
        <w:t xml:space="preserve"> desde INPHARED (Cook et al., 2021) y procesa un genoma real: valida el FASTA, calcula la calidad, verifica la especie con Mash (Ondov et al., 2016), tipifica el locus K con Kaptive (Wyres et al., 2016) y predice los genes con Prodigal (Hyatt et al., 2010), con reintentos automáticos si una herramienta falla. El detalle medido está en la sección 1.5.</w:t>
      </w:r>
    </w:p>
    <w:p>
      <w:pPr/>
      <w:r>
        <w:t xml:space="preserve">Sobre ese corte se agregó el 28 de octubre una API REST de 9 endpoints (registro de un genoma, lista y detalle de solicitudes, anulación, reintento, evidencia conocida para el aislado, búsqueda en el banco de fagos, resumen y salud) y una web mínima, en HTML y JavaScript simples, servida por la misma API. Permiten subir un genoma, seguir su análisis y ver la calidad, la especie, el locus K y los genes. No tienen autenticación: toda solicitud se atribuye a un usuario de demostración.</w:t>
      </w:r>
    </w:p>
    <w:p>
      <w:pPr/>
      <w:r>
        <w:t xml:space="preserve">La pantalla de fagos candidatos no ordena por compatibilidad. El banco tiene los 200 fagos con el ciclo de vida sin curar y ninguna interacción fago-cepa cargada, de modo que solo mostraría fagos con interacciones positivas conocidas sobre el mismo locus K (hoy ninguno) y lo informa en pantalla. El ranking depende del modelo del OE3, que no se ha iniciado.</w:t>
      </w:r>
    </w:p>
    <w:p>
      <w:pPr/>
      <w:r>
        <w:t xml:space="preserve">Los módulos construidos tienen 102 pruebas automatizadas (78 del pipeline y la base de datos, y 24 de la API) que pasan dentro del contenedor.</w:t>
      </w:r>
    </w:p>
    <w:p>
      <w:pPr>
        <w:pStyle w:val="Heading3"/>
      </w:pPr>
      <w:r>
        <w:t xml:space="preserve">1.2 Estado de los objetivos específicos</w:t>
      </w:r>
    </w:p>
    <w:tbl>
      <w:tblPr>
        <w:tblStyle w:val="TableGrid"/>
        <w:tblW w:w="0" w:type="auto"/>
        <w:tblLayout w:type="fixed"/>
        <w:tblLook w:val="04A0" w:firstRow="1" w:lastRow="0" w:firstColumn="0" w:lastColumn="0" w:noHBand="0" w:noVBand="1"/>
      </w:tblPr>
      <w:tblGrid>
        <w:gridCol w:w="1423"/>
        <w:gridCol w:w="1232"/>
        <w:gridCol w:w="3350"/>
        <w:gridCol w:w="3355"/>
      </w:tblGrid>
      <w:tr>
        <w:trPr>
          <w:tblHeader/>
        </w:trPr>
        <w:tc>
          <w:tcPr>
            <w:tcW w:w="1423" w:type="dxa"/>
            <w:shd w:val="clear" w:color="auto" w:fill="F2F2F2"/>
          </w:tcPr>
          <w:p>
            <w:pPr/>
            <w:r>
              <w:t xml:space="preserve">Objetivo</w:t>
            </w:r>
          </w:p>
        </w:tc>
        <w:tc>
          <w:tcPr>
            <w:tcW w:w="1232" w:type="dxa"/>
            <w:shd w:val="clear" w:color="auto" w:fill="F2F2F2"/>
          </w:tcPr>
          <w:p>
            <w:pPr/>
            <w:r>
              <w:t xml:space="preserve">Estado</w:t>
            </w:r>
          </w:p>
        </w:tc>
        <w:tc>
          <w:tcPr>
            <w:tcW w:w="3350" w:type="dxa"/>
            <w:shd w:val="clear" w:color="auto" w:fill="F2F2F2"/>
          </w:tcPr>
          <w:p>
            <w:pPr/>
            <w:r>
              <w:t xml:space="preserve">Qué se logró</w:t>
            </w:r>
          </w:p>
        </w:tc>
        <w:tc>
          <w:tcPr>
            <w:tcW w:w="3355" w:type="dxa"/>
            <w:shd w:val="clear" w:color="auto" w:fill="F2F2F2"/>
          </w:tcPr>
          <w:p>
            <w:pPr/>
            <w:r>
              <w:t xml:space="preserve">Qué falta</w:t>
            </w:r>
          </w:p>
        </w:tc>
      </w:tr>
      <w:tr>
        <w:tc>
          <w:tcPr>
            <w:tcW w:w="1423" w:type="dxa"/>
          </w:tcPr>
          <w:p>
            <w:pPr/>
            <w:r>
              <w:t xml:space="preserve">OE1. Especificar y diseñar</w:t>
            </w:r>
          </w:p>
        </w:tc>
        <w:tc>
          <w:tcPr>
            <w:tcW w:w="1232" w:type="dxa"/>
          </w:tcPr>
          <w:p>
            <w:pPr/>
            <w:r>
              <w:t xml:space="preserve">Cumplido en borrador</w:t>
            </w:r>
          </w:p>
        </w:tc>
        <w:tc>
          <w:tcPr>
            <w:tcW w:w="3350" w:type="dxa"/>
          </w:tcPr>
          <w:p>
            <w:pPr/>
            <w:r>
              <w:t xml:space="preserve">SRS v0.2 y Documento de Diseño v0.2 completos</w:t>
            </w:r>
          </w:p>
        </w:tc>
        <w:tc>
          <w:tcPr>
            <w:tcW w:w="3355" w:type="dxa"/>
          </w:tcPr>
          <w:p>
            <w:pPr/>
            <w:r>
              <w:t xml:space="preserve">Revisión y aprobación del docente, y resolver los 10 puntos abiertos de cada documento</w:t>
            </w:r>
          </w:p>
        </w:tc>
      </w:tr>
      <w:tr>
        <w:tc>
          <w:tcPr>
            <w:tcW w:w="1423" w:type="dxa"/>
          </w:tcPr>
          <w:p>
            <w:pPr/>
            <w:r>
              <w:t xml:space="preserve">OE2. Pipeline y banco de fagos</w:t>
            </w:r>
          </w:p>
        </w:tc>
        <w:tc>
          <w:tcPr>
            <w:tcW w:w="1232" w:type="dxa"/>
          </w:tcPr>
          <w:p>
            <w:pPr/>
            <w:r>
              <w:t xml:space="preserve">En curso</w:t>
            </w:r>
          </w:p>
        </w:tc>
        <w:tc>
          <w:tcPr>
            <w:tcW w:w="3350" w:type="dxa"/>
          </w:tcPr>
          <w:p>
            <w:pPr/>
            <w:r>
              <w:t xml:space="preserve">200 fagos cargados; validación de FASTA, calidad, especie con Mash, locus K y genes; cola de trabajos con reintentos; salidas en PostgreSQL y MongoDB</w:t>
            </w:r>
          </w:p>
        </w:tc>
        <w:tc>
          <w:tcPr>
            <w:tcW w:w="3355" w:type="dxa"/>
          </w:tcPr>
          <w:p>
            <w:pPr/>
            <w:r>
              <w:t xml:space="preserve">Detectar proteínas de unión al receptor y calcular embeddings, curaduría y las fuentes PhageScope y </w:t>
            </w:r>
            <w:r>
              <w:rPr>
                <w:i/>
              </w:rPr>
              <w:t xml:space="preserve">Microbe Versus Phage</w:t>
            </w:r>
          </w:p>
        </w:tc>
      </w:tr>
      <w:tr>
        <w:tc>
          <w:tcPr>
            <w:tcW w:w="1423" w:type="dxa"/>
          </w:tcPr>
          <w:p>
            <w:pPr/>
            <w:r>
              <w:t xml:space="preserve">OE3. Modelo de predicción</w:t>
            </w:r>
          </w:p>
        </w:tc>
        <w:tc>
          <w:tcPr>
            <w:tcW w:w="1232" w:type="dxa"/>
          </w:tcPr>
          <w:p>
            <w:pPr/>
            <w:r>
              <w:t xml:space="preserve">No iniciado</w:t>
            </w:r>
          </w:p>
        </w:tc>
        <w:tc>
          <w:tcPr>
            <w:tcW w:w="3350" w:type="dxa"/>
          </w:tcPr>
          <w:p>
            <w:pPr/>
            <w:r>
              <w:t xml:space="preserve">Nada todavía</w:t>
            </w:r>
          </w:p>
        </w:tc>
        <w:tc>
          <w:tcPr>
            <w:tcW w:w="3355" w:type="dxa"/>
          </w:tcPr>
          <w:p>
            <w:pPr/>
            <w:r>
              <w:t xml:space="preserve">Embeddings ESM-2, clasificador XGBoost, evaluación contra la literatura y explicación con SHAP</w:t>
            </w:r>
          </w:p>
        </w:tc>
      </w:tr>
      <w:tr>
        <w:tc>
          <w:tcPr>
            <w:tcW w:w="1423" w:type="dxa"/>
          </w:tcPr>
          <w:p>
            <w:pPr/>
            <w:r>
              <w:t xml:space="preserve">OE4. Plataforma web</w:t>
            </w:r>
          </w:p>
        </w:tc>
        <w:tc>
          <w:tcPr>
            <w:tcW w:w="1232" w:type="dxa"/>
          </w:tcPr>
          <w:p>
            <w:pPr/>
            <w:r>
              <w:t xml:space="preserve">En curso</w:t>
            </w:r>
          </w:p>
        </w:tc>
        <w:tc>
          <w:tcPr>
            <w:tcW w:w="3350" w:type="dxa"/>
          </w:tcPr>
          <w:p>
            <w:pPr/>
            <w:r>
              <w:t xml:space="preserve">Los cimientos (esquema de datos y máquina de estados de la solicitud) y un corte mínimo: API de 9 endpoints (registro de genoma, solicitudes, evidencia conocida, banco de fagos, resumen y salud) y web de registro, seguimiento y resultados, sin autenticación</w:t>
            </w:r>
          </w:p>
        </w:tc>
        <w:tc>
          <w:tcPr>
            <w:tcW w:w="3355" w:type="dxa"/>
          </w:tcPr>
          <w:p>
            <w:pPr/>
            <w:r>
              <w:t xml:space="preserve">Autenticación JWT y roles, validación y emisión, auditoría, tablero y la interfaz definitiva (el diseño prevé Next.js; la actual es HTML y JavaScript simple)</w:t>
            </w:r>
          </w:p>
        </w:tc>
      </w:tr>
      <w:tr>
        <w:tc>
          <w:tcPr>
            <w:tcW w:w="1423" w:type="dxa"/>
          </w:tcPr>
          <w:p>
            <w:pPr/>
            <w:r>
              <w:t xml:space="preserve">OE5. Móvil y calidad</w:t>
            </w:r>
          </w:p>
        </w:tc>
        <w:tc>
          <w:tcPr>
            <w:tcW w:w="1232" w:type="dxa"/>
          </w:tcPr>
          <w:p>
            <w:pPr/>
            <w:r>
              <w:t xml:space="preserve">No iniciado</w:t>
            </w:r>
          </w:p>
        </w:tc>
        <w:tc>
          <w:tcPr>
            <w:tcW w:w="3350" w:type="dxa"/>
          </w:tcPr>
          <w:p>
            <w:pPr/>
            <w:r>
              <w:t xml:space="preserve">102 pruebas automatizadas de los módulos y la API existentes</w:t>
            </w:r>
          </w:p>
        </w:tc>
        <w:tc>
          <w:tcPr>
            <w:tcW w:w="3355" w:type="dxa"/>
          </w:tcPr>
          <w:p>
            <w:pPr/>
            <w:r>
              <w:t xml:space="preserve">App móvil y pruebas de integración, extremo a extremo, rendimiento y seguridad</w:t>
            </w:r>
          </w:p>
        </w:tc>
      </w:tr>
    </w:tbl>
    <w:p>
      <w:pPr>
        <w:pStyle w:val="Heading3"/>
      </w:pPr>
      <w:r>
        <w:t xml:space="preserve">1.3 Objetivos</w:t>
      </w:r>
    </w:p>
    <w:p>
      <w:pPr/>
      <w:r>
        <w:t xml:space="preserve">El objetivo general y los cinco objetivos específicos se mantienen sin cambios respecto de la Definición de Proyecto de la Fase 1. Lo que se ajusta es el calendario, el orden y la prioridad con que se construye el alcance de los OE3 a OE5 (sección 3.2).</w:t>
      </w:r>
    </w:p>
    <w:p>
      <w:pPr>
        <w:pStyle w:val="Heading3"/>
      </w:pPr>
      <w:r>
        <w:t xml:space="preserve">1.4 Metodología</w:t>
      </w:r>
    </w:p>
    <w:p>
      <w:pPr/>
      <w:r>
        <w:t xml:space="preserve">Se mantiene el modelo en cascada y su secuencia: requisitos, diseño y construcción. Cambiaron las fechas y el control de las puertas:</w:t>
      </w:r>
    </w:p>
    <w:p>
      <w:pPr>
        <w:pStyle w:val="ListParagraph"/>
        <w:numPr>
          <w:ilvl w:val="0"/>
          <w:numId w:val="2"/>
        </w:numPr>
      </w:pPr>
      <w:r>
        <w:t xml:space="preserve">La etapa 1 estaba planificada en el Gantt de la Fase 1 para las semanas 5 y 6 y la etapa 2 para las semanas 6 y 7. El 29-10-2026 el docente indicó que todo lo de la entrega 2 debe estar subido el 30-10 (semana 12), y ambas etapas se cerraron para esa fecha (ajuste A6). Por eso se redactaron una tras otra y el traslape máximo de una semana entre etapas no se aplicó.</w:t>
      </w:r>
    </w:p>
    <w:p>
      <w:pPr>
        <w:pStyle w:val="ListParagraph"/>
        <w:numPr>
          <w:ilvl w:val="0"/>
          <w:numId w:val="2"/>
        </w:numPr>
      </w:pPr>
      <w:r>
        <w:t xml:space="preserve">Las puertas de control de las etapas 1 y 2 tienen entregable pero no aprobación formal, por lo que el alcance todavía no está congelado.</w:t>
      </w:r>
    </w:p>
    <w:p>
      <w:pPr>
        <w:pStyle w:val="ListParagraph"/>
        <w:numPr>
          <w:ilvl w:val="0"/>
          <w:numId w:val="2"/>
        </w:numPr>
      </w:pPr>
      <w:r>
        <w:t xml:space="preserve">Se agregó una priorización de tres niveles (Alta, Media y Baja) a cada requisito, para controlar el alcance de un solo desarrollador.</w:t>
      </w:r>
    </w:p>
    <w:p>
      <w:pPr>
        <w:pStyle w:val="ListParagraph"/>
        <w:numPr>
          <w:ilvl w:val="0"/>
          <w:numId w:val="2"/>
        </w:numPr>
      </w:pPr>
      <w:r>
        <w:t xml:space="preserve">Las pruebas automatizadas se escriben junto con cada módulo y no solo en la etapa 4.</w:t>
      </w:r>
    </w:p>
    <w:p>
      <w:pPr>
        <w:pStyle w:val="ListParagraph"/>
        <w:numPr>
          <w:ilvl w:val="0"/>
          <w:numId w:val="2"/>
        </w:numPr>
      </w:pPr>
      <w:r>
        <w:t xml:space="preserve">Ajuste propuesto: construir primero un flujo vertical mínimo (registro, pipeline, predicción, validación y recomendación) y después ampliarlo con tablero y móvil. Requiere la conformidad del docente.</w:t>
      </w:r>
    </w:p>
    <w:p>
      <w:pPr>
        <w:pStyle w:val="Heading3"/>
      </w:pPr>
      <w:r>
        <w:t xml:space="preserve">1.5 Evidencias de avance</w:t>
      </w:r>
    </w:p>
    <w:p>
      <w:pPr/>
      <w:r>
        <w:t xml:space="preserve">Se presentan cinco evidencias que cubren los tres ámbitos de la rúbrica: documentación (E1 y E2), programación (E3 y E5) y almacenamiento de datos (E3 y E4).</w:t>
      </w:r>
    </w:p>
    <w:tbl>
      <w:tblPr>
        <w:tblStyle w:val="TableGrid"/>
        <w:tblW w:w="0" w:type="auto"/>
        <w:tblLayout w:type="fixed"/>
        <w:tblLook w:val="04A0" w:firstRow="1" w:lastRow="0" w:firstColumn="0" w:lastColumn="0" w:noHBand="0" w:noVBand="1"/>
      </w:tblPr>
      <w:tblGrid>
        <w:gridCol w:w="720"/>
        <w:gridCol w:w="1793"/>
        <w:gridCol w:w="4507"/>
        <w:gridCol w:w="2340"/>
      </w:tblGrid>
      <w:tr>
        <w:trPr>
          <w:tblHeader/>
        </w:trPr>
        <w:tc>
          <w:tcPr>
            <w:tcW w:w="720" w:type="dxa"/>
            <w:shd w:val="clear" w:color="auto" w:fill="F2F2F2"/>
          </w:tcPr>
          <w:p>
            <w:pPr/>
            <w:r>
              <w:t xml:space="preserve">ID</w:t>
            </w:r>
          </w:p>
        </w:tc>
        <w:tc>
          <w:tcPr>
            <w:tcW w:w="1793" w:type="dxa"/>
            <w:shd w:val="clear" w:color="auto" w:fill="F2F2F2"/>
          </w:tcPr>
          <w:p>
            <w:pPr/>
            <w:r>
              <w:t xml:space="preserve">Evidencia</w:t>
            </w:r>
          </w:p>
        </w:tc>
        <w:tc>
          <w:tcPr>
            <w:tcW w:w="4507" w:type="dxa"/>
            <w:shd w:val="clear" w:color="auto" w:fill="F2F2F2"/>
          </w:tcPr>
          <w:p>
            <w:pPr/>
            <w:r>
              <w:t xml:space="preserve">Cómo da cuenta del avance</w:t>
            </w:r>
          </w:p>
        </w:tc>
        <w:tc>
          <w:tcPr>
            <w:tcW w:w="2340" w:type="dxa"/>
            <w:shd w:val="clear" w:color="auto" w:fill="F2F2F2"/>
          </w:tcPr>
          <w:p>
            <w:pPr/>
            <w:r>
              <w:t xml:space="preserve">Dónde está</w:t>
            </w:r>
          </w:p>
        </w:tc>
      </w:tr>
      <w:tr>
        <w:tc>
          <w:tcPr>
            <w:tcW w:w="720" w:type="dxa"/>
          </w:tcPr>
          <w:p>
            <w:pPr/>
            <w:r>
              <w:t xml:space="preserve">E1</w:t>
            </w:r>
          </w:p>
        </w:tc>
        <w:tc>
          <w:tcPr>
            <w:tcW w:w="1793" w:type="dxa"/>
          </w:tcPr>
          <w:p>
            <w:pPr/>
            <w:r>
              <w:t xml:space="preserve">Especificación de Requisitos de Software v0.2</w:t>
            </w:r>
          </w:p>
        </w:tc>
        <w:tc>
          <w:tcPr>
            <w:tcW w:w="4507" w:type="dxa"/>
          </w:tcPr>
          <w:p>
            <w:pPr/>
            <w:r>
              <w:t xml:space="preserve">Cumple el OE1 en requisitos: 66 RF, 33 RNF, 18 historias y 12 reglas de negocio, con trazabilidad a los objetivos</w:t>
            </w:r>
          </w:p>
        </w:tc>
        <w:tc>
          <w:tcPr>
            <w:tcW w:w="2340" w:type="dxa"/>
          </w:tcPr>
          <w:p>
            <w:pPr/>
            <w:r>
              <w:t xml:space="preserve">Adjunto A</w:t>
            </w:r>
          </w:p>
        </w:tc>
      </w:tr>
      <w:tr>
        <w:tc>
          <w:tcPr>
            <w:tcW w:w="720" w:type="dxa"/>
          </w:tcPr>
          <w:p>
            <w:pPr/>
            <w:r>
              <w:t xml:space="preserve">E2</w:t>
            </w:r>
          </w:p>
        </w:tc>
        <w:tc>
          <w:tcPr>
            <w:tcW w:w="1793" w:type="dxa"/>
          </w:tcPr>
          <w:p>
            <w:pPr/>
            <w:r>
              <w:t xml:space="preserve">Documento de Diseño v0.2</w:t>
            </w:r>
          </w:p>
        </w:tc>
        <w:tc>
          <w:tcPr>
            <w:tcW w:w="4507" w:type="dxa"/>
          </w:tcPr>
          <w:p>
            <w:pPr/>
            <w:r>
              <w:t xml:space="preserve">Cumple el OE1 en diseño: arquitectura, modelo de datos relacional y documental, UML y plan de 60 casos de prueba</w:t>
            </w:r>
          </w:p>
        </w:tc>
        <w:tc>
          <w:tcPr>
            <w:tcW w:w="2340" w:type="dxa"/>
          </w:tcPr>
          <w:p>
            <w:pPr/>
            <w:r>
              <w:t xml:space="preserve">Adjunto B</w:t>
            </w:r>
          </w:p>
        </w:tc>
      </w:tr>
      <w:tr>
        <w:tc>
          <w:tcPr>
            <w:tcW w:w="720" w:type="dxa"/>
          </w:tcPr>
          <w:p>
            <w:pPr/>
            <w:r>
              <w:t xml:space="preserve">E3</w:t>
            </w:r>
          </w:p>
        </w:tc>
        <w:tc>
          <w:tcPr>
            <w:tcW w:w="1793" w:type="dxa"/>
          </w:tcPr>
          <w:p>
            <w:pPr/>
            <w:r>
              <w:t xml:space="preserve">Código del corte funcional</w:t>
            </w:r>
          </w:p>
        </w:tc>
        <w:tc>
          <w:tcPr>
            <w:tcW w:w="4507" w:type="dxa"/>
          </w:tcPr>
          <w:p>
            <w:pPr/>
            <w:r>
              <w:t xml:space="preserve">Evidencia el OE2 (pipeline, worker, esquema de datos y docker-compose.yml que levanta cuatro servicios) y los primeros pasos del OE4 (API y web mínima)</w:t>
            </w:r>
          </w:p>
        </w:tc>
        <w:tc>
          <w:tcPr>
            <w:tcW w:w="2340" w:type="dxa"/>
          </w:tcPr>
          <w:p>
            <w:pPr/>
            <w:r>
              <w:t xml:space="preserve">Repositorio local de SIRFA, aún sin publicar (ver 3.3), carpetas </w:t>
            </w:r>
            <w:r>
              <w:rPr>
                <w:rStyle w:val="CodeChar"/>
              </w:rPr>
              <w:t xml:space="preserve">pipeline/</w:t>
            </w:r>
            <w:r>
              <w:t xml:space="preserve">, </w:t>
            </w:r>
            <w:r>
              <w:rPr>
                <w:rStyle w:val="CodeChar"/>
              </w:rPr>
              <w:t xml:space="preserve">backend/</w:t>
            </w:r>
            <w:r>
              <w:t xml:space="preserve"> y </w:t>
            </w:r>
            <w:r>
              <w:rPr>
                <w:rStyle w:val="CodeChar"/>
              </w:rPr>
              <w:t xml:space="preserve">frontend/</w:t>
            </w:r>
          </w:p>
        </w:tc>
      </w:tr>
      <w:tr>
        <w:tc>
          <w:tcPr>
            <w:tcW w:w="720" w:type="dxa"/>
          </w:tcPr>
          <w:p>
            <w:pPr/>
            <w:r>
              <w:t xml:space="preserve">E4</w:t>
            </w:r>
          </w:p>
        </w:tc>
        <w:tc>
          <w:tcPr>
            <w:tcW w:w="1793" w:type="dxa"/>
          </w:tcPr>
          <w:p>
            <w:pPr/>
            <w:r>
              <w:t xml:space="preserve">Registro de ejecución real</w:t>
            </w:r>
          </w:p>
        </w:tc>
        <w:tc>
          <w:tcPr>
            <w:tcW w:w="4507" w:type="dxa"/>
          </w:tcPr>
          <w:p>
            <w:pPr/>
            <w:r>
              <w:t xml:space="preserve">Muestra que el pipeline corre de punta a punta sobre un genoma real, por consola y por la web, y que el banco se puebla sin duplicar</w:t>
            </w:r>
          </w:p>
        </w:tc>
        <w:tc>
          <w:tcPr>
            <w:tcW w:w="2340" w:type="dxa"/>
          </w:tcPr>
          <w:p>
            <w:pPr/>
            <w:r>
              <w:t xml:space="preserve">Secciones siguientes y </w:t>
            </w:r>
            <w:r>
              <w:rPr>
                <w:rStyle w:val="CodeChar"/>
              </w:rPr>
              <w:t xml:space="preserve">docs/demo_avance.md</w:t>
            </w:r>
          </w:p>
        </w:tc>
      </w:tr>
      <w:tr>
        <w:tc>
          <w:tcPr>
            <w:tcW w:w="720" w:type="dxa"/>
          </w:tcPr>
          <w:p>
            <w:pPr/>
            <w:r>
              <w:t xml:space="preserve">E5</w:t>
            </w:r>
          </w:p>
        </w:tc>
        <w:tc>
          <w:tcPr>
            <w:tcW w:w="1793" w:type="dxa"/>
          </w:tcPr>
          <w:p>
            <w:pPr/>
            <w:r>
              <w:t xml:space="preserve">Pruebas automatizadas</w:t>
            </w:r>
          </w:p>
        </w:tc>
        <w:tc>
          <w:tcPr>
            <w:tcW w:w="4507" w:type="dxa"/>
          </w:tcPr>
          <w:p>
            <w:pPr/>
            <w:r>
              <w:t xml:space="preserve">Respalda la calidad de los módulos: FASTA, calidad, estados, cola de trabajos, carga del banco, esquema y API</w:t>
            </w:r>
          </w:p>
        </w:tc>
        <w:tc>
          <w:tcPr>
            <w:tcW w:w="2340" w:type="dxa"/>
          </w:tcPr>
          <w:p>
            <w:pPr/>
            <w:r>
              <w:rPr>
                <w:rStyle w:val="CodeChar"/>
              </w:rPr>
              <w:t xml:space="preserve">backend/tests/</w:t>
            </w:r>
            <w:r>
              <w:t xml:space="preserve"> (102 pruebas)</w:t>
            </w:r>
          </w:p>
        </w:tc>
      </w:tr>
    </w:tbl>
    <w:p>
      <w:pPr>
        <w:pStyle w:val="Heading4"/>
      </w:pPr>
      <w:r>
        <w:t xml:space="preserve">Registro de ejecución real (27-10-2026)</w:t>
      </w:r>
    </w:p>
    <w:p>
      <w:pPr/>
      <w:r>
        <w:t xml:space="preserve">Se ejecutó con </w:t>
      </w:r>
      <w:r>
        <w:rPr>
          <w:rStyle w:val="CodeChar"/>
        </w:rPr>
        <w:t xml:space="preserve">docker compose</w:t>
      </w:r>
      <w:r>
        <w:t xml:space="preserve"> sobre Docker Desktop en Windows. Primero se cargó el banco con </w:t>
      </w:r>
      <w:r>
        <w:rPr>
          <w:rStyle w:val="CodeChar"/>
        </w:rPr>
        <w:t xml:space="preserve">python -m pipeline.seed_phage_bank --descargar --hospedador Klebsiella --limite 200</w:t>
      </w:r>
      <w:r>
        <w:t xml:space="preserve"> y después se registró el genoma de </w:t>
      </w:r>
      <w:r>
        <w:rPr>
          <w:i/>
        </w:rPr>
        <w:t xml:space="preserve">Klebsiella pneumoniae</w:t>
      </w:r>
      <w:r>
        <w:t xml:space="preserve"> subsp. </w:t>
      </w:r>
      <w:r>
        <w:rPr>
          <w:i/>
        </w:rPr>
        <w:t xml:space="preserve">pneumoniae</w:t>
      </w:r>
      <w:r>
        <w:t xml:space="preserve"> HS11286 (ensamblado completo GCF_000240185.1 de NCBI; Liu et al., 2012) para que lo tomara el worker.</w:t>
      </w:r>
    </w:p>
    <w:tbl>
      <w:tblPr>
        <w:tblStyle w:val="TableGrid"/>
        <w:tblW w:w="0" w:type="auto"/>
        <w:tblLayout w:type="fixed"/>
        <w:tblLook w:val="04A0" w:firstRow="1" w:lastRow="0" w:firstColumn="0" w:lastColumn="0" w:noHBand="0" w:noVBand="1"/>
      </w:tblPr>
      <w:tblGrid>
        <w:gridCol w:w="3517"/>
        <w:gridCol w:w="5842"/>
      </w:tblGrid>
      <w:tr>
        <w:trPr>
          <w:tblHeader/>
        </w:trPr>
        <w:tc>
          <w:tcPr>
            <w:tcW w:w="3517" w:type="dxa"/>
            <w:shd w:val="clear" w:color="auto" w:fill="F2F2F2"/>
          </w:tcPr>
          <w:p>
            <w:pPr/>
            <w:r>
              <w:t xml:space="preserve">Prueba</w:t>
            </w:r>
          </w:p>
        </w:tc>
        <w:tc>
          <w:tcPr>
            <w:tcW w:w="5842" w:type="dxa"/>
            <w:shd w:val="clear" w:color="auto" w:fill="F2F2F2"/>
          </w:tcPr>
          <w:p>
            <w:pPr/>
            <w:r>
              <w:t xml:space="preserve">Resultado</w:t>
            </w:r>
          </w:p>
        </w:tc>
      </w:tr>
      <w:tr>
        <w:tc>
          <w:tcPr>
            <w:tcW w:w="3517" w:type="dxa"/>
          </w:tcPr>
          <w:p>
            <w:pPr/>
            <w:r>
              <w:t xml:space="preserve">Fuente del banco</w:t>
            </w:r>
          </w:p>
        </w:tc>
        <w:tc>
          <w:tcPr>
            <w:tcW w:w="5842" w:type="dxa"/>
          </w:tcPr>
          <w:p>
            <w:pPr/>
            <w:r>
              <w:t xml:space="preserve">INPHARED, tabla de abril 2026</w:t>
            </w:r>
          </w:p>
        </w:tc>
      </w:tr>
      <w:tr>
        <w:tc>
          <w:tcPr>
            <w:tcW w:w="3517" w:type="dxa"/>
          </w:tcPr>
          <w:p>
            <w:pPr/>
            <w:r>
              <w:t xml:space="preserve">Fagos cargados</w:t>
            </w:r>
          </w:p>
        </w:tc>
        <w:tc>
          <w:tcPr>
            <w:tcW w:w="5842" w:type="dxa"/>
          </w:tcPr>
          <w:p>
            <w:pPr/>
            <w:r>
              <w:t xml:space="preserve">200 de </w:t>
            </w:r>
            <w:r>
              <w:rPr>
                <w:i/>
              </w:rPr>
              <w:t xml:space="preserve">Klebsiella</w:t>
            </w:r>
            <w:r>
              <w:t xml:space="preserve">, todos pendientes de curaduría</w:t>
            </w:r>
          </w:p>
        </w:tc>
      </w:tr>
      <w:tr>
        <w:tc>
          <w:tcPr>
            <w:tcW w:w="3517" w:type="dxa"/>
          </w:tcPr>
          <w:p>
            <w:pPr/>
            <w:r>
              <w:t xml:space="preserve">Segunda carga</w:t>
            </w:r>
          </w:p>
        </w:tc>
        <w:tc>
          <w:tcPr>
            <w:tcW w:w="5842" w:type="dxa"/>
          </w:tcPr>
          <w:p>
            <w:pPr/>
            <w:r>
              <w:t xml:space="preserve">0 fagos nuevos y 0 orígenes nuevos: la carga es idempotente</w:t>
            </w:r>
          </w:p>
        </w:tc>
      </w:tr>
      <w:tr>
        <w:tc>
          <w:tcPr>
            <w:tcW w:w="3517" w:type="dxa"/>
          </w:tcPr>
          <w:p>
            <w:pPr/>
            <w:r>
              <w:t xml:space="preserve">Calidad del genoma</w:t>
            </w:r>
          </w:p>
        </w:tc>
        <w:tc>
          <w:tcPr>
            <w:tcW w:w="5842" w:type="dxa"/>
          </w:tcPr>
          <w:p>
            <w:pPr/>
            <w:r>
              <w:t xml:space="preserve">Aprobada: 5.682.322 pb, 7 contigs, N50 5.333.942 y GC 57,12 %; sin bases ambiguas</w:t>
            </w:r>
          </w:p>
        </w:tc>
      </w:tr>
      <w:tr>
        <w:tc>
          <w:tcPr>
            <w:tcW w:w="3517" w:type="dxa"/>
          </w:tcPr>
          <w:p>
            <w:pPr/>
            <w:r>
              <w:t xml:space="preserve">Genes</w:t>
            </w:r>
          </w:p>
        </w:tc>
        <w:tc>
          <w:tcPr>
            <w:tcW w:w="5842" w:type="dxa"/>
          </w:tcPr>
          <w:p>
            <w:pPr/>
            <w:r>
              <w:t xml:space="preserve">5.455, con Prodigal 2.6.3</w:t>
            </w:r>
          </w:p>
        </w:tc>
      </w:tr>
      <w:tr>
        <w:tc>
          <w:tcPr>
            <w:tcW w:w="3517" w:type="dxa"/>
          </w:tcPr>
          <w:p>
            <w:pPr/>
            <w:r>
              <w:t xml:space="preserve">Locus K</w:t>
            </w:r>
          </w:p>
        </w:tc>
        <w:tc>
          <w:tcPr>
            <w:tcW w:w="5842" w:type="dxa"/>
          </w:tcPr>
          <w:p>
            <w:pPr/>
            <w:r>
              <w:t xml:space="preserve">KL103, confianza “Typeable”, con Kaptive 3.3.2</w:t>
            </w:r>
          </w:p>
        </w:tc>
      </w:tr>
      <w:tr>
        <w:tc>
          <w:tcPr>
            <w:tcW w:w="3517" w:type="dxa"/>
          </w:tcPr>
          <w:p>
            <w:pPr/>
            <w:r>
              <w:t xml:space="preserve">Especie</w:t>
            </w:r>
          </w:p>
        </w:tc>
        <w:tc>
          <w:tcPr>
            <w:tcW w:w="5842" w:type="dxa"/>
          </w:tcPr>
          <w:p>
            <w:pPr/>
            <w:r>
              <w:rPr>
                <w:i/>
              </w:rPr>
              <w:t xml:space="preserve">K. pneumoniae</w:t>
            </w:r>
            <w:r>
              <w:t xml:space="preserve"> (declarada en esta primera corrida, antes de armar las referencias de Mash); </w:t>
            </w:r>
            <w:r>
              <w:rPr>
                <w:b/>
              </w:rPr>
              <w:t xml:space="preserve">verificada en las corridas siguientes</w:t>
            </w:r>
          </w:p>
        </w:tc>
      </w:tr>
      <w:tr>
        <w:tc>
          <w:tcPr>
            <w:tcW w:w="3517" w:type="dxa"/>
          </w:tcPr>
          <w:p>
            <w:pPr/>
            <w:r>
              <w:t xml:space="preserve">Tiempo</w:t>
            </w:r>
          </w:p>
        </w:tc>
        <w:tc>
          <w:tcPr>
            <w:tcW w:w="5842" w:type="dxa"/>
          </w:tcPr>
          <w:p>
            <w:pPr/>
            <w:r>
              <w:t xml:space="preserve">Unos 45 s de punta a punta</w:t>
            </w:r>
          </w:p>
        </w:tc>
      </w:tr>
      <w:tr>
        <w:tc>
          <w:tcPr>
            <w:tcW w:w="3517" w:type="dxa"/>
          </w:tcPr>
          <w:p>
            <w:pPr/>
            <w:r>
              <w:t xml:space="preserve">Registro de resultados</w:t>
            </w:r>
          </w:p>
        </w:tc>
        <w:tc>
          <w:tcPr>
            <w:tcW w:w="5842" w:type="dxa"/>
          </w:tcPr>
          <w:p>
            <w:pPr/>
            <w:r>
              <w:t xml:space="preserve">Análisis en PostgreSQL, salidas crudas en MongoDB y un trabajo de predicción encolado</w:t>
            </w:r>
          </w:p>
        </w:tc>
      </w:tr>
      <w:tr>
        <w:tc>
          <w:tcPr>
            <w:tcW w:w="3517" w:type="dxa"/>
          </w:tcPr>
          <w:p>
            <w:pPr/>
            <w:r>
              <w:t xml:space="preserve">Archivo que no es FASTA</w:t>
            </w:r>
          </w:p>
        </w:tc>
        <w:tc>
          <w:tcPr>
            <w:tcW w:w="5842" w:type="dxa"/>
          </w:tcPr>
          <w:p>
            <w:pPr/>
            <w:r>
              <w:t xml:space="preserve">La solicitud queda Rechazada con el motivo, sin reintentos</w:t>
            </w:r>
          </w:p>
        </w:tc>
      </w:tr>
    </w:tbl>
    <w:p>
      <w:pPr>
        <w:pStyle w:val="Heading4"/>
      </w:pPr>
      <w:r>
        <w:t xml:space="preserve">Registro de ejecución por la web (28-10-2026)</w:t>
      </w:r>
    </w:p>
    <w:p>
      <w:pPr/>
      <w:r>
        <w:t xml:space="preserve">Se levantó el entorno con docker compose, se abrió la web en </w:t>
      </w:r>
      <w:r>
        <w:rPr>
          <w:rStyle w:val="CodeChar"/>
        </w:rPr>
        <w:t xml:space="preserve">http://localhost:8000/</w:t>
      </w:r>
      <w:r>
        <w:t xml:space="preserve"> y se subió el genoma HS11286 (archivo </w:t>
      </w:r>
      <w:r>
        <w:rPr>
          <w:rStyle w:val="CodeChar"/>
        </w:rPr>
        <w:t xml:space="preserve">.fna.gz</w:t>
      </w:r>
      <w:r>
        <w:t xml:space="preserve"> de 1,6 MB) con muestra respiratoria y mecanismo KPC. Se probaron además dos archivos inválidos.</w:t>
      </w:r>
    </w:p>
    <w:tbl>
      <w:tblPr>
        <w:tblStyle w:val="TableGrid"/>
        <w:tblW w:w="0" w:type="auto"/>
        <w:tblLayout w:type="fixed"/>
        <w:tblLook w:val="04A0" w:firstRow="1" w:lastRow="0" w:firstColumn="0" w:lastColumn="0" w:noHBand="0" w:noVBand="1"/>
      </w:tblPr>
      <w:tblGrid>
        <w:gridCol w:w="3727"/>
        <w:gridCol w:w="5632"/>
      </w:tblGrid>
      <w:tr>
        <w:trPr>
          <w:tblHeader/>
        </w:trPr>
        <w:tc>
          <w:tcPr>
            <w:tcW w:w="3727" w:type="dxa"/>
            <w:shd w:val="clear" w:color="auto" w:fill="F2F2F2"/>
          </w:tcPr>
          <w:p>
            <w:pPr/>
            <w:r>
              <w:t xml:space="preserve">Prueba</w:t>
            </w:r>
          </w:p>
        </w:tc>
        <w:tc>
          <w:tcPr>
            <w:tcW w:w="5632" w:type="dxa"/>
            <w:shd w:val="clear" w:color="auto" w:fill="F2F2F2"/>
          </w:tcPr>
          <w:p>
            <w:pPr/>
            <w:r>
              <w:t xml:space="preserve">Resultado</w:t>
            </w:r>
          </w:p>
        </w:tc>
      </w:tr>
      <w:tr>
        <w:tc>
          <w:tcPr>
            <w:tcW w:w="3727" w:type="dxa"/>
          </w:tcPr>
          <w:p>
            <w:pPr/>
            <w:r>
              <w:t xml:space="preserve">Genoma HS11286 por la web</w:t>
            </w:r>
          </w:p>
        </w:tc>
        <w:tc>
          <w:tcPr>
            <w:tcW w:w="5632" w:type="dxa"/>
          </w:tcPr>
          <w:p>
            <w:pPr/>
            <w:r>
              <w:t xml:space="preserve">Se registra y el worker lo analiza solo en unos 20 s; queda en «Análisis completo»</w:t>
            </w:r>
          </w:p>
        </w:tc>
      </w:tr>
      <w:tr>
        <w:tc>
          <w:tcPr>
            <w:tcW w:w="3727" w:type="dxa"/>
          </w:tcPr>
          <w:p>
            <w:pPr/>
            <w:r>
              <w:t xml:space="preserve">Especie</w:t>
            </w:r>
          </w:p>
        </w:tc>
        <w:tc>
          <w:tcPr>
            <w:tcW w:w="5632" w:type="dxa"/>
          </w:tcPr>
          <w:p>
            <w:pPr/>
            <w:r>
              <w:rPr>
                <w:i/>
              </w:rPr>
              <w:t xml:space="preserve">K. pneumoniae</w:t>
            </w:r>
            <w:r>
              <w:t xml:space="preserve">, verificada con Mash (distancia 0,0000, porque HS11286 es su propia referencia)</w:t>
            </w:r>
          </w:p>
        </w:tc>
      </w:tr>
      <w:tr>
        <w:tc>
          <w:tcPr>
            <w:tcW w:w="3727" w:type="dxa"/>
          </w:tcPr>
          <w:p>
            <w:pPr/>
            <w:r>
              <w:t xml:space="preserve">Locus K y genes</w:t>
            </w:r>
          </w:p>
        </w:tc>
        <w:tc>
          <w:tcPr>
            <w:tcW w:w="5632" w:type="dxa"/>
          </w:tcPr>
          <w:p>
            <w:pPr/>
            <w:r>
              <w:t xml:space="preserve">KL103, confianza «Typeable», y 5.455 genes, igual que en la corrida por consola</w:t>
            </w:r>
          </w:p>
        </w:tc>
      </w:tr>
      <w:tr>
        <w:tc>
          <w:tcPr>
            <w:tcW w:w="3727" w:type="dxa"/>
          </w:tcPr>
          <w:p>
            <w:pPr/>
            <w:r>
              <w:t xml:space="preserve">Archivo que no es FASTA</w:t>
            </w:r>
          </w:p>
        </w:tc>
        <w:tc>
          <w:tcPr>
            <w:tcW w:w="5632" w:type="dxa"/>
          </w:tcPr>
          <w:p>
            <w:pPr/>
            <w:r>
              <w:t xml:space="preserve">La API responde 422 con el motivo («hay secuencia antes del primer encabezado &gt;») y no crea ningún registro</w:t>
            </w:r>
          </w:p>
        </w:tc>
      </w:tr>
      <w:tr>
        <w:tc>
          <w:tcPr>
            <w:tcW w:w="3727" w:type="dxa"/>
          </w:tcPr>
          <w:p>
            <w:pPr/>
            <w:r>
              <w:t xml:space="preserve">FASTA de 24 pb</w:t>
            </w:r>
          </w:p>
        </w:tc>
        <w:tc>
          <w:tcPr>
            <w:tcW w:w="5632" w:type="dxa"/>
          </w:tcPr>
          <w:p>
            <w:pPr/>
            <w:r>
              <w:t xml:space="preserve">Se registra y el pipeline lo deja Rechazada por calidad (longitud fuera de rango y N50 bajo), con el motivo en pantalla</w:t>
            </w:r>
          </w:p>
        </w:tc>
      </w:tr>
      <w:tr>
        <w:tc>
          <w:tcPr>
            <w:tcW w:w="3727" w:type="dxa"/>
          </w:tcPr>
          <w:p>
            <w:pPr/>
            <w:r>
              <w:t xml:space="preserve">Fagos candidatos</w:t>
            </w:r>
          </w:p>
        </w:tc>
        <w:tc>
          <w:tcPr>
            <w:tcW w:w="5632" w:type="dxa"/>
          </w:tcPr>
          <w:p>
            <w:pPr/>
            <w:r>
              <w:t xml:space="preserve">«Sin evidencia»: el banco tiene 200 fagos y 0 interacciones fago-cepa, y la pantalla lo informa en lugar de ordenarlos</w:t>
            </w:r>
          </w:p>
        </w:tc>
      </w:tr>
      <w:tr>
        <w:tc>
          <w:tcPr>
            <w:tcW w:w="3727" w:type="dxa"/>
          </w:tcPr>
          <w:p>
            <w:pPr/>
            <w:r>
              <w:t xml:space="preserve">Pruebas automatizadas</w:t>
            </w:r>
          </w:p>
        </w:tc>
        <w:tc>
          <w:tcPr>
            <w:tcW w:w="5632" w:type="dxa"/>
          </w:tcPr>
          <w:p>
            <w:pPr/>
            <w:r>
              <w:t xml:space="preserve">102 pasan dentro del contenedor</w:t>
            </w:r>
          </w:p>
        </w:tc>
      </w:tr>
    </w:tbl>
    <w:p>
      <w:pPr>
        <w:pStyle w:val="Heading4"/>
      </w:pPr>
      <w:r>
        <w:t xml:space="preserve">Verificación de especie con genomas fuera de las referencias</w:t>
      </w:r>
    </w:p>
    <w:p>
      <w:pPr/>
      <w:r>
        <w:t xml:space="preserve">Se armó un sketch de Mash con 13 genomas de referencia (2 de </w:t>
      </w:r>
      <w:r>
        <w:rPr>
          <w:i/>
        </w:rPr>
        <w:t xml:space="preserve">K. pneumoniae</w:t>
      </w:r>
      <w:r>
        <w:t xml:space="preserve"> y una por cada especie cercana o confundible) y se probó con genomas de NCBI que no forman parte de ese conjunto.</w:t>
      </w:r>
    </w:p>
    <w:tbl>
      <w:tblPr>
        <w:tblStyle w:val="TableGrid"/>
        <w:tblW w:w="0" w:type="auto"/>
        <w:tblLayout w:type="fixed"/>
        <w:tblLook w:val="04A0" w:firstRow="1" w:lastRow="0" w:firstColumn="0" w:lastColumn="0" w:noHBand="0" w:noVBand="1"/>
      </w:tblPr>
      <w:tblGrid>
        <w:gridCol w:w="3587"/>
        <w:gridCol w:w="5772"/>
      </w:tblGrid>
      <w:tr>
        <w:trPr>
          <w:tblHeader/>
        </w:trPr>
        <w:tc>
          <w:tcPr>
            <w:tcW w:w="3587" w:type="dxa"/>
            <w:shd w:val="clear" w:color="auto" w:fill="F2F2F2"/>
          </w:tcPr>
          <w:p>
            <w:pPr/>
            <w:r>
              <w:t xml:space="preserve">Genoma</w:t>
            </w:r>
          </w:p>
        </w:tc>
        <w:tc>
          <w:tcPr>
            <w:tcW w:w="5772" w:type="dxa"/>
            <w:shd w:val="clear" w:color="auto" w:fill="F2F2F2"/>
          </w:tcPr>
          <w:p>
            <w:pPr/>
            <w:r>
              <w:t xml:space="preserve">Resultado de la solicitud</w:t>
            </w:r>
          </w:p>
        </w:tc>
      </w:tr>
      <w:tr>
        <w:tc>
          <w:tcPr>
            <w:tcW w:w="3587" w:type="dxa"/>
          </w:tcPr>
          <w:p>
            <w:pPr/>
            <w:r>
              <w:rPr>
                <w:i/>
              </w:rPr>
              <w:t xml:space="preserve">K. pneumoniae</w:t>
            </w:r>
            <w:r>
              <w:t xml:space="preserve"> MGH 78578</w:t>
            </w:r>
          </w:p>
        </w:tc>
        <w:tc>
          <w:tcPr>
            <w:tcW w:w="5772" w:type="dxa"/>
          </w:tcPr>
          <w:p>
            <w:pPr/>
            <w:r>
              <w:t xml:space="preserve">Aceptada: especie verificada con Mash (distancia 0,0114), locus K KL52 y 5.294 genes</w:t>
            </w:r>
          </w:p>
        </w:tc>
      </w:tr>
      <w:tr>
        <w:tc>
          <w:tcPr>
            <w:tcW w:w="3587" w:type="dxa"/>
          </w:tcPr>
          <w:p>
            <w:pPr/>
            <w:r>
              <w:rPr>
                <w:i/>
              </w:rPr>
              <w:t xml:space="preserve">K. variicola</w:t>
            </w:r>
            <w:r>
              <w:t xml:space="preserve"> JCM 12419</w:t>
            </w:r>
          </w:p>
        </w:tc>
        <w:tc>
          <w:tcPr>
            <w:tcW w:w="5772" w:type="dxa"/>
          </w:tcPr>
          <w:p>
            <w:pPr/>
            <w:r>
              <w:t xml:space="preserve">Rechazada: especie detectada </w:t>
            </w:r>
            <w:r>
              <w:rPr>
                <w:i/>
              </w:rPr>
              <w:t xml:space="preserve">K. variicola</w:t>
            </w:r>
            <w:r>
              <w:t xml:space="preserve"> (distancia 0,0093 a su referencia)</w:t>
            </w:r>
          </w:p>
        </w:tc>
      </w:tr>
      <w:tr>
        <w:tc>
          <w:tcPr>
            <w:tcW w:w="3587" w:type="dxa"/>
          </w:tcPr>
          <w:p>
            <w:pPr/>
            <w:r>
              <w:rPr>
                <w:i/>
              </w:rPr>
              <w:t xml:space="preserve">E. coli</w:t>
            </w:r>
            <w:r>
              <w:t xml:space="preserve"> O157:H7 Sakai</w:t>
            </w:r>
          </w:p>
        </w:tc>
        <w:tc>
          <w:tcPr>
            <w:tcW w:w="5772" w:type="dxa"/>
          </w:tcPr>
          <w:p>
            <w:pPr/>
            <w:r>
              <w:t xml:space="preserve">Rechazada: especie detectada </w:t>
            </w:r>
            <w:r>
              <w:rPr>
                <w:i/>
              </w:rPr>
              <w:t xml:space="preserve">E. coli</w:t>
            </w:r>
            <w:r>
              <w:t xml:space="preserve"> (distancia 0,0225 a su referencia)</w:t>
            </w:r>
          </w:p>
        </w:tc>
      </w:tr>
    </w:tbl>
    <w:p>
      <w:pPr/>
      <w:r>
        <w:t xml:space="preserve">La validación más amplia usó 8 genomas (3 </w:t>
      </w:r>
      <w:r>
        <w:rPr>
          <w:i/>
        </w:rPr>
        <w:t xml:space="preserve">K. pneumoniae</w:t>
      </w:r>
      <w:r>
        <w:t xml:space="preserve">, 2 </w:t>
      </w:r>
      <w:r>
        <w:rPr>
          <w:i/>
        </w:rPr>
        <w:t xml:space="preserve">K. variicola</w:t>
      </w:r>
      <w:r>
        <w:t xml:space="preserve">, 2 </w:t>
      </w:r>
      <w:r>
        <w:rPr>
          <w:i/>
        </w:rPr>
        <w:t xml:space="preserve">K. quasipneumoniae</w:t>
      </w:r>
      <w:r>
        <w:t xml:space="preserve"> y 1 </w:t>
      </w:r>
      <w:r>
        <w:rPr>
          <w:i/>
        </w:rPr>
        <w:t xml:space="preserve">E. coli</w:t>
      </w:r>
      <w:r>
        <w:t xml:space="preserve">) y los 8 se clasificaron bien. Dos de ellos son la misma cepa tipo que ya estaba en las referencias, así que la validación independiente es de 6 genomas: una prueba pequeña, no estadística. Las otras especies del complejo quedan a 0,048–0,056 de </w:t>
      </w:r>
      <w:r>
        <w:rPr>
          <w:i/>
        </w:rPr>
        <w:t xml:space="preserve">K. pneumoniae</w:t>
      </w:r>
      <w:r>
        <w:t xml:space="preserve">, de modo que un umbral de distancia no las separa; decide la referencia más cercana.</w:t>
      </w:r>
    </w:p>
    <w:p>
      <w:pPr>
        <w:pStyle w:val="Heading4"/>
      </w:pPr>
      <w:r>
        <w:t xml:space="preserve">Cómo se resguardó la calidad</w:t>
      </w:r>
    </w:p>
    <w:p>
      <w:pPr>
        <w:pStyle w:val="ListParagraph"/>
        <w:numPr>
          <w:ilvl w:val="0"/>
          <w:numId w:val="3"/>
        </w:numPr>
      </w:pPr>
      <w:r>
        <w:t xml:space="preserve">Las pruebas automatizadas se escribieron junto con cada módulo: 102 pruebas (78 del pipeline y la base de datos, y 24 de la API) que pasan dentro del contenedor.</w:t>
      </w:r>
    </w:p>
    <w:p>
      <w:pPr>
        <w:pStyle w:val="ListParagraph"/>
        <w:numPr>
          <w:ilvl w:val="0"/>
          <w:numId w:val="3"/>
        </w:numPr>
      </w:pPr>
      <w:r>
        <w:t xml:space="preserve">El esquema de datos se versiona con migraciones de Alembic y todo el entorno se levanta desde cero con </w:t>
      </w:r>
      <w:r>
        <w:rPr>
          <w:rStyle w:val="CodeChar"/>
        </w:rPr>
        <w:t xml:space="preserve">docker compose up --build</w:t>
      </w:r>
      <w:r>
        <w:t xml:space="preserve">.</w:t>
      </w:r>
    </w:p>
    <w:p>
      <w:pPr>
        <w:pStyle w:val="ListParagraph"/>
        <w:numPr>
          <w:ilvl w:val="0"/>
          <w:numId w:val="3"/>
        </w:numPr>
      </w:pPr>
      <w:r>
        <w:t xml:space="preserve">Las herramientas se verificaron contra un genoma real, y esa verificación reveló y corrigió tres errores: la línea de comandos de Kaptive, la versión de la fuente al repetir la carga y un mensaje de validación falso.</w:t>
      </w:r>
    </w:p>
    <w:p>
      <w:pPr>
        <w:pStyle w:val="ListParagraph"/>
        <w:numPr>
          <w:ilvl w:val="0"/>
          <w:numId w:val="3"/>
        </w:numPr>
      </w:pPr>
      <w:r>
        <w:t xml:space="preserve">Cada análisis guarda la versión de las herramientas que lo produjeron.</w:t>
      </w:r>
    </w:p>
    <w:p>
      <w:pPr>
        <w:pStyle w:val="ListParagraph"/>
        <w:numPr>
          <w:ilvl w:val="0"/>
          <w:numId w:val="3"/>
        </w:numPr>
      </w:pPr>
      <w:r>
        <w:t xml:space="preserve">Los límites se declaran: la validación de la especie es pequeña (6 genomas independientes), los umbrales de calidad son valores iniciales sin calibrar y la longitud de los fagos viene en KB redondeados desde la fuente.</w:t>
      </w:r>
    </w:p>
    <w:p>
      <w:pPr>
        <w:pStyle w:val="ListParagraph"/>
        <w:numPr>
          <w:ilvl w:val="0"/>
          <w:numId w:val="3"/>
        </w:numPr>
      </w:pPr>
      <w:r>
        <w:t xml:space="preserve">Las credenciales quedan fuera del repositorio: el archivo </w:t>
      </w:r>
      <w:r>
        <w:rPr>
          <w:rStyle w:val="CodeChar"/>
        </w:rPr>
        <w:t xml:space="preserve">.env</w:t>
      </w:r>
      <w:r>
        <w:t xml:space="preserve"> está ignorado por Git.</w:t>
      </w:r>
    </w:p>
    <w:p>
      <w:pPr>
        <w:pStyle w:val="Heading2"/>
      </w:pPr>
      <w:r>
        <w:t xml:space="preserve">2. Monitoreo del plan de trabajo</w:t>
      </w:r>
    </w:p>
    <w:p>
      <w:pPr/>
      <w:r>
        <w:t xml:space="preserve">De las 18 filas del plan, 8 están completadas, 6 en curso y 4 sin iniciar. La columna «Duración planificada» muestra el calendario ajustado en torno a la entrega 2, que el docente fijó el 29-10-2026 para el 30-10 (semana 12); el calendario original del Gantt de la Fase 1 está en el ajuste A6 (sección 3.2). El responsable de todas las actividades es Johao Ramírez, por ser un proyecto individual.</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Actividad</w:t>
            </w:r>
          </w:p>
        </w:tc>
        <w:tc>
          <w:tcPr>
            <w:tcW w:w="1337" w:type="dxa"/>
            <w:shd w:val="clear" w:color="auto" w:fill="F2F2F2"/>
          </w:tcPr>
          <w:p>
            <w:pPr/>
            <w:r>
              <w:t xml:space="preserve">OE y competencia</w:t>
            </w:r>
          </w:p>
        </w:tc>
        <w:tc>
          <w:tcPr>
            <w:tcW w:w="1337" w:type="dxa"/>
            <w:shd w:val="clear" w:color="auto" w:fill="F2F2F2"/>
          </w:tcPr>
          <w:p>
            <w:pPr/>
            <w:r>
              <w:t xml:space="preserve">Recursos</w:t>
            </w:r>
          </w:p>
        </w:tc>
        <w:tc>
          <w:tcPr>
            <w:tcW w:w="1337" w:type="dxa"/>
            <w:shd w:val="clear" w:color="auto" w:fill="F2F2F2"/>
          </w:tcPr>
          <w:p>
            <w:pPr/>
            <w:r>
              <w:t xml:space="preserve">Duración planificada (calendario ajustado)</w:t>
            </w:r>
          </w:p>
        </w:tc>
        <w:tc>
          <w:tcPr>
            <w:tcW w:w="1337" w:type="dxa"/>
            <w:shd w:val="clear" w:color="auto" w:fill="F2F2F2"/>
          </w:tcPr>
          <w:p>
            <w:pPr/>
            <w:r>
              <w:t xml:space="preserve">Estado</w:t>
            </w:r>
          </w:p>
        </w:tc>
        <w:tc>
          <w:tcPr>
            <w:tcW w:w="1337" w:type="dxa"/>
            <w:shd w:val="clear" w:color="auto" w:fill="F2F2F2"/>
          </w:tcPr>
          <w:p>
            <w:pPr/>
            <w:r>
              <w:t xml:space="preserve">Observaciones</w:t>
            </w:r>
          </w:p>
        </w:tc>
        <w:tc>
          <w:tcPr>
            <w:tcW w:w="1337" w:type="dxa"/>
            <w:shd w:val="clear" w:color="auto" w:fill="F2F2F2"/>
          </w:tcPr>
          <w:p>
            <w:pPr/>
            <w:r>
              <w:t xml:space="preserve">Ajustes</w:t>
            </w:r>
          </w:p>
        </w:tc>
      </w:tr>
      <w:tr>
        <w:tc>
          <w:tcPr>
            <w:tcW w:w="1337" w:type="dxa"/>
          </w:tcPr>
          <w:p>
            <w:pPr/>
            <w:r>
              <w:t xml:space="preserve">1.1 Repositorio público, estructura y Docker base</w:t>
            </w:r>
          </w:p>
        </w:tc>
        <w:tc>
          <w:tcPr>
            <w:tcW w:w="1337" w:type="dxa"/>
          </w:tcPr>
          <w:p>
            <w:pPr/>
            <w:r>
              <w:t xml:space="preserve">OE1 · requisitos y diseño</w:t>
            </w:r>
          </w:p>
        </w:tc>
        <w:tc>
          <w:tcPr>
            <w:tcW w:w="1337" w:type="dxa"/>
          </w:tcPr>
          <w:p>
            <w:pPr/>
            <w:r>
              <w:t xml:space="preserve">GitHub, Docker</w:t>
            </w:r>
          </w:p>
        </w:tc>
        <w:tc>
          <w:tcPr>
            <w:tcW w:w="1337" w:type="dxa"/>
          </w:tcPr>
          <w:p>
            <w:pPr/>
            <w:r>
              <w:t xml:space="preserve">Semana 12 (entrega 2)</w:t>
            </w:r>
          </w:p>
        </w:tc>
        <w:tc>
          <w:tcPr>
            <w:tcW w:w="1337" w:type="dxa"/>
          </w:tcPr>
          <w:p>
            <w:pPr/>
            <w:r>
              <w:t xml:space="preserve">En curso</w:t>
            </w:r>
          </w:p>
        </w:tc>
        <w:tc>
          <w:tcPr>
            <w:tcW w:w="1337" w:type="dxa"/>
          </w:tcPr>
          <w:p>
            <w:pPr/>
            <w:r>
              <w:t xml:space="preserve">La estructura del repositorio y el docker-compose existen y funcionan; el repositorio aún no está publicado en la cuenta institucional</w:t>
            </w:r>
          </w:p>
        </w:tc>
        <w:tc>
          <w:tcPr>
            <w:tcW w:w="1337" w:type="dxa"/>
          </w:tcPr>
          <w:p>
            <w:pPr/>
            <w:r>
              <w:t xml:space="preserve">Publicarlo cuando se confirme su URL</w:t>
            </w:r>
          </w:p>
        </w:tc>
      </w:tr>
      <w:tr>
        <w:tc>
          <w:tcPr>
            <w:tcW w:w="1337" w:type="dxa"/>
          </w:tcPr>
          <w:p>
            <w:pPr/>
            <w:r>
              <w:t xml:space="preserve">1.2 Levantamiento de requisitos, roles y permisos</w:t>
            </w:r>
          </w:p>
        </w:tc>
        <w:tc>
          <w:tcPr>
            <w:tcW w:w="1337" w:type="dxa"/>
          </w:tcPr>
          <w:p>
            <w:pPr/>
            <w:r>
              <w:t xml:space="preserve">OE1 · requisitos y diseño</w:t>
            </w:r>
          </w:p>
        </w:tc>
        <w:tc>
          <w:tcPr>
            <w:tcW w:w="1337" w:type="dxa"/>
          </w:tcPr>
          <w:p>
            <w:pPr/>
            <w:r>
              <w:t xml:space="preserve">Literatura de terapia fágica</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Cinco roles y matriz de permisos definidos</w:t>
            </w:r>
          </w:p>
        </w:tc>
        <w:tc>
          <w:tcPr>
            <w:tcW w:w="1337" w:type="dxa"/>
          </w:tcPr>
          <w:p>
            <w:pPr/>
            <w:r>
              <w:t xml:space="preserve">Ninguno</w:t>
            </w:r>
          </w:p>
        </w:tc>
      </w:tr>
      <w:tr>
        <w:tc>
          <w:tcPr>
            <w:tcW w:w="1337" w:type="dxa"/>
          </w:tcPr>
          <w:p>
            <w:pPr/>
            <w:r>
              <w:t xml:space="preserve">1.3 SRS: RF, RNF e historias por rol</w:t>
            </w:r>
          </w:p>
        </w:tc>
        <w:tc>
          <w:tcPr>
            <w:tcW w:w="1337" w:type="dxa"/>
          </w:tcPr>
          <w:p>
            <w:pPr/>
            <w:r>
              <w:t xml:space="preserve">OE1 · requisitos y diseño</w:t>
            </w:r>
          </w:p>
        </w:tc>
        <w:tc>
          <w:tcPr>
            <w:tcW w:w="1337" w:type="dxa"/>
          </w:tcPr>
          <w:p>
            <w:pPr/>
            <w:r>
              <w:t xml:space="preserve">Literatura de terapia fágica</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como versión 0.2; falta la aprobación de la puerta de control</w:t>
            </w:r>
          </w:p>
        </w:tc>
        <w:tc>
          <w:tcPr>
            <w:tcW w:w="1337" w:type="dxa"/>
          </w:tcPr>
          <w:p>
            <w:pPr/>
            <w:r>
              <w:t xml:space="preserve">Control de cambios desde la aprobación; solicitud SC-01 propuesta</w:t>
            </w:r>
          </w:p>
        </w:tc>
      </w:tr>
      <w:tr>
        <w:tc>
          <w:tcPr>
            <w:tcW w:w="1337" w:type="dxa"/>
          </w:tcPr>
          <w:p>
            <w:pPr/>
            <w:r>
              <w:t xml:space="preserve">2.1 Arquitectura y diagrama de componentes</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Vista de despliegue, componentes y 14 decisiones documentadas</w:t>
            </w:r>
          </w:p>
        </w:tc>
        <w:tc>
          <w:tcPr>
            <w:tcW w:w="1337" w:type="dxa"/>
          </w:tcPr>
          <w:p>
            <w:pPr/>
            <w:r>
              <w:t xml:space="preserve">Ninguno</w:t>
            </w:r>
          </w:p>
        </w:tc>
      </w:tr>
      <w:tr>
        <w:tc>
          <w:tcPr>
            <w:tcW w:w="1337" w:type="dxa"/>
          </w:tcPr>
          <w:p>
            <w:pPr/>
            <w:r>
              <w:t xml:space="preserve">2.2 Modelo ER de PostgreSQL y esquema de MongoDB</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24 tablas y 4 colecciones. En el corte funcional ya hay 12 tablas migradas</w:t>
            </w:r>
          </w:p>
        </w:tc>
        <w:tc>
          <w:tcPr>
            <w:tcW w:w="1337" w:type="dxa"/>
          </w:tcPr>
          <w:p>
            <w:pPr/>
            <w:r>
              <w:t xml:space="preserve">Ninguno</w:t>
            </w:r>
          </w:p>
        </w:tc>
      </w:tr>
      <w:tr>
        <w:tc>
          <w:tcPr>
            <w:tcW w:w="1337" w:type="dxa"/>
          </w:tcPr>
          <w:p>
            <w:pPr/>
            <w:r>
              <w:t xml:space="preserve">2.3 Diagramas UML</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casos de uso, clases, secuencia y componentes</w:t>
            </w:r>
          </w:p>
        </w:tc>
        <w:tc>
          <w:tcPr>
            <w:tcW w:w="1337" w:type="dxa"/>
          </w:tcPr>
          <w:p>
            <w:pPr/>
            <w:r>
              <w:t xml:space="preserve">Ninguno</w:t>
            </w:r>
          </w:p>
        </w:tc>
      </w:tr>
      <w:tr>
        <w:tc>
          <w:tcPr>
            <w:tcW w:w="1337" w:type="dxa"/>
          </w:tcPr>
          <w:p>
            <w:pPr/>
            <w:r>
              <w:t xml:space="preserve">2.4 Documento de Diseño y plan de pruebas</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como versión 0.2, con 60 casos de prueba y 10 puntos técnicos abiertos</w:t>
            </w:r>
          </w:p>
        </w:tc>
        <w:tc>
          <w:tcPr>
            <w:tcW w:w="1337" w:type="dxa"/>
          </w:tcPr>
          <w:p>
            <w:pPr/>
            <w:r>
              <w:t xml:space="preserve">Los puntos abiertos se resuelven con prototipos en la etapa 3</w:t>
            </w:r>
          </w:p>
        </w:tc>
      </w:tr>
      <w:tr>
        <w:tc>
          <w:tcPr>
            <w:tcW w:w="1337" w:type="dxa"/>
          </w:tcPr>
          <w:p>
            <w:pPr/>
            <w:r>
              <w:t xml:space="preserve">3.1 Descarga y normalización de genomas de fagos</w:t>
            </w:r>
          </w:p>
        </w:tc>
        <w:tc>
          <w:tcPr>
            <w:tcW w:w="1337" w:type="dxa"/>
          </w:tcPr>
          <w:p>
            <w:pPr/>
            <w:r>
              <w:t xml:space="preserve">OE2 · construcción y datos</w:t>
            </w:r>
          </w:p>
        </w:tc>
        <w:tc>
          <w:tcPr>
            <w:tcW w:w="1337" w:type="dxa"/>
          </w:tcPr>
          <w:p>
            <w:pPr/>
            <w:r>
              <w:t xml:space="preserve">INPHARED, PhageScope, Biopython</w:t>
            </w:r>
          </w:p>
        </w:tc>
        <w:tc>
          <w:tcPr>
            <w:tcW w:w="1337" w:type="dxa"/>
          </w:tcPr>
          <w:p>
            <w:pPr/>
            <w:r>
              <w:t xml:space="preserve">Semana 13</w:t>
            </w:r>
          </w:p>
        </w:tc>
        <w:tc>
          <w:tcPr>
            <w:tcW w:w="1337" w:type="dxa"/>
          </w:tcPr>
          <w:p>
            <w:pPr/>
            <w:r>
              <w:t xml:space="preserve">En curso</w:t>
            </w:r>
          </w:p>
        </w:tc>
        <w:tc>
          <w:tcPr>
            <w:tcW w:w="1337" w:type="dxa"/>
          </w:tcPr>
          <w:p>
            <w:pPr/>
            <w:r>
              <w:t xml:space="preserve">Se cargó la tabla de metadatos de INPHARED (200 fagos). Se descargaron además los 200 genomas FASTA desde NCBI (5,5 MB comprimidos). Faltan las fuentes PhageScope y </w:t>
            </w:r>
            <w:r>
              <w:rPr>
                <w:i/>
              </w:rPr>
              <w:t xml:space="preserve">Microbe Versus Phage</w:t>
            </w:r>
          </w:p>
        </w:tc>
        <w:tc>
          <w:tcPr>
            <w:tcW w:w="1337" w:type="dxa"/>
          </w:tcPr>
          <w:p>
            <w:pPr/>
            <w:r>
              <w:t xml:space="preserve">INPHARED pasó a INPHARED2: se usa la tabla de abril 2026 mientras no haya otra descargable</w:t>
            </w:r>
          </w:p>
        </w:tc>
      </w:tr>
      <w:tr>
        <w:tc>
          <w:tcPr>
            <w:tcW w:w="1337" w:type="dxa"/>
          </w:tcPr>
          <w:p>
            <w:pPr/>
            <w:r>
              <w:t xml:space="preserve">3.2 Ingesta de aislados: validación y calidad</w:t>
            </w:r>
          </w:p>
        </w:tc>
        <w:tc>
          <w:tcPr>
            <w:tcW w:w="1337" w:type="dxa"/>
          </w:tcPr>
          <w:p>
            <w:pPr/>
            <w:r>
              <w:t xml:space="preserve">OE2 · construcción y datos</w:t>
            </w:r>
          </w:p>
        </w:tc>
        <w:tc>
          <w:tcPr>
            <w:tcW w:w="1337" w:type="dxa"/>
          </w:tcPr>
          <w:p>
            <w:pPr/>
            <w:r>
              <w:t xml:space="preserve">Python, pytest</w:t>
            </w:r>
          </w:p>
        </w:tc>
        <w:tc>
          <w:tcPr>
            <w:tcW w:w="1337" w:type="dxa"/>
          </w:tcPr>
          <w:p>
            <w:pPr/>
            <w:r>
              <w:t xml:space="preserve">Semana 12 (entrega 2)</w:t>
            </w:r>
          </w:p>
        </w:tc>
        <w:tc>
          <w:tcPr>
            <w:tcW w:w="1337" w:type="dxa"/>
          </w:tcPr>
          <w:p>
            <w:pPr/>
            <w:r>
              <w:t xml:space="preserve">Completado</w:t>
            </w:r>
          </w:p>
        </w:tc>
        <w:tc>
          <w:tcPr>
            <w:tcW w:w="1337" w:type="dxa"/>
          </w:tcPr>
          <w:p>
            <w:pPr/>
            <w:r>
              <w:t xml:space="preserve">Validación de FASTA y calidad (longitud, contigs, N50, GC y ambiguas), probadas con HS11286.</w:t>
            </w:r>
          </w:p>
        </w:tc>
        <w:tc>
          <w:tcPr>
            <w:tcW w:w="1337" w:type="dxa"/>
          </w:tcPr>
          <w:p>
            <w:pPr/>
            <w:r>
              <w:t xml:space="preserve">Calibrar los umbrales con más genomas</w:t>
            </w:r>
          </w:p>
        </w:tc>
      </w:tr>
      <w:tr>
        <w:tc>
          <w:tcPr>
            <w:tcW w:w="1337" w:type="dxa"/>
          </w:tcPr>
          <w:p>
            <w:pPr/>
            <w:r>
              <w:t xml:space="preserve">3.3 Especie y locus K</w:t>
            </w:r>
          </w:p>
        </w:tc>
        <w:tc>
          <w:tcPr>
            <w:tcW w:w="1337" w:type="dxa"/>
          </w:tcPr>
          <w:p>
            <w:pPr/>
            <w:r>
              <w:t xml:space="preserve">OE2 · construcción y datos</w:t>
            </w:r>
          </w:p>
        </w:tc>
        <w:tc>
          <w:tcPr>
            <w:tcW w:w="1337" w:type="dxa"/>
          </w:tcPr>
          <w:p>
            <w:pPr/>
            <w:r>
              <w:t xml:space="preserve">Kaptive, Mash</w:t>
            </w:r>
          </w:p>
        </w:tc>
        <w:tc>
          <w:tcPr>
            <w:tcW w:w="1337" w:type="dxa"/>
          </w:tcPr>
          <w:p>
            <w:pPr/>
            <w:r>
              <w:t xml:space="preserve">Semana 12 (entrega 2)</w:t>
            </w:r>
          </w:p>
        </w:tc>
        <w:tc>
          <w:tcPr>
            <w:tcW w:w="1337" w:type="dxa"/>
          </w:tcPr>
          <w:p>
            <w:pPr/>
            <w:r>
              <w:t xml:space="preserve">Completado</w:t>
            </w:r>
          </w:p>
        </w:tc>
        <w:tc>
          <w:tcPr>
            <w:tcW w:w="1337" w:type="dxa"/>
          </w:tcPr>
          <w:p>
            <w:pPr/>
            <w:r>
              <w:t xml:space="preserve">Locus K con Kaptive 3.3.2 y especie con Mash contra 13 referencias, ambos probados con genomas reales. La validación de la especie es pequeña (6 genomas independientes)</w:t>
            </w:r>
          </w:p>
        </w:tc>
        <w:tc>
          <w:tcPr>
            <w:tcW w:w="1337" w:type="dxa"/>
          </w:tcPr>
          <w:p>
            <w:pPr/>
            <w:r>
              <w:t xml:space="preserve">Ampliar la validación de la especie con más genomas</w:t>
            </w:r>
          </w:p>
        </w:tc>
      </w:tr>
      <w:tr>
        <w:tc>
          <w:tcPr>
            <w:tcW w:w="1337" w:type="dxa"/>
          </w:tcPr>
          <w:p>
            <w:pPr/>
            <w:r>
              <w:t xml:space="preserve">3.4 Genes y proteínas de unión al receptor</w:t>
            </w:r>
          </w:p>
        </w:tc>
        <w:tc>
          <w:tcPr>
            <w:tcW w:w="1337" w:type="dxa"/>
          </w:tcPr>
          <w:p>
            <w:pPr/>
            <w:r>
              <w:t xml:space="preserve">OE2 · construcción y datos</w:t>
            </w:r>
          </w:p>
        </w:tc>
        <w:tc>
          <w:tcPr>
            <w:tcW w:w="1337" w:type="dxa"/>
          </w:tcPr>
          <w:p>
            <w:pPr/>
            <w:r>
              <w:t xml:space="preserve">Prodigal, DIAMOND</w:t>
            </w:r>
          </w:p>
        </w:tc>
        <w:tc>
          <w:tcPr>
            <w:tcW w:w="1337" w:type="dxa"/>
          </w:tcPr>
          <w:p>
            <w:pPr/>
            <w:r>
              <w:t xml:space="preserve">Semana 13</w:t>
            </w:r>
          </w:p>
        </w:tc>
        <w:tc>
          <w:tcPr>
            <w:tcW w:w="1337" w:type="dxa"/>
          </w:tcPr>
          <w:p>
            <w:pPr/>
            <w:r>
              <w:t xml:space="preserve">En curso</w:t>
            </w:r>
          </w:p>
        </w:tc>
        <w:tc>
          <w:tcPr>
            <w:tcW w:w="1337" w:type="dxa"/>
          </w:tcPr>
          <w:p>
            <w:pPr/>
            <w:r>
              <w:t xml:space="preserve">5.455 genes con Prodigal; falta detectar las proteínas de unión al receptor</w:t>
            </w:r>
          </w:p>
        </w:tc>
        <w:tc>
          <w:tcPr>
            <w:tcW w:w="1337" w:type="dxa"/>
          </w:tcPr>
          <w:p>
            <w:pPr/>
            <w:r>
              <w:t xml:space="preserve">Detección por anotación y homología, según el diseño</w:t>
            </w:r>
          </w:p>
        </w:tc>
      </w:tr>
      <w:tr>
        <w:tc>
          <w:tcPr>
            <w:tcW w:w="1337" w:type="dxa"/>
          </w:tcPr>
          <w:p>
            <w:pPr/>
            <w:r>
              <w:t xml:space="preserve">3.5 Carga del banco y empaquetado en Docker</w:t>
            </w:r>
          </w:p>
        </w:tc>
        <w:tc>
          <w:tcPr>
            <w:tcW w:w="1337" w:type="dxa"/>
          </w:tcPr>
          <w:p>
            <w:pPr/>
            <w:r>
              <w:t xml:space="preserve">OE2 · construcción y datos</w:t>
            </w:r>
          </w:p>
        </w:tc>
        <w:tc>
          <w:tcPr>
            <w:tcW w:w="1337" w:type="dxa"/>
          </w:tcPr>
          <w:p>
            <w:pPr/>
            <w:r>
              <w:t xml:space="preserve">PostgreSQL, MongoDB, Docker</w:t>
            </w:r>
          </w:p>
        </w:tc>
        <w:tc>
          <w:tcPr>
            <w:tcW w:w="1337" w:type="dxa"/>
          </w:tcPr>
          <w:p>
            <w:pPr/>
            <w:r>
              <w:t xml:space="preserve">Semana 13</w:t>
            </w:r>
          </w:p>
        </w:tc>
        <w:tc>
          <w:tcPr>
            <w:tcW w:w="1337" w:type="dxa"/>
          </w:tcPr>
          <w:p>
            <w:pPr/>
            <w:r>
              <w:t xml:space="preserve">En curso</w:t>
            </w:r>
          </w:p>
        </w:tc>
        <w:tc>
          <w:tcPr>
            <w:tcW w:w="1337" w:type="dxa"/>
          </w:tcPr>
          <w:p>
            <w:pPr/>
            <w:r>
              <w:t xml:space="preserve">Banco cargado y empaquetado en Docker; los 200 fagos siguen pendientes de curaduría</w:t>
            </w:r>
          </w:p>
        </w:tc>
        <w:tc>
          <w:tcPr>
            <w:tcW w:w="1337" w:type="dxa"/>
          </w:tcPr>
          <w:p>
            <w:pPr/>
            <w:r>
              <w:t xml:space="preserve">Ninguno</w:t>
            </w:r>
          </w:p>
        </w:tc>
      </w:tr>
      <w:tr>
        <w:tc>
          <w:tcPr>
            <w:tcW w:w="1337" w:type="dxa"/>
          </w:tcPr>
          <w:p>
            <w:pPr/>
            <w:r>
              <w:t xml:space="preserve">3.6 Integración del pipeline e Informe de Avance</w:t>
            </w:r>
          </w:p>
        </w:tc>
        <w:tc>
          <w:tcPr>
            <w:tcW w:w="1337" w:type="dxa"/>
          </w:tcPr>
          <w:p>
            <w:pPr/>
            <w:r>
              <w:t xml:space="preserve">OE2 · construcción y datos</w:t>
            </w:r>
          </w:p>
        </w:tc>
        <w:tc>
          <w:tcPr>
            <w:tcW w:w="1337" w:type="dxa"/>
          </w:tcPr>
          <w:p>
            <w:pPr/>
            <w:r>
              <w:t xml:space="preserve">Docker, pytest</w:t>
            </w:r>
          </w:p>
        </w:tc>
        <w:tc>
          <w:tcPr>
            <w:tcW w:w="1337" w:type="dxa"/>
          </w:tcPr>
          <w:p>
            <w:pPr/>
            <w:r>
              <w:t xml:space="preserve">Semana 12 (entrega 2)</w:t>
            </w:r>
          </w:p>
        </w:tc>
        <w:tc>
          <w:tcPr>
            <w:tcW w:w="1337" w:type="dxa"/>
          </w:tcPr>
          <w:p>
            <w:pPr/>
            <w:r>
              <w:t xml:space="preserve">En curso</w:t>
            </w:r>
          </w:p>
        </w:tc>
        <w:tc>
          <w:tcPr>
            <w:tcW w:w="1337" w:type="dxa"/>
          </w:tcPr>
          <w:p>
            <w:pPr/>
            <w:r>
              <w:t xml:space="preserve">Pipeline integrado con cola de trabajos y worker; este informe es parte de la actividad</w:t>
            </w:r>
          </w:p>
        </w:tc>
        <w:tc>
          <w:tcPr>
            <w:tcW w:w="1337" w:type="dxa"/>
          </w:tcPr>
          <w:p>
            <w:pPr/>
            <w:r>
              <w:t xml:space="preserve">Ninguno</w:t>
            </w:r>
          </w:p>
        </w:tc>
      </w:tr>
      <w:tr>
        <w:tc>
          <w:tcPr>
            <w:tcW w:w="1337" w:type="dxa"/>
          </w:tcPr>
          <w:p>
            <w:pPr/>
            <w:r>
              <w:t xml:space="preserve">3.7 a 3.9 Modelo de predicción</w:t>
            </w:r>
          </w:p>
        </w:tc>
        <w:tc>
          <w:tcPr>
            <w:tcW w:w="1337" w:type="dxa"/>
          </w:tcPr>
          <w:p>
            <w:pPr/>
            <w:r>
              <w:t xml:space="preserve">OE3 · minería de datos</w:t>
            </w:r>
          </w:p>
        </w:tc>
        <w:tc>
          <w:tcPr>
            <w:tcW w:w="1337" w:type="dxa"/>
          </w:tcPr>
          <w:p>
            <w:pPr/>
            <w:r>
              <w:t xml:space="preserve">ESM-2, XGBoost, SHAP</w:t>
            </w:r>
          </w:p>
        </w:tc>
        <w:tc>
          <w:tcPr>
            <w:tcW w:w="1337" w:type="dxa"/>
          </w:tcPr>
          <w:p>
            <w:pPr/>
            <w:r>
              <w:t xml:space="preserve">Semanas 13 y 14</w:t>
            </w:r>
          </w:p>
        </w:tc>
        <w:tc>
          <w:tcPr>
            <w:tcW w:w="1337" w:type="dxa"/>
          </w:tcPr>
          <w:p>
            <w:pPr/>
            <w:r>
              <w:t xml:space="preserve">No iniciado</w:t>
            </w:r>
          </w:p>
        </w:tc>
        <w:tc>
          <w:tcPr>
            <w:tcW w:w="1337" w:type="dxa"/>
          </w:tcPr>
          <w:p>
            <w:pPr/>
            <w:r>
              <w:t xml:space="preserve">Inicia después de la entrega 2; las etapas 1 y 2 y la preparación del entorno ocuparon hasta la semana 12</w:t>
            </w:r>
          </w:p>
        </w:tc>
        <w:tc>
          <w:tcPr>
            <w:tcW w:w="1337" w:type="dxa"/>
          </w:tcPr>
          <w:p>
            <w:pPr/>
            <w:r>
              <w:t xml:space="preserve">Ver sección 3.3</w:t>
            </w:r>
          </w:p>
        </w:tc>
      </w:tr>
      <w:tr>
        <w:tc>
          <w:tcPr>
            <w:tcW w:w="1337" w:type="dxa"/>
          </w:tcPr>
          <w:p>
            <w:pPr/>
            <w:r>
              <w:t xml:space="preserve">3.10 a 3.13 Plataforma web</w:t>
            </w:r>
          </w:p>
        </w:tc>
        <w:tc>
          <w:tcPr>
            <w:tcW w:w="1337" w:type="dxa"/>
          </w:tcPr>
          <w:p>
            <w:pPr/>
            <w:r>
              <w:t xml:space="preserve">OE4 · web, seguridad y BI</w:t>
            </w:r>
          </w:p>
        </w:tc>
        <w:tc>
          <w:tcPr>
            <w:tcW w:w="1337" w:type="dxa"/>
          </w:tcPr>
          <w:p>
            <w:pPr/>
            <w:r>
              <w:t xml:space="preserve">FastAPI, Next.js, Recharts</w:t>
            </w:r>
          </w:p>
        </w:tc>
        <w:tc>
          <w:tcPr>
            <w:tcW w:w="1337" w:type="dxa"/>
          </w:tcPr>
          <w:p>
            <w:pPr/>
            <w:r>
              <w:t xml:space="preserve">Semanas 13 a 15</w:t>
            </w:r>
          </w:p>
        </w:tc>
        <w:tc>
          <w:tcPr>
            <w:tcW w:w="1337" w:type="dxa"/>
          </w:tcPr>
          <w:p>
            <w:pPr/>
            <w:r>
              <w:t xml:space="preserve">En curso</w:t>
            </w:r>
          </w:p>
        </w:tc>
        <w:tc>
          <w:tcPr>
            <w:tcW w:w="1337" w:type="dxa"/>
          </w:tcPr>
          <w:p>
            <w:pPr/>
            <w:r>
              <w:t xml:space="preserve">Se adelantó un corte mínimo: API de 9 endpoints y web de registro, seguimiento y resultados, sin autenticación, validación, emisión ni tablero. El resto sigue planificado desde la semana 13 y depende del flujo vertical mínimo</w:t>
            </w:r>
          </w:p>
        </w:tc>
        <w:tc>
          <w:tcPr>
            <w:tcW w:w="1337" w:type="dxa"/>
          </w:tcPr>
          <w:p>
            <w:pPr/>
            <w:r>
              <w:t xml:space="preserve">Construir primero el flujo vertical mínimo (ajuste propuesto)</w:t>
            </w:r>
          </w:p>
        </w:tc>
      </w:tr>
      <w:tr>
        <w:tc>
          <w:tcPr>
            <w:tcW w:w="1337" w:type="dxa"/>
          </w:tcPr>
          <w:p>
            <w:pPr/>
            <w:r>
              <w:t xml:space="preserve">3.14 App móvil</w:t>
            </w:r>
          </w:p>
        </w:tc>
        <w:tc>
          <w:tcPr>
            <w:tcW w:w="1337" w:type="dxa"/>
          </w:tcPr>
          <w:p>
            <w:pPr/>
            <w:r>
              <w:t xml:space="preserve">OE5 · móvil y calidad</w:t>
            </w:r>
          </w:p>
        </w:tc>
        <w:tc>
          <w:tcPr>
            <w:tcW w:w="1337" w:type="dxa"/>
          </w:tcPr>
          <w:p>
            <w:pPr/>
            <w:r>
              <w:t xml:space="preserve">React Native</w:t>
            </w:r>
          </w:p>
        </w:tc>
        <w:tc>
          <w:tcPr>
            <w:tcW w:w="1337" w:type="dxa"/>
          </w:tcPr>
          <w:p>
            <w:pPr/>
            <w:r>
              <w:t xml:space="preserve">Semana 14</w:t>
            </w:r>
          </w:p>
        </w:tc>
        <w:tc>
          <w:tcPr>
            <w:tcW w:w="1337" w:type="dxa"/>
          </w:tcPr>
          <w:p>
            <w:pPr/>
            <w:r>
              <w:t xml:space="preserve">No iniciado</w:t>
            </w:r>
          </w:p>
        </w:tc>
        <w:tc>
          <w:tcPr>
            <w:tcW w:w="1337" w:type="dxa"/>
          </w:tcPr>
          <w:p>
            <w:pPr/>
            <w:r>
              <w:t xml:space="preserve">Planificada en la semana 14</w:t>
            </w:r>
          </w:p>
        </w:tc>
        <w:tc>
          <w:tcPr>
            <w:tcW w:w="1337" w:type="dxa"/>
          </w:tcPr>
          <w:p>
            <w:pPr/>
            <w:r>
              <w:t xml:space="preserve">Acotada a consulta y alertas, sin notificaciones push</w:t>
            </w:r>
          </w:p>
        </w:tc>
      </w:tr>
      <w:tr>
        <w:tc>
          <w:tcPr>
            <w:tcW w:w="1337" w:type="dxa"/>
          </w:tcPr>
          <w:p>
            <w:pPr/>
            <w:r>
              <w:t xml:space="preserve">4.1 a 4.4 Pruebas e Informe Final</w:t>
            </w:r>
          </w:p>
        </w:tc>
        <w:tc>
          <w:tcPr>
            <w:tcW w:w="1337" w:type="dxa"/>
          </w:tcPr>
          <w:p>
            <w:pPr/>
            <w:r>
              <w:t xml:space="preserve">OE5 · móvil y calidad</w:t>
            </w:r>
          </w:p>
        </w:tc>
        <w:tc>
          <w:tcPr>
            <w:tcW w:w="1337" w:type="dxa"/>
          </w:tcPr>
          <w:p>
            <w:pPr/>
            <w:r>
              <w:t xml:space="preserve">pytest, Playwright, GitHub Actions</w:t>
            </w:r>
          </w:p>
        </w:tc>
        <w:tc>
          <w:tcPr>
            <w:tcW w:w="1337" w:type="dxa"/>
          </w:tcPr>
          <w:p>
            <w:pPr/>
            <w:r>
              <w:t xml:space="preserve">Semana 15</w:t>
            </w:r>
          </w:p>
        </w:tc>
        <w:tc>
          <w:tcPr>
            <w:tcW w:w="1337" w:type="dxa"/>
          </w:tcPr>
          <w:p>
            <w:pPr/>
            <w:r>
              <w:t xml:space="preserve">No iniciado</w:t>
            </w:r>
          </w:p>
        </w:tc>
        <w:tc>
          <w:tcPr>
            <w:tcW w:w="1337" w:type="dxa"/>
          </w:tcPr>
          <w:p>
            <w:pPr/>
            <w:r>
              <w:t xml:space="preserve">Ya existen 102 pruebas unitarias y de integración de los módulos construidos</w:t>
            </w:r>
          </w:p>
        </w:tc>
        <w:tc>
          <w:tcPr>
            <w:tcW w:w="1337" w:type="dxa"/>
          </w:tcPr>
          <w:p>
            <w:pPr/>
            <w:r>
              <w:t xml:space="preserve">Ninguno</w:t>
            </w:r>
          </w:p>
        </w:tc>
      </w:tr>
      <w:tr>
        <w:tc>
          <w:tcPr>
            <w:tcW w:w="1337" w:type="dxa"/>
          </w:tcPr>
          <w:p>
            <w:pPr/>
            <w:r>
              <w:t xml:space="preserve">5.1 a 5.4 Despliegue y cierre</w:t>
            </w:r>
          </w:p>
        </w:tc>
        <w:tc>
          <w:tcPr>
            <w:tcW w:w="1337" w:type="dxa"/>
          </w:tcPr>
          <w:p>
            <w:pPr/>
            <w:r>
              <w:t xml:space="preserve">Todos</w:t>
            </w:r>
          </w:p>
        </w:tc>
        <w:tc>
          <w:tcPr>
            <w:tcW w:w="1337" w:type="dxa"/>
          </w:tcPr>
          <w:p>
            <w:pPr/>
            <w:r>
              <w:t xml:space="preserve">Docker, GitHub</w:t>
            </w:r>
          </w:p>
        </w:tc>
        <w:tc>
          <w:tcPr>
            <w:tcW w:w="1337" w:type="dxa"/>
          </w:tcPr>
          <w:p>
            <w:pPr/>
            <w:r>
              <w:t xml:space="preserve">Semanas 16 a 18</w:t>
            </w:r>
          </w:p>
        </w:tc>
        <w:tc>
          <w:tcPr>
            <w:tcW w:w="1337" w:type="dxa"/>
          </w:tcPr>
          <w:p>
            <w:pPr/>
            <w:r>
              <w:t xml:space="preserve">No iniciado</w:t>
            </w:r>
          </w:p>
        </w:tc>
        <w:tc>
          <w:tcPr>
            <w:tcW w:w="1337" w:type="dxa"/>
          </w:tcPr>
          <w:p>
            <w:pPr/>
            <w:r>
              <w:t xml:space="preserve">Planificado para las semanas 16 a 18</w:t>
            </w:r>
          </w:p>
        </w:tc>
        <w:tc>
          <w:tcPr>
            <w:tcW w:w="1337" w:type="dxa"/>
          </w:tcPr>
          <w:p>
            <w:pPr/>
            <w:r>
              <w:t xml:space="preserve">Ninguno</w:t>
            </w:r>
          </w:p>
        </w:tc>
      </w:tr>
    </w:tbl>
    <w:p>
      <w:pPr>
        <w:pStyle w:val="Heading2"/>
      </w:pPr>
      <w:r>
        <w:t xml:space="preserve">3. Ajustes a partir del monitoreo</w:t>
      </w:r>
    </w:p>
    <w:p>
      <w:pPr/>
      <w:r>
        <w:t xml:space="preserve">El 29-10-2026 el docente indicó que todo lo correspondiente a la entrega 2 debe estar subido el 30-10, y el calendario se reordena en torno a esa fecha: las etapas 1 y 2 y el primer corte del OE2 se cierran con esa entrega, y el modelo, la plataforma y el móvil pasan a las semanas 13 a 15. Además se proponen ajustes de orden y de prioridad en lugar de eliminar actividades; las fechas posteriores a la entrega 2 son propuestas que dependen de la conformidad del docente.</w:t>
      </w:r>
    </w:p>
    <w:p>
      <w:pPr>
        <w:pStyle w:val="Heading3"/>
      </w:pPr>
      <w:r>
        <w:t xml:space="preserve">3.1 Factores que han facilitado y dificultado el plan</w:t>
      </w:r>
    </w:p>
    <w:p>
      <w:pPr/>
      <w:r>
        <w:rPr>
          <w:b/>
        </w:rPr>
        <w:t xml:space="preserve">Han facilitado</w:t>
      </w:r>
    </w:p>
    <w:p>
      <w:pPr>
        <w:pStyle w:val="ListParagraph"/>
        <w:numPr>
          <w:ilvl w:val="0"/>
          <w:numId w:val="4"/>
        </w:numPr>
      </w:pPr>
      <w:r>
        <w:t xml:space="preserve">La Definición de Proyecto de la Fase 1 ya fijaba alcance, roles, arquitectura y tecnologías, así que la SRS y el diseño se derivaron sin rehacer decisiones.</w:t>
      </w:r>
    </w:p>
    <w:p>
      <w:pPr>
        <w:pStyle w:val="ListParagraph"/>
        <w:numPr>
          <w:ilvl w:val="0"/>
          <w:numId w:val="4"/>
        </w:numPr>
      </w:pPr>
      <w:r>
        <w:t xml:space="preserve">Los datos son públicos y gratuitos: la tabla de INPHARED y el genoma de referencia de NCBI se descargaron sin costo ni licencias.</w:t>
      </w:r>
    </w:p>
    <w:p>
      <w:pPr>
        <w:pStyle w:val="ListParagraph"/>
        <w:numPr>
          <w:ilvl w:val="0"/>
          <w:numId w:val="4"/>
        </w:numPr>
      </w:pPr>
      <w:r>
        <w:t xml:space="preserve">Las herramientas bioinformáticas existen como paquetes: Prodigal, BLAST+, Mash y Kaptive 3.3.2 se instalaron en la imagen de Docker sin problemas.</w:t>
      </w:r>
    </w:p>
    <w:p>
      <w:pPr>
        <w:pStyle w:val="ListParagraph"/>
        <w:numPr>
          <w:ilvl w:val="0"/>
          <w:numId w:val="4"/>
        </w:numPr>
      </w:pPr>
      <w:r>
        <w:t xml:space="preserve">Una sola imagen de backend para la API y el worker, y una cola de trabajos dentro de PostgreSQL, redujeron la infraestructura a cuatro servicios.</w:t>
      </w:r>
    </w:p>
    <w:p>
      <w:pPr>
        <w:pStyle w:val="ListParagraph"/>
        <w:numPr>
          <w:ilvl w:val="0"/>
          <w:numId w:val="4"/>
        </w:numPr>
      </w:pPr>
      <w:r>
        <w:t xml:space="preserve">Escribir pruebas junto con cada módulo permitió corregir el código con seguridad, por ejemplo la validación de FASTA.</w:t>
      </w:r>
    </w:p>
    <w:p>
      <w:pPr/>
      <w:r>
        <w:rPr>
          <w:b/>
        </w:rPr>
        <w:t xml:space="preserve">Han dificultado</w:t>
      </w:r>
    </w:p>
    <w:tbl>
      <w:tblPr>
        <w:tblStyle w:val="TableGrid"/>
        <w:tblW w:w="0" w:type="auto"/>
        <w:tblLayout w:type="fixed"/>
        <w:tblLook w:val="04A0" w:firstRow="1" w:lastRow="0" w:firstColumn="0" w:lastColumn="0" w:noHBand="0" w:noVBand="1"/>
      </w:tblPr>
      <w:tblGrid>
        <w:gridCol w:w="3163"/>
        <w:gridCol w:w="2251"/>
        <w:gridCol w:w="3946"/>
      </w:tblGrid>
      <w:tr>
        <w:trPr>
          <w:tblHeader/>
        </w:trPr>
        <w:tc>
          <w:tcPr>
            <w:tcW w:w="3163" w:type="dxa"/>
            <w:shd w:val="clear" w:color="auto" w:fill="F2F2F2"/>
          </w:tcPr>
          <w:p>
            <w:pPr/>
            <w:r>
              <w:t xml:space="preserve">Dificultad</w:t>
            </w:r>
          </w:p>
        </w:tc>
        <w:tc>
          <w:tcPr>
            <w:tcW w:w="2251" w:type="dxa"/>
            <w:shd w:val="clear" w:color="auto" w:fill="F2F2F2"/>
          </w:tcPr>
          <w:p>
            <w:pPr/>
            <w:r>
              <w:t xml:space="preserve">Efecto</w:t>
            </w:r>
          </w:p>
        </w:tc>
        <w:tc>
          <w:tcPr>
            <w:tcW w:w="3946" w:type="dxa"/>
            <w:shd w:val="clear" w:color="auto" w:fill="F2F2F2"/>
          </w:tcPr>
          <w:p>
            <w:pPr/>
            <w:r>
              <w:t xml:space="preserve">Acción tomada o por tomar</w:t>
            </w:r>
          </w:p>
        </w:tc>
      </w:tr>
      <w:tr>
        <w:tc>
          <w:tcPr>
            <w:tcW w:w="3163" w:type="dxa"/>
          </w:tcPr>
          <w:p>
            <w:pPr/>
            <w:r>
              <w:t xml:space="preserve">Las etapas 1 y 2 se redactaron en la semana 12</w:t>
            </w:r>
          </w:p>
        </w:tc>
        <w:tc>
          <w:tcPr>
            <w:tcW w:w="2251" w:type="dxa"/>
          </w:tcPr>
          <w:p>
            <w:pPr/>
            <w:r>
              <w:t xml:space="preserve">El Gantt de la Fase 1 las ubicaba en las semanas 5 a 7; el modelo, que iniciaba en la semana 11, pasa a la semana 13</w:t>
            </w:r>
          </w:p>
        </w:tc>
        <w:tc>
          <w:tcPr>
            <w:tcW w:w="3946" w:type="dxa"/>
          </w:tcPr>
          <w:p>
            <w:pPr/>
            <w:r>
              <w:t xml:space="preserve">Recalendarizar en torno a la entrega 2 (A6), ajustar el orden y la prioridad de la construcción (3.2) y pedir al docente la revisión de ambos documentos</w:t>
            </w:r>
          </w:p>
        </w:tc>
      </w:tr>
      <w:tr>
        <w:tc>
          <w:tcPr>
            <w:tcW w:w="3163" w:type="dxa"/>
          </w:tcPr>
          <w:p>
            <w:pPr/>
            <w:r>
              <w:t xml:space="preserve">Alcance amplio para un solo desarrollador: 48 de 66 requisitos en prioridad Alta</w:t>
            </w:r>
          </w:p>
        </w:tc>
        <w:tc>
          <w:tcPr>
            <w:tcW w:w="2251" w:type="dxa"/>
          </w:tcPr>
          <w:p>
            <w:pPr/>
            <w:r>
              <w:t xml:space="preserve">Riesgo de no completar todo para el Informe Final de la semana 15</w:t>
            </w:r>
          </w:p>
        </w:tc>
        <w:tc>
          <w:tcPr>
            <w:tcW w:w="3946" w:type="dxa"/>
          </w:tcPr>
          <w:p>
            <w:pPr/>
            <w:r>
              <w:t xml:space="preserve">Revisar con el docente cuáles pasan a Media y construir primero el flujo vertical mínimo</w:t>
            </w:r>
          </w:p>
        </w:tc>
      </w:tr>
      <w:tr>
        <w:tc>
          <w:tcPr>
            <w:tcW w:w="3163" w:type="dxa"/>
          </w:tcPr>
          <w:p>
            <w:pPr/>
            <w:r>
              <w:t xml:space="preserve">Entorno de desarrollo: Docker, Git y Python no estaban instalados, y Docker Desktop exigió WSL2, permisos de administrador y reinicios</w:t>
            </w:r>
          </w:p>
        </w:tc>
        <w:tc>
          <w:tcPr>
            <w:tcW w:w="2251" w:type="dxa"/>
          </w:tcPr>
          <w:p>
            <w:pPr/>
            <w:r>
              <w:t xml:space="preserve">Postergó el inicio de la construcción</w:t>
            </w:r>
          </w:p>
        </w:tc>
        <w:tc>
          <w:tcPr>
            <w:tcW w:w="3946" w:type="dxa"/>
          </w:tcPr>
          <w:p>
            <w:pPr/>
            <w:r>
              <w:t xml:space="preserve">Resuelto: todo se levanta con </w:t>
            </w:r>
            <w:r>
              <w:rPr>
                <w:rStyle w:val="CodeChar"/>
              </w:rPr>
              <w:t xml:space="preserve">docker compose up --build</w:t>
            </w:r>
          </w:p>
        </w:tc>
      </w:tr>
      <w:tr>
        <w:tc>
          <w:tcPr>
            <w:tcW w:w="3163" w:type="dxa"/>
          </w:tcPr>
          <w:p>
            <w:pPr/>
            <w:r>
              <w:t xml:space="preserve">INPHARED cambió a INPHARED2 y aún no publica una tabla descargable reciente; la longitud de los fagos viene en KB redondeados</w:t>
            </w:r>
          </w:p>
        </w:tc>
        <w:tc>
          <w:tcPr>
            <w:tcW w:w="2251" w:type="dxa"/>
          </w:tcPr>
          <w:p>
            <w:pPr/>
            <w:r>
              <w:t xml:space="preserve">Metadatos de los fagos aproximados</w:t>
            </w:r>
          </w:p>
        </w:tc>
        <w:tc>
          <w:tcPr>
            <w:tcW w:w="3946" w:type="dxa"/>
          </w:tcPr>
          <w:p>
            <w:pPr/>
            <w:r>
              <w:t xml:space="preserve">Usar la tabla de abril 2026, revisar INPHARED2 y PhageScope cuando publiquen y recalcular las longitudes desde los genomas FASTA</w:t>
            </w:r>
          </w:p>
        </w:tc>
      </w:tr>
      <w:tr>
        <w:tc>
          <w:tcPr>
            <w:tcW w:w="3163" w:type="dxa"/>
          </w:tcPr>
          <w:p>
            <w:pPr/>
            <w:r>
              <w:t xml:space="preserve">Supuestos técnicos sin verificar sobre las herramientas</w:t>
            </w:r>
          </w:p>
        </w:tc>
        <w:tc>
          <w:tcPr>
            <w:tcW w:w="2251" w:type="dxa"/>
          </w:tcPr>
          <w:p>
            <w:pPr/>
            <w:r>
              <w:t xml:space="preserve">Riesgo de construir sobre una suposición equivocada</w:t>
            </w:r>
          </w:p>
        </w:tc>
        <w:tc>
          <w:tcPr>
            <w:tcW w:w="3946" w:type="dxa"/>
          </w:tcPr>
          <w:p>
            <w:pPr/>
            <w:r>
              <w:t xml:space="preserve">Kaptive y Mash se verificaron contra genomas reales; la validación de la especie fue pequeña, con 6 genomas independientes</w:t>
            </w:r>
          </w:p>
        </w:tc>
      </w:tr>
    </w:tbl>
    <w:p>
      <w:pPr>
        <w:pStyle w:val="Heading3"/>
      </w:pPr>
      <w:r>
        <w:t xml:space="preserve">3.2 Actividades ajustadas o eliminadas</w:t>
      </w:r>
    </w:p>
    <w:p>
      <w:pPr/>
      <w:r>
        <w:t xml:space="preserve">No se elimina ninguna actividad. Se registran seis ajustes; A1 a A3 son propuestas que requieren la conformidad del docente, y A6 recoge el plazo que el docente indicó el 29-10-2026.</w:t>
      </w:r>
    </w:p>
    <w:tbl>
      <w:tblPr>
        <w:tblStyle w:val="TableGrid"/>
        <w:tblW w:w="0" w:type="auto"/>
        <w:tblLayout w:type="fixed"/>
        <w:tblLook w:val="04A0" w:firstRow="1" w:lastRow="0" w:firstColumn="0" w:lastColumn="0" w:noHBand="0" w:noVBand="1"/>
      </w:tblPr>
      <w:tblGrid>
        <w:gridCol w:w="720"/>
        <w:gridCol w:w="2843"/>
        <w:gridCol w:w="4320"/>
        <w:gridCol w:w="1477"/>
      </w:tblGrid>
      <w:tr>
        <w:trPr>
          <w:tblHeader/>
        </w:trPr>
        <w:tc>
          <w:tcPr>
            <w:tcW w:w="720" w:type="dxa"/>
            <w:shd w:val="clear" w:color="auto" w:fill="F2F2F2"/>
          </w:tcPr>
          <w:p>
            <w:pPr/>
            <w:r>
              <w:t xml:space="preserve">N.º</w:t>
            </w:r>
          </w:p>
        </w:tc>
        <w:tc>
          <w:tcPr>
            <w:tcW w:w="2843" w:type="dxa"/>
            <w:shd w:val="clear" w:color="auto" w:fill="F2F2F2"/>
          </w:tcPr>
          <w:p>
            <w:pPr/>
            <w:r>
              <w:t xml:space="preserve">Ajuste</w:t>
            </w:r>
          </w:p>
        </w:tc>
        <w:tc>
          <w:tcPr>
            <w:tcW w:w="4320" w:type="dxa"/>
            <w:shd w:val="clear" w:color="auto" w:fill="F2F2F2"/>
          </w:tcPr>
          <w:p>
            <w:pPr/>
            <w:r>
              <w:t xml:space="preserve">Justificación</w:t>
            </w:r>
          </w:p>
        </w:tc>
        <w:tc>
          <w:tcPr>
            <w:tcW w:w="1477" w:type="dxa"/>
            <w:shd w:val="clear" w:color="auto" w:fill="F2F2F2"/>
          </w:tcPr>
          <w:p>
            <w:pPr/>
            <w:r>
              <w:t xml:space="preserve">Estado</w:t>
            </w:r>
          </w:p>
        </w:tc>
      </w:tr>
      <w:tr>
        <w:tc>
          <w:tcPr>
            <w:tcW w:w="720" w:type="dxa"/>
          </w:tcPr>
          <w:p>
            <w:pPr/>
            <w:r>
              <w:t xml:space="preserve">A1</w:t>
            </w:r>
          </w:p>
        </w:tc>
        <w:tc>
          <w:tcPr>
            <w:tcW w:w="2843" w:type="dxa"/>
          </w:tcPr>
          <w:p>
            <w:pPr/>
            <w:r>
              <w:t xml:space="preserve">Solicitud de cambio SC-01: precisar el RNF-16, porque la analítica corre dentro de la API y no en un contenedor propio</w:t>
            </w:r>
          </w:p>
        </w:tc>
        <w:tc>
          <w:tcPr>
            <w:tcW w:w="4320" w:type="dxa"/>
          </w:tcPr>
          <w:p>
            <w:pPr/>
            <w:r>
              <w:t xml:space="preserve">El diseño separó en contenedores propios el pipeline y la predicción, pero no la analítica</w:t>
            </w:r>
          </w:p>
        </w:tc>
        <w:tc>
          <w:tcPr>
            <w:tcW w:w="1477" w:type="dxa"/>
          </w:tcPr>
          <w:p>
            <w:pPr/>
            <w:r>
              <w:t xml:space="preserve">Propuesta</w:t>
            </w:r>
          </w:p>
        </w:tc>
      </w:tr>
      <w:tr>
        <w:tc>
          <w:tcPr>
            <w:tcW w:w="720" w:type="dxa"/>
          </w:tcPr>
          <w:p>
            <w:pPr/>
            <w:r>
              <w:t xml:space="preserve">A2</w:t>
            </w:r>
          </w:p>
        </w:tc>
        <w:tc>
          <w:tcPr>
            <w:tcW w:w="2843" w:type="dxa"/>
          </w:tcPr>
          <w:p>
            <w:pPr/>
            <w:r>
              <w:t xml:space="preserve">Construir primero un flujo vertical mínimo (registro, pipeline, predicción, validación y recomendación) y después ampliar con tablero y móvil</w:t>
            </w:r>
          </w:p>
        </w:tc>
        <w:tc>
          <w:tcPr>
            <w:tcW w:w="4320" w:type="dxa"/>
          </w:tcPr>
          <w:p>
            <w:pPr/>
            <w:r>
              <w:t xml:space="preserve">Quedan las semanas 13 a 15; es más seguro tener el ciclo completo funcionando que todos los módulos a medias</w:t>
            </w:r>
          </w:p>
        </w:tc>
        <w:tc>
          <w:tcPr>
            <w:tcW w:w="1477" w:type="dxa"/>
          </w:tcPr>
          <w:p>
            <w:pPr/>
            <w:r>
              <w:t xml:space="preserve">Propuesta; ya se aplicó en parte: registro, pipeline y resultados funcionan</w:t>
            </w:r>
          </w:p>
        </w:tc>
      </w:tr>
      <w:tr>
        <w:tc>
          <w:tcPr>
            <w:tcW w:w="720" w:type="dxa"/>
          </w:tcPr>
          <w:p>
            <w:pPr/>
            <w:r>
              <w:t xml:space="preserve">A3</w:t>
            </w:r>
          </w:p>
        </w:tc>
        <w:tc>
          <w:tcPr>
            <w:tcW w:w="2843" w:type="dxa"/>
          </w:tcPr>
          <w:p>
            <w:pPr/>
            <w:r>
              <w:t xml:space="preserve">Pasar a prioridad Media los requisitos Alta que no forman parte del flujo vertical mínimo</w:t>
            </w:r>
          </w:p>
        </w:tc>
        <w:tc>
          <w:tcPr>
            <w:tcW w:w="4320" w:type="dxa"/>
          </w:tcPr>
          <w:p>
            <w:pPr/>
            <w:r>
              <w:t xml:space="preserve">48 requisitos Alta son demasiados para un desarrollador</w:t>
            </w:r>
          </w:p>
        </w:tc>
        <w:tc>
          <w:tcPr>
            <w:tcW w:w="1477" w:type="dxa"/>
          </w:tcPr>
          <w:p>
            <w:pPr/>
            <w:r>
              <w:t xml:space="preserve">Propuesta</w:t>
            </w:r>
          </w:p>
        </w:tc>
      </w:tr>
      <w:tr>
        <w:tc>
          <w:tcPr>
            <w:tcW w:w="720" w:type="dxa"/>
          </w:tcPr>
          <w:p>
            <w:pPr/>
            <w:r>
              <w:t xml:space="preserve">A4</w:t>
            </w:r>
          </w:p>
        </w:tc>
        <w:tc>
          <w:tcPr>
            <w:tcW w:w="2843" w:type="dxa"/>
          </w:tcPr>
          <w:p>
            <w:pPr/>
            <w:r>
              <w:t xml:space="preserve">App móvil acotada a consulta y alertas, sin notificaciones push</w:t>
            </w:r>
          </w:p>
        </w:tc>
        <w:tc>
          <w:tcPr>
            <w:tcW w:w="4320" w:type="dxa"/>
          </w:tcPr>
          <w:p>
            <w:pPr/>
            <w:r>
              <w:t xml:space="preserve">Ya era el alcance de la Fase 1; en la SRS el push queda en prioridad Baja</w:t>
            </w:r>
          </w:p>
        </w:tc>
        <w:tc>
          <w:tcPr>
            <w:tcW w:w="1477" w:type="dxa"/>
          </w:tcPr>
          <w:p>
            <w:pPr/>
            <w:r>
              <w:t xml:space="preserve">Aplicado en la SRS</w:t>
            </w:r>
          </w:p>
        </w:tc>
      </w:tr>
      <w:tr>
        <w:tc>
          <w:tcPr>
            <w:tcW w:w="720" w:type="dxa"/>
          </w:tcPr>
          <w:p>
            <w:pPr/>
            <w:r>
              <w:t xml:space="preserve">A5</w:t>
            </w:r>
          </w:p>
        </w:tc>
        <w:tc>
          <w:tcPr>
            <w:tcW w:w="2843" w:type="dxa"/>
          </w:tcPr>
          <w:p>
            <w:pPr/>
            <w:r>
              <w:t xml:space="preserve">Calibrar los umbrales de calidad y ampliar la validación de la especie antes de cerrar el OE2</w:t>
            </w:r>
          </w:p>
        </w:tc>
        <w:tc>
          <w:tcPr>
            <w:tcW w:w="4320" w:type="dxa"/>
          </w:tcPr>
          <w:p>
            <w:pPr/>
            <w:r>
              <w:t xml:space="preserve">Los umbrales son valores iniciales y la especie se probó con solo 6 genomas independientes</w:t>
            </w:r>
          </w:p>
        </w:tc>
        <w:tc>
          <w:tcPr>
            <w:tcW w:w="1477" w:type="dxa"/>
          </w:tcPr>
          <w:p>
            <w:pPr/>
            <w:r>
              <w:t xml:space="preserve">Pendiente</w:t>
            </w:r>
          </w:p>
        </w:tc>
      </w:tr>
      <w:tr>
        <w:tc>
          <w:tcPr>
            <w:tcW w:w="720" w:type="dxa"/>
          </w:tcPr>
          <w:p>
            <w:pPr/>
            <w:r>
              <w:t xml:space="preserve">A6</w:t>
            </w:r>
          </w:p>
        </w:tc>
        <w:tc>
          <w:tcPr>
            <w:tcW w:w="2843" w:type="dxa"/>
          </w:tcPr>
          <w:p>
            <w:pPr/>
            <w:r>
              <w:t xml:space="preserve">Recalendarización en torno a la entrega 2 (30-10-2026, semana 12)</w:t>
            </w:r>
          </w:p>
        </w:tc>
        <w:tc>
          <w:tcPr>
            <w:tcW w:w="4320" w:type="dxa"/>
          </w:tcPr>
          <w:p>
            <w:pPr/>
            <w:r>
              <w:t xml:space="preserve">El 29-10-2026 el docente indicó que todo lo de la entrega 2 debe estar subido el 30-10. El Gantt de la Fase 1 ubicaba la etapa 1 en las semanas 5 y 6, la etapa 2 en las 6 y 7, el OE2 en las 8 a 10, el modelo en las 11 y 12, la plataforma en las 13 y 14, la app móvil en la 14, las pruebas en la 15 y el cierre en las 16 a 18. Las etapas 1 y 2 y el primer corte del OE2 se cierran en la semana 12; el modelo pasa a las semanas 13 y 14 y la plataforma completa a las 13 a 15</w:t>
            </w:r>
          </w:p>
        </w:tc>
        <w:tc>
          <w:tcPr>
            <w:tcW w:w="1477" w:type="dxa"/>
          </w:tcPr>
          <w:p>
            <w:pPr/>
            <w:r>
              <w:t xml:space="preserve">Aplicado: el plazo lo indicó el docente; la distribución posterior es propuesta</w:t>
            </w:r>
          </w:p>
        </w:tc>
      </w:tr>
    </w:tbl>
    <w:p>
      <w:pPr>
        <w:pStyle w:val="Heading3"/>
      </w:pPr>
      <w:r>
        <w:t xml:space="preserve">3.3 Actividades pendientes y reprogramadas</w:t>
      </w:r>
    </w:p>
    <w:tbl>
      <w:tblPr>
        <w:tblStyle w:val="TableGrid"/>
        <w:tblW w:w="0" w:type="auto"/>
        <w:tblLayout w:type="fixed"/>
        <w:tblLook w:val="04A0" w:firstRow="1" w:lastRow="0" w:firstColumn="0" w:lastColumn="0" w:noHBand="0" w:noVBand="1"/>
      </w:tblPr>
      <w:tblGrid>
        <w:gridCol w:w="1423"/>
        <w:gridCol w:w="2909"/>
        <w:gridCol w:w="3802"/>
        <w:gridCol w:w="1226"/>
      </w:tblGrid>
      <w:tr>
        <w:trPr>
          <w:tblHeader/>
        </w:trPr>
        <w:tc>
          <w:tcPr>
            <w:tcW w:w="1423" w:type="dxa"/>
            <w:shd w:val="clear" w:color="auto" w:fill="F2F2F2"/>
          </w:tcPr>
          <w:p>
            <w:pPr/>
            <w:r>
              <w:t xml:space="preserve">Actividad</w:t>
            </w:r>
          </w:p>
        </w:tc>
        <w:tc>
          <w:tcPr>
            <w:tcW w:w="2909" w:type="dxa"/>
            <w:shd w:val="clear" w:color="auto" w:fill="F2F2F2"/>
          </w:tcPr>
          <w:p>
            <w:pPr/>
            <w:r>
              <w:t xml:space="preserve">Motivo</w:t>
            </w:r>
          </w:p>
        </w:tc>
        <w:tc>
          <w:tcPr>
            <w:tcW w:w="3802" w:type="dxa"/>
            <w:shd w:val="clear" w:color="auto" w:fill="F2F2F2"/>
          </w:tcPr>
          <w:p>
            <w:pPr/>
            <w:r>
              <w:t xml:space="preserve">Estrategia</w:t>
            </w:r>
          </w:p>
        </w:tc>
        <w:tc>
          <w:tcPr>
            <w:tcW w:w="1226" w:type="dxa"/>
            <w:shd w:val="clear" w:color="auto" w:fill="F2F2F2"/>
          </w:tcPr>
          <w:p>
            <w:pPr/>
            <w:r>
              <w:t xml:space="preserve">Fecha objetivo propuesta</w:t>
            </w:r>
          </w:p>
        </w:tc>
      </w:tr>
      <w:tr>
        <w:tc>
          <w:tcPr>
            <w:tcW w:w="1423" w:type="dxa"/>
          </w:tcPr>
          <w:p>
            <w:pPr/>
            <w:r>
              <w:t xml:space="preserve">1.1 Repositorio público</w:t>
            </w:r>
          </w:p>
        </w:tc>
        <w:tc>
          <w:tcPr>
            <w:tcW w:w="2909" w:type="dxa"/>
          </w:tcPr>
          <w:p>
            <w:pPr/>
            <w:r>
              <w:t xml:space="preserve">El repositorio oficial debe estar en la cuenta institucional y el código aún no se ha conectado a él</w:t>
            </w:r>
          </w:p>
        </w:tc>
        <w:tc>
          <w:tcPr>
            <w:tcW w:w="3802" w:type="dxa"/>
          </w:tcPr>
          <w:p>
            <w:pPr/>
            <w:r>
              <w:t xml:space="preserve">Publicar el código en el repositorio institucional, con su README</w:t>
            </w:r>
          </w:p>
        </w:tc>
        <w:tc>
          <w:tcPr>
            <w:tcW w:w="1226" w:type="dxa"/>
          </w:tcPr>
          <w:p>
            <w:pPr/>
            <w:r>
              <w:t xml:space="preserve">Esta semana</w:t>
            </w:r>
          </w:p>
        </w:tc>
      </w:tr>
      <w:tr>
        <w:tc>
          <w:tcPr>
            <w:tcW w:w="1423" w:type="dxa"/>
          </w:tcPr>
          <w:p>
            <w:pPr/>
            <w:r>
              <w:t xml:space="preserve">Aprobación de la SRS y del diseño</w:t>
            </w:r>
          </w:p>
        </w:tc>
        <w:tc>
          <w:tcPr>
            <w:tcW w:w="2909" w:type="dxa"/>
          </w:tcPr>
          <w:p>
            <w:pPr/>
            <w:r>
              <w:t xml:space="preserve">Los documentos se redactaron en la semana 12</w:t>
            </w:r>
          </w:p>
        </w:tc>
        <w:tc>
          <w:tcPr>
            <w:tcW w:w="3802" w:type="dxa"/>
          </w:tcPr>
          <w:p>
            <w:pPr/>
            <w:r>
              <w:t xml:space="preserve">Entregarlos al docente con este informe y registrar sus observaciones como cambios</w:t>
            </w:r>
          </w:p>
        </w:tc>
        <w:tc>
          <w:tcPr>
            <w:tcW w:w="1226" w:type="dxa"/>
          </w:tcPr>
          <w:p>
            <w:pPr/>
            <w:r>
              <w:t xml:space="preserve">Con la entrega del informe</w:t>
            </w:r>
          </w:p>
        </w:tc>
      </w:tr>
      <w:tr>
        <w:tc>
          <w:tcPr>
            <w:tcW w:w="1423" w:type="dxa"/>
          </w:tcPr>
          <w:p>
            <w:pPr/>
            <w:r>
              <w:t xml:space="preserve">3.1 Otras fuentes de datos de fagos</w:t>
            </w:r>
          </w:p>
        </w:tc>
        <w:tc>
          <w:tcPr>
            <w:tcW w:w="2909" w:type="dxa"/>
          </w:tcPr>
          <w:p>
            <w:pPr/>
            <w:r>
              <w:t xml:space="preserve">Se priorizó el pipeline sobre el genoma del aislado</w:t>
            </w:r>
          </w:p>
        </w:tc>
        <w:tc>
          <w:tcPr>
            <w:tcW w:w="3802" w:type="dxa"/>
          </w:tcPr>
          <w:p>
            <w:pPr/>
            <w:r>
              <w:t xml:space="preserve">Los genomas de los 200 fagos ya se bajaron de NCBI por número de acceso; falta sumar PhageScope y </w:t>
            </w:r>
            <w:r>
              <w:rPr>
                <w:i/>
              </w:rPr>
              <w:t xml:space="preserve">Microbe Versus Phage</w:t>
            </w:r>
          </w:p>
        </w:tc>
        <w:tc>
          <w:tcPr>
            <w:tcW w:w="1226" w:type="dxa"/>
          </w:tcPr>
          <w:p>
            <w:pPr/>
            <w:r>
              <w:t xml:space="preserve">Semana 13</w:t>
            </w:r>
          </w:p>
        </w:tc>
      </w:tr>
      <w:tr>
        <w:tc>
          <w:tcPr>
            <w:tcW w:w="1423" w:type="dxa"/>
          </w:tcPr>
          <w:p>
            <w:pPr/>
            <w:r>
              <w:t xml:space="preserve">3.3 Ampliar la validación de la especie</w:t>
            </w:r>
          </w:p>
        </w:tc>
        <w:tc>
          <w:tcPr>
            <w:tcW w:w="2909" w:type="dxa"/>
          </w:tcPr>
          <w:p>
            <w:pPr/>
            <w:r>
              <w:t xml:space="preserve">La verificación ya funciona, pero se probó con pocos genomas</w:t>
            </w:r>
          </w:p>
        </w:tc>
        <w:tc>
          <w:tcPr>
            <w:tcW w:w="3802" w:type="dxa"/>
          </w:tcPr>
          <w:p>
            <w:pPr/>
            <w:r>
              <w:t xml:space="preserve">Probar el sketch de Mash con más genomas, incluidas especies del complejo sin referencia (K. africana, K. variicola subsp. tropica) y cepas de </w:t>
            </w:r>
            <w:r>
              <w:rPr>
                <w:i/>
              </w:rPr>
              <w:t xml:space="preserve">K. pneumoniae</w:t>
            </w:r>
            <w:r>
              <w:t xml:space="preserve"> de otros linajes</w:t>
            </w:r>
          </w:p>
        </w:tc>
        <w:tc>
          <w:tcPr>
            <w:tcW w:w="1226" w:type="dxa"/>
          </w:tcPr>
          <w:p>
            <w:pPr/>
            <w:r>
              <w:t xml:space="preserve">Semana 13</w:t>
            </w:r>
          </w:p>
        </w:tc>
      </w:tr>
      <w:tr>
        <w:tc>
          <w:tcPr>
            <w:tcW w:w="1423" w:type="dxa"/>
          </w:tcPr>
          <w:p>
            <w:pPr/>
            <w:r>
              <w:t xml:space="preserve">3.4 Proteínas de unión al receptor</w:t>
            </w:r>
          </w:p>
        </w:tc>
        <w:tc>
          <w:tcPr>
            <w:tcW w:w="2909" w:type="dxa"/>
          </w:tcPr>
          <w:p>
            <w:pPr/>
            <w:r>
              <w:t xml:space="preserve">Dependen de los genomas FASTA de los fagos, que ya se descargaron; falta correr la detección</w:t>
            </w:r>
          </w:p>
        </w:tc>
        <w:tc>
          <w:tcPr>
            <w:tcW w:w="3802" w:type="dxa"/>
          </w:tcPr>
          <w:p>
            <w:pPr/>
            <w:r>
              <w:t xml:space="preserve">Detección por anotación y homología con DIAMOND</w:t>
            </w:r>
          </w:p>
        </w:tc>
        <w:tc>
          <w:tcPr>
            <w:tcW w:w="1226" w:type="dxa"/>
          </w:tcPr>
          <w:p>
            <w:pPr/>
            <w:r>
              <w:t xml:space="preserve">Semana 13</w:t>
            </w:r>
          </w:p>
        </w:tc>
      </w:tr>
      <w:tr>
        <w:tc>
          <w:tcPr>
            <w:tcW w:w="1423" w:type="dxa"/>
          </w:tcPr>
          <w:p>
            <w:pPr/>
            <w:r>
              <w:t xml:space="preserve">3.7 a 3.9 Modelo de predicción</w:t>
            </w:r>
          </w:p>
        </w:tc>
        <w:tc>
          <w:tcPr>
            <w:tcW w:w="2909" w:type="dxa"/>
          </w:tcPr>
          <w:p>
            <w:pPr/>
            <w:r>
              <w:t xml:space="preserve">Las etapas 1 y 2 y la preparación del entorno ocuparon hasta la semana 12</w:t>
            </w:r>
          </w:p>
        </w:tc>
        <w:tc>
          <w:tcPr>
            <w:tcW w:w="3802" w:type="dxa"/>
          </w:tcPr>
          <w:p>
            <w:pPr/>
            <w:r>
              <w:t xml:space="preserve">Embeddings con una variante reducida de ESM-2 sobre el banco ya cargado y el conjunto de interacciones de Boeckaerts et al. (2024); XGBoost con validación cruzada</w:t>
            </w:r>
          </w:p>
        </w:tc>
        <w:tc>
          <w:tcPr>
            <w:tcW w:w="1226" w:type="dxa"/>
          </w:tcPr>
          <w:p>
            <w:pPr/>
            <w:r>
              <w:t xml:space="preserve">Semanas 13 y 14</w:t>
            </w:r>
          </w:p>
        </w:tc>
      </w:tr>
      <w:tr>
        <w:tc>
          <w:tcPr>
            <w:tcW w:w="1423" w:type="dxa"/>
          </w:tcPr>
          <w:p>
            <w:pPr/>
            <w:r>
              <w:t xml:space="preserve">3.10 a 3.13 Plataforma web</w:t>
            </w:r>
          </w:p>
        </w:tc>
        <w:tc>
          <w:tcPr>
            <w:tcW w:w="2909" w:type="dxa"/>
          </w:tcPr>
          <w:p>
            <w:pPr/>
            <w:r>
              <w:t xml:space="preserve">Se adelantó un corte mínimo (registro, seguimiento y resultados, sin autenticación); el resto depende del modelo y su inicio planificado es la semana 13</w:t>
            </w:r>
          </w:p>
        </w:tc>
        <w:tc>
          <w:tcPr>
            <w:tcW w:w="3802" w:type="dxa"/>
          </w:tcPr>
          <w:p>
            <w:pPr/>
            <w:r>
              <w:t xml:space="preserve">Completar autenticación y roles, validación y emisión de la recomendación, en paralelo con el modelo</w:t>
            </w:r>
          </w:p>
        </w:tc>
        <w:tc>
          <w:tcPr>
            <w:tcW w:w="1226" w:type="dxa"/>
          </w:tcPr>
          <w:p>
            <w:pPr/>
            <w:r>
              <w:t xml:space="preserve">Semana 15</w:t>
            </w:r>
          </w:p>
        </w:tc>
      </w:tr>
    </w:tbl>
    <w:p>
      <w:pPr/>
      <w:r>
        <w:t xml:space="preserve">Plan B propuesto: si el modelo o la plataforma completa no alcanzan, el Informe Final presenta el flujo vertical mínimo y declara de forma explícita lo que quedó sin construir.</w:t>
      </w:r>
    </w:p>
    <w:p>
      <w:pPr>
        <w:pStyle w:val="Heading2"/>
      </w:pPr>
      <w:r>
        <w:t xml:space="preserve">4. Individual conclusions</w:t>
      </w:r>
    </w:p>
    <w:p>
      <w:pPr>
        <w:pStyle w:val="ListParagraph"/>
        <w:numPr>
          <w:ilvl w:val="0"/>
          <w:numId w:val="5"/>
        </w:numPr>
      </w:pPr>
      <w:r>
        <w:rPr>
          <w:b/>
        </w:rPr>
        <w:t xml:space="preserve">The first working slice is real, but it is not the product.</w:t>
      </w:r>
      <w:r>
        <w:t xml:space="preserve"> After twelve weeks, SIRFA can take an assembled </w:t>
      </w:r>
      <w:r>
        <w:rPr>
          <w:i/>
        </w:rPr>
        <w:t xml:space="preserve">Klebsiella pneumoniae</w:t>
      </w:r>
      <w:r>
        <w:t xml:space="preserve"> genome and return its quality, species, capsule locus and genes in about twenty seconds, with every step traceable. It cannot yet say which phage to try, because the prediction model has not been started.</w:t>
      </w:r>
    </w:p>
    <w:p>
      <w:pPr>
        <w:pStyle w:val="ListParagraph"/>
        <w:numPr>
          <w:ilvl w:val="0"/>
          <w:numId w:val="5"/>
        </w:numPr>
      </w:pPr>
      <w:r>
        <w:rPr>
          <w:b/>
        </w:rPr>
        <w:t xml:space="preserve">Checking the tools against real data paid off.</w:t>
      </w:r>
      <w:r>
        <w:t xml:space="preserve"> Running the pipeline on real genomes exposed three errors that the unit tests had not caught: the Kaptive command line, the source version recorded when the phage bank is loaded twice, and a wrong validation message. All three were fixed.</w:t>
      </w:r>
    </w:p>
    <w:p>
      <w:pPr>
        <w:pStyle w:val="ListParagraph"/>
        <w:numPr>
          <w:ilvl w:val="0"/>
          <w:numId w:val="5"/>
        </w:numPr>
      </w:pPr>
      <w:r>
        <w:rPr>
          <w:b/>
        </w:rPr>
        <w:t xml:space="preserve">The data decide what can be claimed.</w:t>
      </w:r>
      <w:r>
        <w:t xml:space="preserve"> The phage bank holds 200 phages with an unknown life cycle and no known phage-strain interactions. For that reason the candidate screen does not rank phages and says so, instead of inventing an order.</w:t>
      </w:r>
    </w:p>
    <w:p>
      <w:pPr>
        <w:pStyle w:val="ListParagraph"/>
        <w:numPr>
          <w:ilvl w:val="0"/>
          <w:numId w:val="5"/>
        </w:numPr>
      </w:pPr>
      <w:r>
        <w:rPr>
          <w:b/>
        </w:rPr>
        <w:t xml:space="preserve">The limits are explicit.</w:t>
      </w:r>
      <w:r>
        <w:t xml:space="preserve"> The species check was validated with six independent genomes, which is a small, non-statistical test; the quality thresholds are initial values that still need calibration; and the system has no authentication yet.</w:t>
      </w:r>
    </w:p>
    <w:p>
      <w:pPr>
        <w:pStyle w:val="ListParagraph"/>
        <w:numPr>
          <w:ilvl w:val="0"/>
          <w:numId w:val="5"/>
        </w:numPr>
      </w:pPr>
      <w:r>
        <w:rPr>
          <w:b/>
        </w:rPr>
        <w:t xml:space="preserve">The scope is the main risk.</w:t>
      </w:r>
      <w:r>
        <w:t xml:space="preserve"> The full scope (prediction model, authentication and roles, dashboard and mobile app) is large for one developer. A minimal vertical flow (registration, pipeline, prediction, validation and recommendation) is the fallback if it does not fit.</w:t>
      </w:r>
    </w:p>
    <w:p>
      <w:pPr>
        <w:pStyle w:val="ListParagraph"/>
        <w:numPr>
          <w:ilvl w:val="0"/>
          <w:numId w:val="5"/>
        </w:numPr>
      </w:pPr>
      <w:r>
        <w:rPr>
          <w:b/>
        </w:rPr>
        <w:t xml:space="preserve">Next steps.</w:t>
      </w:r>
      <w:r>
        <w:t xml:space="preserve"> Reduced ESM-2 embeddings with XGBoost trained on published interactions, detection of receptor-binding proteins in the 200 phage genomes already downloaded, authentication with roles, and the missing data sources (PhageScope and Microbe Versus Phage).</w:t>
      </w:r>
    </w:p>
    <w:p>
      <w:pPr>
        <w:pStyle w:val="Heading2"/>
      </w:pPr>
      <w:r>
        <w:t xml:space="preserve">5. Individual reflection</w:t>
      </w:r>
    </w:p>
    <w:p>
      <w:pPr/>
      <w:r>
        <w:rPr>
          <w:b/>
        </w:rPr>
        <w:t xml:space="preserve">What worked.</w:t>
      </w:r>
      <w:r>
        <w:t xml:space="preserve"> A waterfall model suited working alone: there is no team to coordinate, and the course milestones act as stage gates. Writing tests together with each module and running everything in Docker made changes safe to make and the environment easy to rebuild.</w:t>
      </w:r>
    </w:p>
    <w:p>
      <w:pPr/>
      <w:r>
        <w:rPr>
          <w:b/>
        </w:rPr>
        <w:t xml:space="preserve">What was hard.</w:t>
      </w:r>
      <w:r>
        <w:t xml:space="preserve"> The main difficulty was the size of the scope. Setting up the development environment (Docker Desktop required WSL2, administrator rights and several restarts) took time at the start. The scope is large for one developer: 48 of the 66 functional requirements were given high priority. There were data problems too: INPHARED moved to INPHARED2, whose downloadable table is not yet available, and the phage lengths come in rounded kilobases.</w:t>
      </w:r>
    </w:p>
    <w:p>
      <w:pPr/>
      <w:r>
        <w:rPr>
          <w:b/>
        </w:rPr>
        <w:t xml:space="preserve">What I learned.</w:t>
      </w:r>
      <w:r>
        <w:t xml:space="preserve"> Most of the effort went into reliability, traceability and verification rather than into biology, which confirms what I wrote in the project definition: the central challenge of this project is software engineering. I also learned to state limits plainly, so that a small validation is reported as small, and that a minimal flow that works end to end is worth more than many half-built modules.</w:t>
      </w:r>
    </w:p>
    <w:p>
      <w:pPr/>
      <w:r>
        <w:rPr>
          <w:b/>
        </w:rPr>
        <w:t xml:space="preserve">What I would do differently.</w:t>
      </w:r>
      <w:r>
        <w:t xml:space="preserve"> I would start collecting the interaction data for the model earlier and prioritize the requirements from the beginning.</w:t>
      </w:r>
    </w:p>
    <w:p>
      <w:pPr>
        <w:pStyle w:val="Heading2"/>
      </w:pPr>
      <w:r>
        <w:t xml:space="preserve">Referencias</w:t>
      </w:r>
    </w:p>
    <w:p>
      <w:pPr/>
      <w:r>
        <w:t xml:space="preserve">Boeckaerts, D., Stock, M., Ferriol-González, C., Oteo-Iglesias, J., Sanjuán, R., Domingo-Calap, P., De Baets, B., &amp; Briers, Y. (2024). Prediction of Klebsiella phage-host specificity at the strain level. </w:t>
      </w:r>
      <w:r>
        <w:rPr>
          <w:i/>
        </w:rPr>
        <w:t xml:space="preserve">Nature Communications, 15</w:t>
      </w:r>
      <w:r>
        <w:t xml:space="preserve">, Article 4355. https://doi.org/10.1038/s41467-024-48675-6</w:t>
      </w:r>
    </w:p>
    <w:p>
      <w:pPr/>
      <w:r>
        <w:t xml:space="preserve">Cook, R., et al. (2021). INfrastructure for a PHAge REference Database: Identification of large-scale biases in the current collection of cultured phage genomes. </w:t>
      </w:r>
      <w:r>
        <w:rPr>
          <w:i/>
        </w:rPr>
        <w:t xml:space="preserve">PHAGE, 2</w:t>
      </w:r>
      <w:r>
        <w:t xml:space="preserve">(4), 214–223. https://doi.org/10.1089/phage.2021.0007</w:t>
      </w:r>
    </w:p>
    <w:p>
      <w:pPr/>
      <w:r>
        <w:t xml:space="preserve">Cook, R., et al. (2026). Bacteriophage genomics: What has five years of INPHARED taught us? </w:t>
      </w:r>
      <w:r>
        <w:rPr>
          <w:i/>
        </w:rPr>
        <w:t xml:space="preserve">bioRxiv</w:t>
      </w:r>
      <w:r>
        <w:t xml:space="preserve">. https://www.biorxiv.org/content/10.64898/2026.05.06.722914v1</w:t>
      </w:r>
    </w:p>
    <w:p>
      <w:pPr/>
      <w:r>
        <w:t xml:space="preserve">Hyatt, D., Chen, G.-L., LoCascio, P. F., Land, M. L., Larimer, F. W., &amp; Hauser, L. J. (2010). Prodigal: Prokaryotic gene recognition and translation initiation site identification. </w:t>
      </w:r>
      <w:r>
        <w:rPr>
          <w:i/>
        </w:rPr>
        <w:t xml:space="preserve">BMC Bioinformatics, 11</w:t>
      </w:r>
      <w:r>
        <w:t xml:space="preserve">, Article 119. https://doi.org/10.1186/1471-2105-11-119</w:t>
      </w:r>
    </w:p>
    <w:p>
      <w:pPr/>
      <w:r>
        <w:t xml:space="preserve">Liu, P., et al. (2012). Complete genome sequence of Klebsiella pneumoniae subsp. pneumoniae HS11286, a multidrug-resistant strain isolated from human sputum. </w:t>
      </w:r>
      <w:r>
        <w:rPr>
          <w:i/>
        </w:rPr>
        <w:t xml:space="preserve">Journal of Bacteriology, 194</w:t>
      </w:r>
      <w:r>
        <w:t xml:space="preserve">(7), 1841–1842. https://pmc.ncbi.nlm.nih.gov/articles/PMC3302456</w:t>
      </w:r>
    </w:p>
    <w:p>
      <w:pPr/>
      <w:r>
        <w:t xml:space="preserve">Ondov, B. D., Treangen, T. J., Melsted, P., Mallonee, A. B., Bergman, N. H., Koren, S., &amp; Phillippy, A. M. (2016). Mash: Fast genome and metagenome distance estimation using MinHash. </w:t>
      </w:r>
      <w:r>
        <w:rPr>
          <w:i/>
        </w:rPr>
        <w:t xml:space="preserve">Genome Biology, 17</w:t>
      </w:r>
      <w:r>
        <w:t xml:space="preserve">, Article 132. https://doi.org/10.1186/s13059-016-0997-x</w:t>
      </w:r>
    </w:p>
    <w:p>
      <w:pPr/>
      <w:r>
        <w:t xml:space="preserve">Wyres, K. L., Wick, R. R., Gorrie, C., Jenney, A., Follador, R., Thomson, N. R., &amp; Holt, K. E. (2016). Identification of Klebsiella capsule synthesis loci from whole genome data. </w:t>
      </w:r>
      <w:r>
        <w:rPr>
          <w:i/>
        </w:rPr>
        <w:t xml:space="preserve">Microbial Genomics, 2</w:t>
      </w:r>
      <w:r>
        <w:t xml:space="preserve">(12), Article e000102. https://pubmed.ncbi.nlm.nih.gov/28348840/</w:t>
      </w:r>
    </w:p>
    <w:p>
      <w:pPr>
        <w:pStyle w:val="Heading2"/>
      </w:pPr>
      <w:r>
        <w:t xml:space="preserve">Anexos</w:t>
      </w:r>
    </w:p>
    <w:p>
      <w:pPr/>
      <w:r>
        <w:t xml:space="preserve">Anexo A: Especificación de Requisitos de Software v0.2 (Adjunto A). Anexo B: Documento de Diseño v0.2 (Adjunto B). Los registros de ejecución y las pruebas están en la sección 1.5.</w:t>
      </w:r>
    </w:p>
    <w:sectPr>
      <w:footerReference w:type="default" r:id="rId90"/>
      <w:pgSz w:w="12240" w:h="15840"/>
      <w:pgMar w:top="1440" w:right="1440" w:bottom="1440" w:left="1440" w:header="720" w:footer="720" w:gutter="0"/>
      <w:titlePg/>
    </w:sectPr>
  </w:body>
</w:document>
</file>

<file path=word/footer1.xml><?xml version="1.0" encoding="utf-8"?>
<w:ftr xmlns:w="http://schemas.openxmlformats.org/wordprocessingml/2006/main" xmlns:r="http://schemas.openxmlformats.org/officeDocument/2006/relationships">
  <w:p>
    <w:pPr>
      <w:jc w:val="center"/>
    </w:pPr>
    <w:r>
      <w:t xml:space="preserve">Página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s-CL"/>
      </w:rPr>
    </w:rPrDefault>
    <w:pPrDefault>
      <w:pPr>
        <w:spacing w:after="160" w:line="240"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90" Type="http://schemas.openxmlformats.org/officeDocument/2006/relationships/footer" Target="foot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de Avance SIRFA — Fase 2</dc:title>
  <dc:description>Claude Docs node/9c852854-df8b@111 docx-w7</dc:description>
  <cp:revision>111</cp:revision>
</cp:coreProperties>
</file>