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shd w:val="clear" w:color="auto" w:fill="E2EFD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rFonts w:ascii="Segoe UI Symbol" w:hAnsi="Segoe UI Symbol"/>
                <w:b/>
              </w:rPr>
              <w:t xml:space="preserve">☒ </w:t>
            </w: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shd w:val="clear" w:color="auto" w:fill="E2EFD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Pr>
                <w:rFonts w:ascii="Segoe UI Symbol" w:hAnsi="Segoe UI Symbol"/>
                <w:b/>
              </w:rPr>
              <w:t xml:space="preserve">☒ </w:t>
            </w: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shd w:val="clear" w:color="auto" w:fill="E2EFD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rFonts w:ascii="Segoe UI Symbol" w:hAnsi="Segoe UI Symbol"/>
                <w:b/>
              </w:rPr>
              <w:t xml:space="preserve">☒ </w:t>
            </w: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shd w:val="clear" w:color="auto" w:fill="E2EFD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rFonts w:ascii="Segoe UI Symbol" w:hAnsi="Segoe UI Symbol"/>
                <w:b/>
              </w:rPr>
              <w:t xml:space="preserve">☒ </w:t>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shd w:val="clear" w:color="auto" w:fill="E2EFD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rFonts w:ascii="Segoe UI Symbol" w:hAnsi="Segoe UI Symbol"/>
                <w:b/>
              </w:rPr>
              <w:t xml:space="preserve">☒ </w:t>
            </w: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shd w:val="clear" w:color="auto" w:fill="E2EFD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rFonts w:ascii="Segoe UI Symbol" w:hAnsi="Segoe UI Symbol"/>
                <w:b/>
              </w:rPr>
              <w:t xml:space="preserve">☒ </w:t>
            </w: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shd w:val="clear" w:color="auto" w:fill="E2EFD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rFonts w:ascii="Segoe UI Symbol" w:hAnsi="Segoe UI Symbol"/>
                <w:b/>
              </w:rPr>
              <w:t xml:space="preserve">☒ </w:t>
            </w: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shd w:val="clear" w:color="auto" w:fill="E2EFD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Segoe UI Symbol" w:hAnsi="Segoe UI Symbol"/>
                <w:b/>
              </w:rPr>
              <w:t xml:space="preserve">☒ </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r>
        <w:br w:type="page"/>
      </w:r>
    </w:p>
    <w:p>
      <w:pPr>
        <w:keepNext/>
        <w:spacing w:before="240" w:after="120"/>
      </w:pPr>
      <w:r>
        <w:rPr>
          <w:b/>
          <w:sz w:val="28"/>
          <w:szCs w:val="28"/>
        </w:rPr>
        <w:t xml:space="preserve">Resultado de mi autoevaluación del Informe de Avance</w:t>
      </w:r>
    </w:p>
    <w:p>
      <w:pPr>
        <w:spacing w:after="120"/>
        <w:jc w:val="left"/>
      </w:pPr>
      <w:r>
        <w:rPr>
          <w:b/>
        </w:rPr>
        <w:t xml:space="preserve">Estudiante:</w:t>
      </w:r>
      <w:r>
        <w:t xml:space="preserve"> Johao Ramírez · </w:t>
      </w:r>
      <w:r>
        <w:rPr>
          <w:b/>
        </w:rPr>
        <w:t xml:space="preserve">Proyecto:</w:t>
      </w:r>
      <w:r>
        <w:t xml:space="preserve"> SIRFA · </w:t>
      </w:r>
      <w:r>
        <w:rPr>
          <w:b/>
        </w:rPr>
        <w:t xml:space="preserve">Documento evaluado:</w:t>
      </w:r>
      <w:r>
        <w:t xml:space="preserve"> Informe de Avance de la Fase 2, con corte al 28-10-2026 · </w:t>
      </w:r>
      <w:r>
        <w:rPr>
          <w:b/>
        </w:rPr>
        <w:t xml:space="preserve">Proyecto individual.</w:t>
      </w:r>
      <w:r>
        <w:t xml:space="preserve"> En la rúbrica de arriba marqué con ☒ el nivel que me asigno en cada indicador.</w:t>
      </w:r>
    </w:p>
    <w:tbl>
      <w:tblPr>
        <w:tblW w:w="13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2300"/>
        <w:gridCol w:w="1600"/>
        <w:gridCol w:w="6200"/>
        <w:gridCol w:w="2900"/>
      </w:tblGrid>
      <w:tr>
        <w:trPr>
          <w:cantSplit/>
          <w:tblHeader/>
        </w:trPr>
        <w:tc>
          <w:tcPr>
            <w:tcW w:w="2300" w:type="dxa"/>
            <w:shd w:val="clear" w:color="auto" w:fill="DEEAF6"/>
          </w:tcPr>
          <w:p>
            <w:pPr>
              <w:spacing w:after="40"/>
              <w:jc w:val="left"/>
            </w:pPr>
            <w:r>
              <w:rPr>
                <w:b/>
                <w:sz w:val="20"/>
                <w:szCs w:val="20"/>
              </w:rPr>
              <w:t xml:space="preserve">Indicador (ponderación)</w:t>
            </w:r>
          </w:p>
        </w:tc>
        <w:tc>
          <w:tcPr>
            <w:tcW w:w="1600" w:type="dxa"/>
            <w:shd w:val="clear" w:color="auto" w:fill="DEEAF6"/>
          </w:tcPr>
          <w:p>
            <w:pPr>
              <w:spacing w:after="40"/>
              <w:jc w:val="left"/>
            </w:pPr>
            <w:r>
              <w:rPr>
                <w:b/>
                <w:sz w:val="20"/>
                <w:szCs w:val="20"/>
              </w:rPr>
              <w:t xml:space="preserve">Nivel que me asigno</w:t>
            </w:r>
          </w:p>
        </w:tc>
        <w:tc>
          <w:tcPr>
            <w:tcW w:w="6200" w:type="dxa"/>
            <w:shd w:val="clear" w:color="auto" w:fill="DEEAF6"/>
          </w:tcPr>
          <w:p>
            <w:pPr>
              <w:spacing w:after="40"/>
              <w:jc w:val="left"/>
            </w:pPr>
            <w:r>
              <w:rPr>
                <w:b/>
                <w:sz w:val="20"/>
                <w:szCs w:val="20"/>
              </w:rPr>
              <w:t xml:space="preserve">Justificación</w:t>
            </w:r>
          </w:p>
        </w:tc>
        <w:tc>
          <w:tcPr>
            <w:tcW w:w="2900" w:type="dxa"/>
            <w:shd w:val="clear" w:color="auto" w:fill="DEEAF6"/>
          </w:tcPr>
          <w:p>
            <w:pPr>
              <w:spacing w:after="40"/>
              <w:jc w:val="left"/>
            </w:pPr>
            <w:r>
              <w:rPr>
                <w:b/>
                <w:sz w:val="20"/>
                <w:szCs w:val="20"/>
              </w:rPr>
              <w:t xml:space="preserve">Para llegar a Completamente logrado</w:t>
            </w:r>
          </w:p>
        </w:tc>
      </w:tr>
      <w:tr>
        <w:trPr>
          <w:cantSplit/>
        </w:trPr>
        <w:tc>
          <w:tcPr>
            <w:tcW w:w="2300" w:type="dxa"/>
          </w:tcPr>
          <w:p>
            <w:pPr>
              <w:spacing w:after="40"/>
              <w:jc w:val="left"/>
            </w:pPr>
            <w:r>
              <w:rPr>
                <w:b/>
                <w:sz w:val="20"/>
                <w:szCs w:val="20"/>
              </w:rPr>
              <w:t xml:space="preserve">1. Propone ajustes al Proyecto APT</w:t>
            </w:r>
          </w:p>
          <w:p>
            <w:pPr>
              <w:spacing w:after="40"/>
              <w:jc w:val="left"/>
            </w:pPr>
            <w:r>
              <w:rPr>
                <w:sz w:val="20"/>
                <w:szCs w:val="20"/>
              </w:rPr>
              <w:t xml:space="preserve">(20 %)</w:t>
            </w:r>
          </w:p>
        </w:tc>
        <w:tc>
          <w:tcPr>
            <w:tcW w:w="1600" w:type="dxa"/>
          </w:tcPr>
          <w:p>
            <w:pPr>
              <w:spacing w:after="40"/>
              <w:jc w:val="left"/>
            </w:pPr>
            <w:r>
              <w:rPr>
                <w:sz w:val="20"/>
                <w:szCs w:val="20"/>
              </w:rPr>
              <w:t xml:space="preserve">Completamente logrado (100 %)</w:t>
            </w:r>
          </w:p>
        </w:tc>
        <w:tc>
          <w:tcPr>
            <w:tcW w:w="6200" w:type="dxa"/>
          </w:tcPr>
          <w:p>
            <w:pPr>
              <w:spacing w:after="40"/>
              <w:jc w:val="left"/>
            </w:pPr>
            <w:r>
              <w:rPr>
                <w:sz w:val="20"/>
                <w:szCs w:val="20"/>
              </w:rPr>
              <w:t xml:space="preserve">La sección 3.2 del Informe registra seis ajustes (A1 a A6), cada uno con su justificación, y la sección 3.1 expone los facilitadores y las dificultades que los originan. A6 responde a la indicación del docente del 29-10 (plazo del 30-10). A1 a A3 y las fechas posteriores a la entrega 2 se declaran como propuestas.</w:t>
            </w:r>
          </w:p>
        </w:tc>
        <w:tc>
          <w:tcPr>
            <w:tcW w:w="2900" w:type="dxa"/>
          </w:tcPr>
          <w:p>
            <w:pPr>
              <w:spacing w:after="40"/>
              <w:jc w:val="left"/>
            </w:pPr>
            <w:r>
              <w:rPr>
                <w:sz w:val="20"/>
                <w:szCs w:val="20"/>
              </w:rPr>
              <w:t xml:space="preserve">Obtener la conformidad del docente para A1 a A3 y registrar su retroalimentación.</w:t>
            </w:r>
          </w:p>
        </w:tc>
      </w:tr>
      <w:tr>
        <w:trPr>
          <w:cantSplit/>
        </w:trPr>
        <w:tc>
          <w:tcPr>
            <w:tcW w:w="2300" w:type="dxa"/>
          </w:tcPr>
          <w:p>
            <w:pPr>
              <w:spacing w:after="40"/>
              <w:jc w:val="left"/>
            </w:pPr>
            <w:r>
              <w:rPr>
                <w:b/>
                <w:sz w:val="20"/>
                <w:szCs w:val="20"/>
              </w:rPr>
              <w:t xml:space="preserve">2. Aplica una metodología</w:t>
            </w:r>
          </w:p>
          <w:p>
            <w:pPr>
              <w:spacing w:after="40"/>
              <w:jc w:val="left"/>
            </w:pPr>
            <w:r>
              <w:rPr>
                <w:sz w:val="20"/>
                <w:szCs w:val="20"/>
              </w:rPr>
              <w:t xml:space="preserve">(20 %)</w:t>
            </w:r>
          </w:p>
        </w:tc>
        <w:tc>
          <w:tcPr>
            <w:tcW w:w="1600" w:type="dxa"/>
          </w:tcPr>
          <w:p>
            <w:pPr>
              <w:spacing w:after="40"/>
              <w:jc w:val="left"/>
            </w:pPr>
            <w:r>
              <w:rPr>
                <w:sz w:val="20"/>
                <w:szCs w:val="20"/>
              </w:rPr>
              <w:t xml:space="preserve">Logrado (60 %)</w:t>
            </w:r>
          </w:p>
        </w:tc>
        <w:tc>
          <w:tcPr>
            <w:tcW w:w="6200" w:type="dxa"/>
          </w:tcPr>
          <w:p>
            <w:pPr>
              <w:spacing w:after="40"/>
              <w:jc w:val="left"/>
            </w:pPr>
            <w:r>
              <w:rPr>
                <w:sz w:val="20"/>
                <w:szCs w:val="20"/>
              </w:rPr>
              <w:t xml:space="preserve">Apliqué la cascada definida en la Fase 1: etapas 1 y 2 con entregable (SRS v0.2 y Documento de Diseño v0.2), pruebas escritas junto con cada módulo y primer corte funcional del OE2 (sección 1.4). Todavía no se observa el cumplimiento completo de los objetivos del avance: las puertas de control de las etapas 1 y 2 no tienen aprobación formal, el OE2 sigue en curso (proteínas de unión al receptor y otras fuentes de datos) y el OE3 no ha iniciado.</w:t>
            </w:r>
          </w:p>
        </w:tc>
        <w:tc>
          <w:tcPr>
            <w:tcW w:w="2900" w:type="dxa"/>
          </w:tcPr>
          <w:p>
            <w:pPr>
              <w:spacing w:after="40"/>
              <w:jc w:val="left"/>
            </w:pPr>
            <w:r>
              <w:rPr>
                <w:sz w:val="20"/>
                <w:szCs w:val="20"/>
              </w:rPr>
              <w:t xml:space="preserve">Obtener la aprobación de las puertas de control, cerrar el OE2 e iniciar el modelo en la semana 13.</w:t>
            </w:r>
          </w:p>
        </w:tc>
      </w:tr>
      <w:tr>
        <w:trPr>
          <w:cantSplit/>
        </w:trPr>
        <w:tc>
          <w:tcPr>
            <w:tcW w:w="2300" w:type="dxa"/>
          </w:tcPr>
          <w:p>
            <w:pPr>
              <w:spacing w:after="40"/>
              <w:jc w:val="left"/>
            </w:pPr>
            <w:r>
              <w:rPr>
                <w:b/>
                <w:sz w:val="20"/>
                <w:szCs w:val="20"/>
              </w:rPr>
              <w:t xml:space="preserve">3. Genera evidencias de avance</w:t>
            </w:r>
          </w:p>
          <w:p>
            <w:pPr>
              <w:spacing w:after="40"/>
              <w:jc w:val="left"/>
            </w:pPr>
            <w:r>
              <w:rPr>
                <w:sz w:val="20"/>
                <w:szCs w:val="20"/>
              </w:rPr>
              <w:t xml:space="preserve">(25 %)</w:t>
            </w:r>
          </w:p>
        </w:tc>
        <w:tc>
          <w:tcPr>
            <w:tcW w:w="1600" w:type="dxa"/>
          </w:tcPr>
          <w:p>
            <w:pPr>
              <w:spacing w:after="40"/>
              <w:jc w:val="left"/>
            </w:pPr>
            <w:r>
              <w:rPr>
                <w:sz w:val="20"/>
                <w:szCs w:val="20"/>
              </w:rPr>
              <w:t xml:space="preserve">Logrado (60 %)</w:t>
            </w:r>
          </w:p>
        </w:tc>
        <w:tc>
          <w:tcPr>
            <w:tcW w:w="6200" w:type="dxa"/>
          </w:tcPr>
          <w:p>
            <w:pPr>
              <w:spacing w:after="40"/>
              <w:jc w:val="left"/>
            </w:pPr>
            <w:r>
              <w:rPr>
                <w:sz w:val="20"/>
                <w:szCs w:val="20"/>
              </w:rPr>
              <w:t xml:space="preserve">Hay cinco evidencias (E1 a E5) en los tres ámbitos de la rúbrica: documentación (SRS y Diseño), programación (pipeline, API y web, con 102 pruebas) y almacenamiento de datos (PostgreSQL con migraciones de Alembic, MongoDB y banco de 200 fagos), con registros de ejecución reales. Requieren ajustes menores: el código de la evidencia E3 aún no está publicado en un repositorio con historial de cambios, algo que el Informe declara en las secciones 2 y 3.3.</w:t>
            </w:r>
          </w:p>
        </w:tc>
        <w:tc>
          <w:tcPr>
            <w:tcW w:w="2900" w:type="dxa"/>
          </w:tcPr>
          <w:p>
            <w:pPr>
              <w:spacing w:after="40"/>
              <w:jc w:val="left"/>
            </w:pPr>
            <w:r>
              <w:rPr>
                <w:sz w:val="20"/>
                <w:szCs w:val="20"/>
              </w:rPr>
              <w:t xml:space="preserve">Publicar el código con commits regulares y poner su URL en la evidencia E3.</w:t>
            </w:r>
          </w:p>
        </w:tc>
      </w:tr>
      <w:tr>
        <w:trPr>
          <w:cantSplit/>
        </w:trPr>
        <w:tc>
          <w:tcPr>
            <w:tcW w:w="2300" w:type="dxa"/>
          </w:tcPr>
          <w:p>
            <w:pPr>
              <w:spacing w:after="40"/>
              <w:jc w:val="left"/>
            </w:pPr>
            <w:r>
              <w:rPr>
                <w:b/>
                <w:sz w:val="20"/>
                <w:szCs w:val="20"/>
              </w:rPr>
              <w:t xml:space="preserve">4. Usa lenguaje técnico preciso</w:t>
            </w:r>
          </w:p>
          <w:p>
            <w:pPr>
              <w:spacing w:after="40"/>
              <w:jc w:val="left"/>
            </w:pPr>
            <w:r>
              <w:rPr>
                <w:sz w:val="20"/>
                <w:szCs w:val="20"/>
              </w:rPr>
              <w:t xml:space="preserve">(5 %)</w:t>
            </w:r>
          </w:p>
        </w:tc>
        <w:tc>
          <w:tcPr>
            <w:tcW w:w="1600" w:type="dxa"/>
          </w:tcPr>
          <w:p>
            <w:pPr>
              <w:spacing w:after="40"/>
              <w:jc w:val="left"/>
            </w:pPr>
            <w:r>
              <w:rPr>
                <w:sz w:val="20"/>
                <w:szCs w:val="20"/>
              </w:rPr>
              <w:t xml:space="preserve">Completamente logrado (100 %)</w:t>
            </w:r>
          </w:p>
        </w:tc>
        <w:tc>
          <w:tcPr>
            <w:tcW w:w="6200" w:type="dxa"/>
          </w:tcPr>
          <w:p>
            <w:pPr>
              <w:spacing w:after="40"/>
              <w:jc w:val="left"/>
            </w:pPr>
            <w:r>
              <w:rPr>
                <w:sz w:val="20"/>
                <w:szCs w:val="20"/>
              </w:rPr>
              <w:t xml:space="preserve">El Informe, la SRS y el Documento de Diseño usan la terminología de la disciplina de forma consistente: requisitos funcionales y no funcionales, historias de usuario, modelo entidad-relación, UML, migraciones, cola de trabajos, idempotencia, N50 y locus K, entre otros.</w:t>
            </w:r>
          </w:p>
        </w:tc>
        <w:tc>
          <w:tcPr>
            <w:tcW w:w="2900" w:type="dxa"/>
          </w:tcPr>
          <w:p>
            <w:pPr>
              <w:spacing w:after="40"/>
              <w:jc w:val="left"/>
            </w:pPr>
            <w:r>
              <w:rPr>
                <w:sz w:val="20"/>
                <w:szCs w:val="20"/>
              </w:rPr>
              <w:t xml:space="preserve">—</w:t>
            </w:r>
          </w:p>
        </w:tc>
      </w:tr>
      <w:tr>
        <w:trPr>
          <w:cantSplit/>
        </w:trPr>
        <w:tc>
          <w:tcPr>
            <w:tcW w:w="2300" w:type="dxa"/>
          </w:tcPr>
          <w:p>
            <w:pPr>
              <w:spacing w:after="40"/>
              <w:jc w:val="left"/>
            </w:pPr>
            <w:r>
              <w:rPr>
                <w:b/>
                <w:sz w:val="20"/>
                <w:szCs w:val="20"/>
              </w:rPr>
              <w:t xml:space="preserve">5. Redacción, ortografía, citas y referencias</w:t>
            </w:r>
          </w:p>
          <w:p>
            <w:pPr>
              <w:spacing w:after="40"/>
              <w:jc w:val="left"/>
            </w:pPr>
            <w:r>
              <w:rPr>
                <w:sz w:val="20"/>
                <w:szCs w:val="20"/>
              </w:rPr>
              <w:t xml:space="preserve">(5 %)</w:t>
            </w:r>
          </w:p>
        </w:tc>
        <w:tc>
          <w:tcPr>
            <w:tcW w:w="1600" w:type="dxa"/>
          </w:tcPr>
          <w:p>
            <w:pPr>
              <w:spacing w:after="40"/>
              <w:jc w:val="left"/>
            </w:pPr>
            <w:r>
              <w:rPr>
                <w:sz w:val="20"/>
                <w:szCs w:val="20"/>
              </w:rPr>
              <w:t xml:space="preserve">Logrado (60 %)</w:t>
            </w:r>
          </w:p>
        </w:tc>
        <w:tc>
          <w:tcPr>
            <w:tcW w:w="6200" w:type="dxa"/>
          </w:tcPr>
          <w:p>
            <w:pPr>
              <w:spacing w:after="40"/>
              <w:jc w:val="left"/>
            </w:pPr>
            <w:r>
              <w:rPr>
                <w:sz w:val="20"/>
                <w:szCs w:val="20"/>
              </w:rPr>
              <w:t xml:space="preserve">Redacté con las reglas de ortografía y cité en el texto con formato APA (siete referencias en la sección Referencias). Falta una revisión final con el corrector de Word y una lectura completa, por lo que podrían quedar entre 1 y 5 errores.</w:t>
            </w:r>
          </w:p>
        </w:tc>
        <w:tc>
          <w:tcPr>
            <w:tcW w:w="2900" w:type="dxa"/>
          </w:tcPr>
          <w:p>
            <w:pPr>
              <w:spacing w:after="40"/>
              <w:jc w:val="left"/>
            </w:pPr>
            <w:r>
              <w:rPr>
                <w:sz w:val="20"/>
                <w:szCs w:val="20"/>
              </w:rPr>
              <w:t xml:space="preserve">Pasar el corrector ortográfico y leer el documento completo antes de entregar.</w:t>
            </w:r>
          </w:p>
        </w:tc>
      </w:tr>
      <w:tr>
        <w:trPr>
          <w:cantSplit/>
        </w:trPr>
        <w:tc>
          <w:tcPr>
            <w:tcW w:w="2300" w:type="dxa"/>
          </w:tcPr>
          <w:p>
            <w:pPr>
              <w:spacing w:after="40"/>
              <w:jc w:val="left"/>
            </w:pPr>
            <w:r>
              <w:rPr>
                <w:b/>
                <w:sz w:val="20"/>
                <w:szCs w:val="20"/>
              </w:rPr>
              <w:t xml:space="preserve">6. Formato del informe de avance</w:t>
            </w:r>
          </w:p>
          <w:p>
            <w:pPr>
              <w:spacing w:after="40"/>
              <w:jc w:val="left"/>
            </w:pPr>
            <w:r>
              <w:rPr>
                <w:sz w:val="20"/>
                <w:szCs w:val="20"/>
              </w:rPr>
              <w:t xml:space="preserve">(5 %)</w:t>
            </w:r>
          </w:p>
        </w:tc>
        <w:tc>
          <w:tcPr>
            <w:tcW w:w="1600" w:type="dxa"/>
          </w:tcPr>
          <w:p>
            <w:pPr>
              <w:spacing w:after="40"/>
              <w:jc w:val="left"/>
            </w:pPr>
            <w:r>
              <w:rPr>
                <w:sz w:val="20"/>
                <w:szCs w:val="20"/>
              </w:rPr>
              <w:t xml:space="preserve">Completamente logrado (100 %)</w:t>
            </w:r>
          </w:p>
        </w:tc>
        <w:tc>
          <w:tcPr>
            <w:tcW w:w="6200" w:type="dxa"/>
          </w:tcPr>
          <w:p>
            <w:pPr>
              <w:spacing w:after="40"/>
              <w:jc w:val="left"/>
            </w:pPr>
            <w:r>
              <w:rPr>
                <w:sz w:val="20"/>
                <w:szCs w:val="20"/>
              </w:rPr>
              <w:t xml:space="preserve">El Informe tiene el formato de informe técnico: portada, índice, abstract en inglés y resumen en español, desarrollo de ingeniería (secciones 1 a 3), conclusiones y reflexión individuales solo en inglés (secciones 4 y 5), referencias y anexos. Usa Calibri 11, interlineado 1,0 y número de página.</w:t>
            </w:r>
          </w:p>
        </w:tc>
        <w:tc>
          <w:tcPr>
            <w:tcW w:w="2900" w:type="dxa"/>
          </w:tcPr>
          <w:p>
            <w:pPr>
              <w:spacing w:after="40"/>
              <w:jc w:val="left"/>
            </w:pPr>
            <w:r>
              <w:rPr>
                <w:sz w:val="20"/>
                <w:szCs w:val="20"/>
              </w:rPr>
              <w:t xml:space="preserve">—</w:t>
            </w:r>
          </w:p>
        </w:tc>
      </w:tr>
      <w:tr>
        <w:trPr>
          <w:cantSplit/>
        </w:trPr>
        <w:tc>
          <w:tcPr>
            <w:tcW w:w="2300" w:type="dxa"/>
          </w:tcPr>
          <w:p>
            <w:pPr>
              <w:spacing w:after="40"/>
              <w:jc w:val="left"/>
            </w:pPr>
            <w:r>
              <w:rPr>
                <w:b/>
                <w:sz w:val="20"/>
                <w:szCs w:val="20"/>
              </w:rPr>
              <w:t xml:space="preserve">7. Indicadores de calidad de la disciplina</w:t>
            </w:r>
          </w:p>
          <w:p>
            <w:pPr>
              <w:spacing w:after="40"/>
              <w:jc w:val="left"/>
            </w:pPr>
            <w:r>
              <w:rPr>
                <w:sz w:val="20"/>
                <w:szCs w:val="20"/>
              </w:rPr>
              <w:t xml:space="preserve">(10 %)</w:t>
            </w:r>
          </w:p>
        </w:tc>
        <w:tc>
          <w:tcPr>
            <w:tcW w:w="1600" w:type="dxa"/>
          </w:tcPr>
          <w:p>
            <w:pPr>
              <w:spacing w:after="40"/>
              <w:jc w:val="left"/>
            </w:pPr>
            <w:r>
              <w:rPr>
                <w:sz w:val="20"/>
                <w:szCs w:val="20"/>
              </w:rPr>
              <w:t xml:space="preserve">Logrado (60 %)</w:t>
            </w:r>
          </w:p>
        </w:tc>
        <w:tc>
          <w:tcPr>
            <w:tcW w:w="6200" w:type="dxa"/>
          </w:tcPr>
          <w:p>
            <w:pPr>
              <w:spacing w:after="40"/>
              <w:jc w:val="left"/>
            </w:pPr>
            <w:r>
              <w:rPr>
                <w:sz w:val="20"/>
                <w:szCs w:val="20"/>
              </w:rPr>
              <w:t xml:space="preserve">De los 10 indicadores de calidad de la tabla de la guía, 9 están presentes en el Informe (detalle en la tabla siguiente). Falta el 4.3, implantar la solución, que corresponde a las semanas 16 a 18 del plan. Si el docente evalúa solo los indicadores propios del avance, este indicador sería Completamente logrado.</w:t>
            </w:r>
          </w:p>
        </w:tc>
        <w:tc>
          <w:tcPr>
            <w:tcW w:w="2900" w:type="dxa"/>
          </w:tcPr>
          <w:p>
            <w:pPr>
              <w:spacing w:after="40"/>
              <w:jc w:val="left"/>
            </w:pPr>
            <w:r>
              <w:rPr>
                <w:sz w:val="20"/>
                <w:szCs w:val="20"/>
              </w:rPr>
              <w:t xml:space="preserve">Ejecutar el despliegue (actividades 5.1 a 5.4) y documentarlo en el Informe Final.</w:t>
            </w:r>
          </w:p>
        </w:tc>
      </w:tr>
      <w:tr>
        <w:trPr>
          <w:cantSplit/>
        </w:trPr>
        <w:tc>
          <w:tcPr>
            <w:tcW w:w="2300" w:type="dxa"/>
          </w:tcPr>
          <w:p>
            <w:pPr>
              <w:spacing w:after="40"/>
              <w:jc w:val="left"/>
            </w:pPr>
            <w:r>
              <w:rPr>
                <w:b/>
                <w:sz w:val="20"/>
                <w:szCs w:val="20"/>
              </w:rPr>
              <w:t xml:space="preserve">8. Comunicación escrita en inglés</w:t>
            </w:r>
          </w:p>
          <w:p>
            <w:pPr>
              <w:spacing w:after="40"/>
              <w:jc w:val="left"/>
            </w:pPr>
            <w:r>
              <w:rPr>
                <w:sz w:val="20"/>
                <w:szCs w:val="20"/>
              </w:rPr>
              <w:t xml:space="preserve">(10 %)</w:t>
            </w:r>
          </w:p>
        </w:tc>
        <w:tc>
          <w:tcPr>
            <w:tcW w:w="1600" w:type="dxa"/>
          </w:tcPr>
          <w:p>
            <w:pPr>
              <w:spacing w:after="40"/>
              <w:jc w:val="left"/>
            </w:pPr>
            <w:r>
              <w:rPr>
                <w:sz w:val="20"/>
                <w:szCs w:val="20"/>
              </w:rPr>
              <w:t xml:space="preserve">Completamente logrado (100 %)</w:t>
            </w:r>
          </w:p>
        </w:tc>
        <w:tc>
          <w:tcPr>
            <w:tcW w:w="6200" w:type="dxa"/>
          </w:tcPr>
          <w:p>
            <w:pPr>
              <w:spacing w:after="40"/>
              <w:jc w:val="left"/>
            </w:pPr>
            <w:r>
              <w:rPr>
                <w:sz w:val="20"/>
                <w:szCs w:val="20"/>
              </w:rPr>
              <w:t xml:space="preserve">Redacté en inglés los tres apartados pedidos, Abstract, Individual conclusions e Individual reflection, con las ideas desarrolladas y vocabulario técnico de la disciplina, a un nivel intermedio alto.</w:t>
            </w:r>
          </w:p>
        </w:tc>
        <w:tc>
          <w:tcPr>
            <w:tcW w:w="2900" w:type="dxa"/>
          </w:tcPr>
          <w:p>
            <w:pPr>
              <w:spacing w:after="40"/>
              <w:jc w:val="left"/>
            </w:pPr>
            <w:r>
              <w:rPr>
                <w:sz w:val="20"/>
                <w:szCs w:val="20"/>
              </w:rPr>
              <w:t xml:space="preserve">—</w:t>
            </w:r>
          </w:p>
        </w:tc>
      </w:tr>
    </w:tbl>
    <w:p>
      <w:pPr>
        <w:spacing w:after="120"/>
        <w:jc w:val="left"/>
      </w:pPr>
      <w:r>
        <w:rPr>
          <w:b/>
        </w:rPr>
        <w:t xml:space="preserve">Puntaje estimado: 76 %</w:t>
      </w:r>
      <w:r>
        <w:t xml:space="preserve"> (20 + 12 + 15 + 5 + 3 + 5 + 6 + 10, sobre 100). Es una estimación de autoevaluación formativa: no tiene ponderación en la nota y no reemplaza la evaluación del docente.</w:t>
      </w:r>
    </w:p>
    <w:p>
      <w:pPr>
        <w:keepNext/>
        <w:spacing w:before="240" w:after="120"/>
      </w:pPr>
      <w:r>
        <w:rPr>
          <w:b/>
          <w:sz w:val="24"/>
          <w:szCs w:val="24"/>
        </w:rPr>
        <w:t xml:space="preserve">Indicadores de calidad de la disciplina (indicador 7)</w:t>
      </w:r>
    </w:p>
    <w:p>
      <w:pPr>
        <w:spacing w:after="120"/>
        <w:jc w:val="left"/>
      </w:pPr>
      <w:r>
        <w:t xml:space="preserve">Marqué si cada indicador de calidad del perfil de egreso está presente en el Informe de Avance.</w:t>
      </w:r>
    </w:p>
    <w:tbl>
      <w:tblPr>
        <w:tblW w:w="13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00"/>
        <w:gridCol w:w="3500"/>
        <w:gridCol w:w="1500"/>
        <w:gridCol w:w="4900"/>
      </w:tblGrid>
      <w:tr>
        <w:trPr>
          <w:cantSplit/>
          <w:tblHeader/>
        </w:trPr>
        <w:tc>
          <w:tcPr>
            <w:tcW w:w="3100" w:type="dxa"/>
            <w:shd w:val="clear" w:color="auto" w:fill="DEEAF6"/>
          </w:tcPr>
          <w:p>
            <w:pPr>
              <w:spacing w:after="40"/>
              <w:jc w:val="left"/>
            </w:pPr>
            <w:r>
              <w:rPr>
                <w:b/>
                <w:sz w:val="20"/>
                <w:szCs w:val="20"/>
              </w:rPr>
              <w:t xml:space="preserve">Competencia del perfil de egreso</w:t>
            </w:r>
          </w:p>
        </w:tc>
        <w:tc>
          <w:tcPr>
            <w:tcW w:w="3500" w:type="dxa"/>
            <w:shd w:val="clear" w:color="auto" w:fill="DEEAF6"/>
          </w:tcPr>
          <w:p>
            <w:pPr>
              <w:spacing w:after="40"/>
              <w:jc w:val="left"/>
            </w:pPr>
            <w:r>
              <w:rPr>
                <w:b/>
                <w:sz w:val="20"/>
                <w:szCs w:val="20"/>
              </w:rPr>
              <w:t xml:space="preserve">Indicador de calidad</w:t>
            </w:r>
          </w:p>
        </w:tc>
        <w:tc>
          <w:tcPr>
            <w:tcW w:w="1500" w:type="dxa"/>
            <w:shd w:val="clear" w:color="auto" w:fill="DEEAF6"/>
          </w:tcPr>
          <w:p>
            <w:pPr>
              <w:spacing w:after="40"/>
              <w:jc w:val="left"/>
            </w:pPr>
            <w:r>
              <w:rPr>
                <w:b/>
                <w:sz w:val="20"/>
                <w:szCs w:val="20"/>
              </w:rPr>
              <w:t xml:space="preserve">¿Presente?</w:t>
            </w:r>
          </w:p>
        </w:tc>
        <w:tc>
          <w:tcPr>
            <w:tcW w:w="4900" w:type="dxa"/>
            <w:shd w:val="clear" w:color="auto" w:fill="DEEAF6"/>
          </w:tcPr>
          <w:p>
            <w:pPr>
              <w:spacing w:after="40"/>
              <w:jc w:val="left"/>
            </w:pPr>
            <w:r>
              <w:rPr>
                <w:b/>
                <w:sz w:val="20"/>
                <w:szCs w:val="20"/>
              </w:rPr>
              <w:t xml:space="preserve">Dónde está en el Informe</w:t>
            </w:r>
          </w:p>
        </w:tc>
      </w:tr>
      <w:tr>
        <w:trPr>
          <w:cantSplit/>
        </w:trPr>
        <w:tc>
          <w:tcPr>
            <w:tcW w:w="3100" w:type="dxa"/>
          </w:tcPr>
          <w:p>
            <w:pPr>
              <w:spacing w:after="40"/>
              <w:jc w:val="left"/>
            </w:pPr>
            <w:r>
              <w:rPr>
                <w:sz w:val="20"/>
                <w:szCs w:val="20"/>
              </w:rPr>
              <w:t xml:space="preserve">Realizar pruebas de certificación</w:t>
            </w:r>
          </w:p>
        </w:tc>
        <w:tc>
          <w:tcPr>
            <w:tcW w:w="3500" w:type="dxa"/>
          </w:tcPr>
          <w:p>
            <w:pPr>
              <w:spacing w:after="40"/>
              <w:jc w:val="left"/>
            </w:pPr>
            <w:r>
              <w:rPr>
                <w:sz w:val="20"/>
                <w:szCs w:val="20"/>
              </w:rPr>
              <w:t xml:space="preserve">1.1 Diseña pruebas de validación</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Plan de 60 casos de prueba en el Documento de Diseño (Adjunto B), citado en la sección 1.1.</w:t>
            </w:r>
          </w:p>
        </w:tc>
      </w:tr>
      <w:tr>
        <w:trPr>
          <w:cantSplit/>
        </w:trPr>
        <w:tc>
          <w:tcPr>
            <w:tcW w:w="3100" w:type="dxa"/>
          </w:tcPr>
          <w:p>
            <w:pPr>
              <w:spacing w:after="40"/>
              <w:jc w:val="left"/>
            </w:pPr>
            <w:r>
              <w:rPr>
                <w:sz w:val="20"/>
                <w:szCs w:val="20"/>
              </w:rPr>
              <w:t xml:space="preserve">Realizar pruebas de certificación</w:t>
            </w:r>
          </w:p>
        </w:tc>
        <w:tc>
          <w:tcPr>
            <w:tcW w:w="3500" w:type="dxa"/>
          </w:tcPr>
          <w:p>
            <w:pPr>
              <w:spacing w:after="40"/>
              <w:jc w:val="left"/>
            </w:pPr>
            <w:r>
              <w:rPr>
                <w:sz w:val="20"/>
                <w:szCs w:val="20"/>
              </w:rPr>
              <w:t xml:space="preserve">1.2 Aplica pruebas de validación</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102 pruebas automatizadas que pasan dentro del contenedor y verificación con genomas reales (sección 1.5).</w:t>
            </w:r>
          </w:p>
        </w:tc>
      </w:tr>
      <w:tr>
        <w:trPr>
          <w:cantSplit/>
        </w:trPr>
        <w:tc>
          <w:tcPr>
            <w:tcW w:w="3100" w:type="dxa"/>
          </w:tcPr>
          <w:p>
            <w:pPr>
              <w:spacing w:after="40"/>
              <w:jc w:val="left"/>
            </w:pPr>
            <w:r>
              <w:rPr>
                <w:sz w:val="20"/>
                <w:szCs w:val="20"/>
              </w:rPr>
              <w:t xml:space="preserve">Realizar pruebas de certificación</w:t>
            </w:r>
          </w:p>
        </w:tc>
        <w:tc>
          <w:tcPr>
            <w:tcW w:w="3500" w:type="dxa"/>
          </w:tcPr>
          <w:p>
            <w:pPr>
              <w:spacing w:after="40"/>
              <w:jc w:val="left"/>
            </w:pPr>
            <w:r>
              <w:rPr>
                <w:sz w:val="20"/>
                <w:szCs w:val="20"/>
              </w:rPr>
              <w:t xml:space="preserve">1.3 Desarrolla mejoras en base a las pruebas</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La verificación con genomas reales expuso y corrigió tres errores (sección 1.5, «Cómo se resguardó la calidad»).</w:t>
            </w:r>
          </w:p>
        </w:tc>
      </w:tr>
      <w:tr>
        <w:trPr>
          <w:cantSplit/>
        </w:trPr>
        <w:tc>
          <w:tcPr>
            <w:tcW w:w="3100" w:type="dxa"/>
          </w:tcPr>
          <w:p>
            <w:pPr>
              <w:spacing w:after="40"/>
              <w:jc w:val="left"/>
            </w:pPr>
            <w:r>
              <w:rPr>
                <w:sz w:val="20"/>
                <w:szCs w:val="20"/>
              </w:rPr>
              <w:t xml:space="preserve">Gestionar proyectos informáticos</w:t>
            </w:r>
          </w:p>
        </w:tc>
        <w:tc>
          <w:tcPr>
            <w:tcW w:w="3500" w:type="dxa"/>
          </w:tcPr>
          <w:p>
            <w:pPr>
              <w:spacing w:after="40"/>
              <w:jc w:val="left"/>
            </w:pPr>
            <w:r>
              <w:rPr>
                <w:sz w:val="20"/>
                <w:szCs w:val="20"/>
              </w:rPr>
              <w:t xml:space="preserve">2.1 Planifica</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Plan de trabajo de 18 actividades con duración, recursos y responsable (sección 2) y metodología en cascada (1.4).</w:t>
            </w:r>
          </w:p>
        </w:tc>
      </w:tr>
      <w:tr>
        <w:trPr>
          <w:cantSplit/>
        </w:trPr>
        <w:tc>
          <w:tcPr>
            <w:tcW w:w="3100" w:type="dxa"/>
          </w:tcPr>
          <w:p>
            <w:pPr>
              <w:spacing w:after="40"/>
              <w:jc w:val="left"/>
            </w:pPr>
            <w:r>
              <w:rPr>
                <w:sz w:val="20"/>
                <w:szCs w:val="20"/>
              </w:rPr>
              <w:t xml:space="preserve">Gestionar proyectos informáticos</w:t>
            </w:r>
          </w:p>
        </w:tc>
        <w:tc>
          <w:tcPr>
            <w:tcW w:w="3500" w:type="dxa"/>
          </w:tcPr>
          <w:p>
            <w:pPr>
              <w:spacing w:after="40"/>
              <w:jc w:val="left"/>
            </w:pPr>
            <w:r>
              <w:rPr>
                <w:sz w:val="20"/>
                <w:szCs w:val="20"/>
              </w:rPr>
              <w:t xml:space="preserve">2.2 Controla</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Monitoreo con estados y ajustes (secciones 2 y 3), seis ajustes registrados y Plan B.</w:t>
            </w:r>
          </w:p>
        </w:tc>
      </w:tr>
      <w:tr>
        <w:trPr>
          <w:cantSplit/>
        </w:trPr>
        <w:tc>
          <w:tcPr>
            <w:tcW w:w="3100" w:type="dxa"/>
          </w:tcPr>
          <w:p>
            <w:pPr>
              <w:spacing w:after="40"/>
              <w:jc w:val="left"/>
            </w:pPr>
            <w:r>
              <w:rPr>
                <w:sz w:val="20"/>
                <w:szCs w:val="20"/>
              </w:rPr>
              <w:t xml:space="preserve">Construir modelos de datos</w:t>
            </w:r>
          </w:p>
        </w:tc>
        <w:tc>
          <w:tcPr>
            <w:tcW w:w="3500" w:type="dxa"/>
          </w:tcPr>
          <w:p>
            <w:pPr>
              <w:spacing w:after="40"/>
              <w:jc w:val="left"/>
            </w:pPr>
            <w:r>
              <w:rPr>
                <w:sz w:val="20"/>
                <w:szCs w:val="20"/>
              </w:rPr>
              <w:t xml:space="preserve">3.1 Diseña modelos de datos</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24 tablas relacionales y 4 colecciones documentales en el Documento de Diseño (Adjunto B).</w:t>
            </w:r>
          </w:p>
        </w:tc>
      </w:tr>
      <w:tr>
        <w:trPr>
          <w:cantSplit/>
        </w:trPr>
        <w:tc>
          <w:tcPr>
            <w:tcW w:w="3100" w:type="dxa"/>
          </w:tcPr>
          <w:p>
            <w:pPr>
              <w:spacing w:after="40"/>
              <w:jc w:val="left"/>
            </w:pPr>
            <w:r>
              <w:rPr>
                <w:sz w:val="20"/>
                <w:szCs w:val="20"/>
              </w:rPr>
              <w:t xml:space="preserve">Construir modelos de datos</w:t>
            </w:r>
          </w:p>
        </w:tc>
        <w:tc>
          <w:tcPr>
            <w:tcW w:w="3500" w:type="dxa"/>
          </w:tcPr>
          <w:p>
            <w:pPr>
              <w:spacing w:after="40"/>
              <w:jc w:val="left"/>
            </w:pPr>
            <w:r>
              <w:rPr>
                <w:sz w:val="20"/>
                <w:szCs w:val="20"/>
              </w:rPr>
              <w:t xml:space="preserve">3.2 Implementa modelos de datos</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12 tablas migradas con Alembic en PostgreSQL y salidas crudas en MongoDB (sección 2, actividad 2.2).</w:t>
            </w:r>
          </w:p>
        </w:tc>
      </w:tr>
      <w:tr>
        <w:trPr>
          <w:cantSplit/>
        </w:trPr>
        <w:tc>
          <w:tcPr>
            <w:tcW w:w="3100" w:type="dxa"/>
          </w:tcPr>
          <w:p>
            <w:pPr>
              <w:spacing w:after="40"/>
              <w:jc w:val="left"/>
            </w:pPr>
            <w:r>
              <w:rPr>
                <w:sz w:val="20"/>
                <w:szCs w:val="20"/>
              </w:rPr>
              <w:t xml:space="preserve">Desarrollar una solución de software</w:t>
            </w:r>
          </w:p>
        </w:tc>
        <w:tc>
          <w:tcPr>
            <w:tcW w:w="3500" w:type="dxa"/>
          </w:tcPr>
          <w:p>
            <w:pPr>
              <w:spacing w:after="40"/>
              <w:jc w:val="left"/>
            </w:pPr>
            <w:r>
              <w:rPr>
                <w:sz w:val="20"/>
                <w:szCs w:val="20"/>
              </w:rPr>
              <w:t xml:space="preserve">4.1 Construye una solución de software</w:t>
            </w:r>
          </w:p>
        </w:tc>
        <w:tc>
          <w:tcPr>
            <w:tcW w:w="1500" w:type="dxa"/>
          </w:tcPr>
          <w:p>
            <w:pPr>
              <w:spacing w:after="40"/>
              <w:jc w:val="left"/>
            </w:pPr>
            <w:r>
              <w:rPr>
                <w:sz w:val="20"/>
                <w:szCs w:val="20"/>
              </w:rPr>
              <w:t xml:space="preserve">Sí (corte funcional)</w:t>
            </w:r>
          </w:p>
        </w:tc>
        <w:tc>
          <w:tcPr>
            <w:tcW w:w="4900" w:type="dxa"/>
          </w:tcPr>
          <w:p>
            <w:pPr>
              <w:spacing w:after="40"/>
              <w:jc w:val="left"/>
            </w:pPr>
            <w:r>
              <w:rPr>
                <w:sz w:val="20"/>
                <w:szCs w:val="20"/>
              </w:rPr>
              <w:t xml:space="preserve">Pipeline genómico, banco de fagos, API de 9 endpoints y web mínima (secciones 1.1 y 1.5).</w:t>
            </w:r>
          </w:p>
        </w:tc>
      </w:tr>
      <w:tr>
        <w:trPr>
          <w:cantSplit/>
        </w:trPr>
        <w:tc>
          <w:tcPr>
            <w:tcW w:w="3100" w:type="dxa"/>
          </w:tcPr>
          <w:p>
            <w:pPr>
              <w:spacing w:after="40"/>
              <w:jc w:val="left"/>
            </w:pPr>
            <w:r>
              <w:rPr>
                <w:sz w:val="20"/>
                <w:szCs w:val="20"/>
              </w:rPr>
              <w:t xml:space="preserve">Desarrollar una solución de software</w:t>
            </w:r>
          </w:p>
        </w:tc>
        <w:tc>
          <w:tcPr>
            <w:tcW w:w="3500" w:type="dxa"/>
          </w:tcPr>
          <w:p>
            <w:pPr>
              <w:spacing w:after="40"/>
              <w:jc w:val="left"/>
            </w:pPr>
            <w:r>
              <w:rPr>
                <w:sz w:val="20"/>
                <w:szCs w:val="20"/>
              </w:rPr>
              <w:t xml:space="preserve">4.2 Integra los componentes</w:t>
            </w:r>
          </w:p>
        </w:tc>
        <w:tc>
          <w:tcPr>
            <w:tcW w:w="1500" w:type="dxa"/>
          </w:tcPr>
          <w:p>
            <w:pPr>
              <w:spacing w:after="40"/>
              <w:jc w:val="left"/>
            </w:pPr>
            <w:r>
              <w:rPr>
                <w:sz w:val="20"/>
                <w:szCs w:val="20"/>
              </w:rPr>
              <w:t xml:space="preserve">Sí</w:t>
            </w:r>
          </w:p>
        </w:tc>
        <w:tc>
          <w:tcPr>
            <w:tcW w:w="4900" w:type="dxa"/>
          </w:tcPr>
          <w:p>
            <w:pPr>
              <w:spacing w:after="40"/>
              <w:jc w:val="left"/>
            </w:pPr>
            <w:r>
              <w:rPr>
                <w:sz w:val="20"/>
                <w:szCs w:val="20"/>
              </w:rPr>
              <w:t xml:space="preserve">docker compose con cuatro servicios (PostgreSQL, MongoDB, API y worker) que corren de punta a punta (sección 1.5).</w:t>
            </w:r>
          </w:p>
        </w:tc>
      </w:tr>
      <w:tr>
        <w:trPr>
          <w:cantSplit/>
        </w:trPr>
        <w:tc>
          <w:tcPr>
            <w:tcW w:w="3100" w:type="dxa"/>
          </w:tcPr>
          <w:p>
            <w:pPr>
              <w:spacing w:after="40"/>
              <w:jc w:val="left"/>
            </w:pPr>
            <w:r>
              <w:rPr>
                <w:sz w:val="20"/>
                <w:szCs w:val="20"/>
              </w:rPr>
              <w:t xml:space="preserve">Desarrollar una solución de software</w:t>
            </w:r>
          </w:p>
        </w:tc>
        <w:tc>
          <w:tcPr>
            <w:tcW w:w="3500" w:type="dxa"/>
          </w:tcPr>
          <w:p>
            <w:pPr>
              <w:spacing w:after="40"/>
              <w:jc w:val="left"/>
            </w:pPr>
            <w:r>
              <w:rPr>
                <w:sz w:val="20"/>
                <w:szCs w:val="20"/>
              </w:rPr>
              <w:t xml:space="preserve">4.3 Implanta la solución</w:t>
            </w:r>
          </w:p>
        </w:tc>
        <w:tc>
          <w:tcPr>
            <w:tcW w:w="1500" w:type="dxa"/>
          </w:tcPr>
          <w:p>
            <w:pPr>
              <w:spacing w:after="40"/>
              <w:jc w:val="left"/>
            </w:pPr>
            <w:r>
              <w:rPr>
                <w:sz w:val="20"/>
                <w:szCs w:val="20"/>
              </w:rPr>
              <w:t xml:space="preserve">Aún no</w:t>
            </w:r>
          </w:p>
        </w:tc>
        <w:tc>
          <w:tcPr>
            <w:tcW w:w="4900" w:type="dxa"/>
          </w:tcPr>
          <w:p>
            <w:pPr>
              <w:spacing w:after="40"/>
              <w:jc w:val="left"/>
            </w:pPr>
            <w:r>
              <w:rPr>
                <w:sz w:val="20"/>
                <w:szCs w:val="20"/>
              </w:rPr>
              <w:t xml:space="preserve">El despliegue y cierre están planificados para las semanas 16 a 18 (actividades 5.1 a 5.4).</w:t>
            </w:r>
          </w:p>
        </w:tc>
      </w:tr>
    </w:tbl>
    <w:p>
      <w:pPr>
        <w:spacing w:after="60"/>
        <w:jc w:val="left"/>
      </w:pPr>
      <w:r>
        <w:t xml:space="preserve">Resultado: 9 de 10 indicadores presentes (90 %). El 4.3 queda para el despliegue de las semanas 16 a 18.</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