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Calibri" w:hAnsi="Calibri"/>
          <w:b/>
          <w:color w:val="0B4F5C"/>
          <w:sz w:val="40"/>
        </w:rPr>
        <w:t>Carta Gantt — SIRFA</w:t>
      </w:r>
    </w:p>
    <w:p>
      <w:pPr>
        <w:spacing w:after="20" w:before="0"/>
      </w:pPr>
      <w:r>
        <w:rPr>
          <w:rFonts w:ascii="Calibri" w:hAnsi="Calibri"/>
          <w:b w:val="0"/>
          <w:i w:val="0"/>
          <w:color w:val="028090"/>
          <w:sz w:val="22"/>
        </w:rPr>
        <w:t>Sistema de Recomendación de Fagos frente a Antibiorresistencia  ·  Roadmap en cascada  ·  18 semanas, del 10 de agosto al 12 de diciembre de 2026</w:t>
      </w:r>
    </w:p>
    <w:p>
      <w:pPr>
        <w:spacing w:after="20" w:before="0"/>
      </w:pPr>
      <w:r>
        <w:rPr>
          <w:rFonts w:ascii="Calibri" w:hAnsi="Calibri"/>
          <w:b w:val="0"/>
          <w:i w:val="0"/>
          <w:color w:val="595959"/>
          <w:sz w:val="18"/>
        </w:rPr>
        <w:t>Johao Ramírez  ·  Capstone PTY4614 / APT122  ·  Duoc UC, sede San Joaquín</w:t>
      </w:r>
    </w:p>
    <w:p>
      <w:pPr>
        <w:spacing w:before="80" w:after="60"/>
      </w:pPr>
      <w:r>
        <w:rPr>
          <w:color w:val="028090"/>
          <w:sz w:val="18"/>
        </w:rPr>
        <w:t>■</w:t>
      </w:r>
      <w:r>
        <w:rPr>
          <w:rFonts w:ascii="Calibri" w:hAnsi="Calibri"/>
          <w:color w:val="404040"/>
          <w:sz w:val="16"/>
        </w:rPr>
        <w:t xml:space="preserve"> Desarrollo      </w:t>
      </w:r>
      <w:r>
        <w:rPr>
          <w:color w:val="E9A23B"/>
          <w:sz w:val="18"/>
        </w:rPr>
        <w:t>◆</w:t>
      </w:r>
      <w:r>
        <w:rPr>
          <w:rFonts w:ascii="Calibri" w:hAnsi="Calibri"/>
          <w:color w:val="404040"/>
          <w:sz w:val="16"/>
        </w:rPr>
        <w:t xml:space="preserve"> Puerta de control (entregable aprobado antes de pasar a la etapa siguiente)      </w:t>
      </w:r>
      <w:r>
        <w:rPr>
          <w:color w:val="02C39A"/>
          <w:sz w:val="18"/>
        </w:rPr>
        <w:t>◆</w:t>
      </w:r>
      <w:r>
        <w:rPr>
          <w:rFonts w:ascii="Calibri" w:hAnsi="Calibri"/>
          <w:color w:val="404040"/>
          <w:sz w:val="16"/>
        </w:rPr>
        <w:t xml:space="preserve"> Evaluación sumativa del curso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144"/>
        <w:gridCol w:w="907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  <w:gridCol w:w="374"/>
      </w:tblGrid>
      <w:tr>
        <w:trPr>
          <w:trHeight w:val="238" w:hRule="exact"/>
          <w:tblHeader/>
        </w:trPr>
        <w:tc>
          <w:tcPr>
            <w:tcW w:type="dxa" w:w="7143"/>
            <w:vMerge w:val="restart"/>
            <w:vAlign w:val="center"/>
            <w:shd w:val="clear" w:color="auto" w:fill="0B4F5C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Actividad</w:t>
            </w:r>
          </w:p>
        </w:tc>
        <w:tc>
          <w:tcPr>
            <w:tcW w:type="dxa" w:w="907"/>
            <w:vMerge w:val="restart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OE</w:t>
            </w:r>
          </w:p>
        </w:tc>
        <w:tc>
          <w:tcPr>
            <w:tcW w:type="dxa" w:w="1496"/>
            <w:gridSpan w:val="4"/>
            <w:vAlign w:val="center"/>
            <w:shd w:val="clear" w:color="auto" w:fill="D3E8DD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B4F5C"/>
                <w:sz w:val="16"/>
              </w:rPr>
              <w:t>Fase 1</w:t>
            </w:r>
          </w:p>
        </w:tc>
        <w:tc>
          <w:tcPr>
            <w:tcW w:type="dxa" w:w="4488"/>
            <w:gridSpan w:val="12"/>
            <w:vAlign w:val="center"/>
            <w:shd w:val="clear" w:color="auto" w:fill="DCE7EA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B4F5C"/>
                <w:sz w:val="16"/>
              </w:rPr>
              <w:t>Fase 2</w:t>
            </w:r>
          </w:p>
        </w:tc>
        <w:tc>
          <w:tcPr>
            <w:tcW w:type="dxa" w:w="748"/>
            <w:gridSpan w:val="2"/>
            <w:vAlign w:val="center"/>
            <w:shd w:val="clear" w:color="auto" w:fill="FBE3D6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B4F5C"/>
                <w:sz w:val="16"/>
              </w:rPr>
              <w:t>Fase 3</w:t>
            </w:r>
          </w:p>
        </w:tc>
      </w:tr>
      <w:tr>
        <w:trPr>
          <w:trHeight w:val="238" w:hRule="exact"/>
          <w:tblHeader/>
        </w:trPr>
        <w:tc>
          <w:tcPr>
            <w:tcW w:type="dxa" w:w="7143"/>
            <w:vMerge/>
          </w:tcPr>
          <w:p/>
        </w:tc>
        <w:tc>
          <w:tcPr>
            <w:tcW w:type="dxa" w:w="907"/>
            <w:vMerge/>
          </w:tcPr>
          <w:p/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2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3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4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5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6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7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8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9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10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11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12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13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14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15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16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17</w:t>
            </w:r>
          </w:p>
        </w:tc>
        <w:tc>
          <w:tcPr>
            <w:tcW w:type="dxa" w:w="374"/>
            <w:vAlign w:val="center"/>
            <w:shd w:val="clear" w:color="auto" w:fill="0B4F5C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18</w:t>
            </w:r>
          </w:p>
        </w:tc>
      </w:tr>
      <w:tr>
        <w:trPr>
          <w:trHeight w:val="226" w:hRule="exact"/>
          <w:cantSplit/>
        </w:trPr>
        <w:tc>
          <w:tcPr>
            <w:tcW w:type="dxa" w:w="14782"/>
            <w:gridSpan w:val="20"/>
            <w:vAlign w:val="center"/>
            <w:shd w:val="clear" w:color="auto" w:fill="E4EEF0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6"/>
              </w:rPr>
              <w:t>Definición del proyecto (Fase 1 del curso)</w:t>
            </w:r>
          </w:p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0.1   Marco teórico, fuentes de datos y definición del alcance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—</w:t>
            </w:r>
          </w:p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5"/>
              </w:rPr>
              <w:t>0.2   Presentación de Fase 1 — Definición de Proyecto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—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C39A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◆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14782"/>
            <w:gridSpan w:val="20"/>
            <w:vAlign w:val="center"/>
            <w:shd w:val="clear" w:color="auto" w:fill="E4EEF0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6"/>
              </w:rPr>
              <w:t>Etapa 1 · Análisis y especificación de requisitos   ·   OE1</w:t>
            </w:r>
          </w:p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1.1   Repositorio público, estructura del proyecto y entorno Docker base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OE1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1.2   Levantamiento de requisitos y definición de roles y permisos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OE1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5"/>
              </w:rPr>
              <w:t>1.3   Especificación de Requisitos (SRS): RF, RNF e historias por rol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OE1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F3C987"/>
          </w:tcPr>
          <w:p/>
        </w:tc>
        <w:tc>
          <w:tcPr>
            <w:tcW w:type="dxa" w:w="374"/>
            <w:shd w:val="clear" w:color="auto" w:fill="E9A23B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◆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14782"/>
            <w:gridSpan w:val="20"/>
            <w:vAlign w:val="center"/>
            <w:shd w:val="clear" w:color="auto" w:fill="E4EEF0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6"/>
              </w:rPr>
              <w:t>Etapa 2 · Diseño   ·   OE1</w:t>
            </w:r>
          </w:p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2.1   Arquitectura y diagrama de componentes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OE1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2.2   Modelo de datos: ER de PostgreSQL y esquema documental de MongoDB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OE1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2.3   Diagramas UML: casos de uso, clases y secuencia del flujo principal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OE1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5"/>
              </w:rPr>
              <w:t>2.4   Documento de Diseño y plan de pruebas — línea base de diseño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OE1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E9A23B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◆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14782"/>
            <w:gridSpan w:val="20"/>
            <w:vAlign w:val="center"/>
            <w:shd w:val="clear" w:color="auto" w:fill="E4EEF0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6"/>
              </w:rPr>
              <w:t>Etapa 3 · Construcción   ·   OE2 – OE5</w:t>
            </w:r>
          </w:p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3.1   Descarga y normalización de genomas de fagos (INPHARED, PhageScope)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OE2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3.2   Ingesta de aislados: validación de formato y control de calidad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OE2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3.3   Identificación de especie y tipificación del locus K (Kaptive)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OE2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3.4   Predicción de genes (Prodigal) y proteínas de unión al receptor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OE2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3.5   Carga del banco curado en las bases de datos y empaquetado en Docker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OE2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5"/>
              </w:rPr>
              <w:t>3.6   Integración del pipeline e Informe de Avance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OE2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C39A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◆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3.7   Representaciones vectoriales ESM-2 de proteínas de fagos y hospedadores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OE3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3.8   Entrenamiento del clasificador XGBoost con validación cruzada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OE3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5"/>
              </w:rPr>
              <w:t>3.9   Evaluación (top-5, AUC) y explicabilidad SHAP del modelo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OE3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E9A23B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◆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3.10   API: autenticación JWT, control de acceso por rol y máquina de estados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OE4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3.11   Registro de auditoría inmutable e integración del modelo en la API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OE4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3.12   Interfaz web por rol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OE4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3.13   Tablero de cobertura, brechas terapéuticas y tendencias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OE4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5"/>
              </w:rPr>
              <w:t>3.14   Aplicación móvil: consulta de solicitudes y alertas — cierre de construcción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OE5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E9A23B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◆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14782"/>
            <w:gridSpan w:val="20"/>
            <w:vAlign w:val="center"/>
            <w:shd w:val="clear" w:color="auto" w:fill="E4EEF0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6"/>
              </w:rPr>
              <w:t>Etapa 4 · Pruebas y verificación   ·   OE5</w:t>
            </w:r>
          </w:p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4.1   Pruebas unitarias y de integración (ingesta → predicción → recomendación)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OE5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4.2   Pruebas de extremo a extremo y de rendimiento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OE5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4.3   Pruebas de seguridad: control de acceso por rol y completitud de la auditoría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OE5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5"/>
              </w:rPr>
              <w:t>4.4   Plan de Pruebas con evidencias e Informe Final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OE5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C39A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◆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14782"/>
            <w:gridSpan w:val="20"/>
            <w:vAlign w:val="center"/>
            <w:shd w:val="clear" w:color="auto" w:fill="E4EEF0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6"/>
              </w:rPr>
              <w:t>Etapa 5 · Despliegue y cierre   ·   OE5 · Todos</w:t>
            </w:r>
          </w:p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5.1   Corrección de defectos y retroalimentación del Informe Final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OE5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5"/>
              </w:rPr>
              <w:t>5.2   Manual técnico y de despliegue; README final del repositorio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OE5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E9A23B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◆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5"/>
              </w:rPr>
              <w:t>5.3   Preparación de la presentación y la demostración (incluye parte en inglés)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Todos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028090"/>
          </w:tcPr>
          <w:p/>
        </w:tc>
        <w:tc>
          <w:tcPr>
            <w:tcW w:type="dxa" w:w="374"/>
          </w:tcPr>
          <w:p/>
        </w:tc>
      </w:tr>
      <w:tr>
        <w:trPr>
          <w:trHeight w:val="226" w:hRule="exact"/>
          <w:cantSplit/>
        </w:trPr>
        <w:tc>
          <w:tcPr>
            <w:tcW w:type="dxa" w:w="7143"/>
            <w:vAlign w:val="center"/>
            <w:tcMar>
              <w:top w:w="0" w:type="dxa"/>
              <w:left w:w="90" w:type="dxa"/>
              <w:bottom w:w="0" w:type="dxa"/>
              <w:right w:w="4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5"/>
              </w:rPr>
              <w:t>5.4   Presentación final ante comisión</w:t>
            </w:r>
          </w:p>
        </w:tc>
        <w:tc>
          <w:tcPr>
            <w:tcW w:type="dxa" w:w="907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28090"/>
                <w:sz w:val="15"/>
              </w:rPr>
              <w:t>Todos</w:t>
            </w:r>
          </w:p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</w:tcPr>
          <w:p/>
        </w:tc>
        <w:tc>
          <w:tcPr>
            <w:tcW w:type="dxa" w:w="374"/>
            <w:shd w:val="clear" w:color="auto" w:fill="7FDFC7"/>
          </w:tcPr>
          <w:p/>
        </w:tc>
        <w:tc>
          <w:tcPr>
            <w:tcW w:type="dxa" w:w="374"/>
            <w:shd w:val="clear" w:color="auto" w:fill="02C39A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◆</w:t>
            </w:r>
          </w:p>
        </w:tc>
      </w:tr>
    </w:tbl>
    <w:p>
      <w:pPr>
        <w:pageBreakBefore/>
        <w:spacing w:after="80"/>
      </w:pPr>
      <w:r>
        <w:rPr>
          <w:rFonts w:ascii="Calibri" w:hAnsi="Calibri"/>
          <w:b/>
          <w:color w:val="0B4F5C"/>
          <w:sz w:val="28"/>
        </w:rPr>
        <w:t>Hitos y puertas de control</w:t>
      </w:r>
    </w:p>
    <w:p>
      <w:pPr>
        <w:spacing w:after="120"/>
      </w:pPr>
      <w:r>
        <w:rPr>
          <w:rFonts w:ascii="Calibri" w:hAnsi="Calibri"/>
          <w:color w:val="404040"/>
          <w:sz w:val="19"/>
        </w:rPr>
        <w:t>El proyecto se ejecuta bajo el modelo tradicional en cascada: cada etapa termina en una puerta de control con un entregable aprobado antes de iniciar la siguiente. Las evaluaciones sumativas del curso coinciden con el cierre de etapas.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63"/>
        <w:gridCol w:w="1871"/>
        <w:gridCol w:w="3742"/>
        <w:gridCol w:w="6577"/>
        <w:gridCol w:w="1927"/>
      </w:tblGrid>
      <w:tr>
        <w:trPr>
          <w:tblHeader/>
        </w:trPr>
        <w:tc>
          <w:tcPr>
            <w:tcW w:type="dxa" w:w="964"/>
            <w:vAlign w:val="center"/>
            <w:shd w:val="clear" w:color="auto" w:fill="0B4F5C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Semana</w:t>
            </w:r>
          </w:p>
        </w:tc>
        <w:tc>
          <w:tcPr>
            <w:tcW w:type="dxa" w:w="1871"/>
            <w:vAlign w:val="center"/>
            <w:shd w:val="clear" w:color="auto" w:fill="0B4F5C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Fechas</w:t>
            </w:r>
          </w:p>
        </w:tc>
        <w:tc>
          <w:tcPr>
            <w:tcW w:type="dxa" w:w="3742"/>
            <w:vAlign w:val="center"/>
            <w:shd w:val="clear" w:color="auto" w:fill="0B4F5C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Hito</w:t>
            </w:r>
          </w:p>
        </w:tc>
        <w:tc>
          <w:tcPr>
            <w:tcW w:type="dxa" w:w="6576"/>
            <w:vAlign w:val="center"/>
            <w:shd w:val="clear" w:color="auto" w:fill="0B4F5C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Criterio de cumplimiento</w:t>
            </w:r>
          </w:p>
        </w:tc>
        <w:tc>
          <w:tcPr>
            <w:tcW w:type="dxa" w:w="1928"/>
            <w:vAlign w:val="center"/>
            <w:shd w:val="clear" w:color="auto" w:fill="0B4F5C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1871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31 ago – 5 sep</w:t>
            </w:r>
          </w:p>
        </w:tc>
        <w:tc>
          <w:tcPr>
            <w:tcW w:type="dxa" w:w="3742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Definición de Proyecto (Fase 1)</w:t>
            </w:r>
          </w:p>
        </w:tc>
        <w:tc>
          <w:tcPr>
            <w:tcW w:type="dxa" w:w="6576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Definición, alcance, metodología y cronograma aprobados; presentación de Fase 1</w:t>
            </w:r>
          </w:p>
        </w:tc>
        <w:tc>
          <w:tcPr>
            <w:tcW w:type="dxa" w:w="192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D8F5EC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Sumativa · 20 %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871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14–19 sep</w:t>
            </w:r>
          </w:p>
        </w:tc>
        <w:tc>
          <w:tcPr>
            <w:tcW w:type="dxa" w:w="3742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SRS aprobada</w:t>
            </w:r>
          </w:p>
        </w:tc>
        <w:tc>
          <w:tcPr>
            <w:tcW w:type="dxa" w:w="6576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Requisitos funcionales, no funcionales e historias por rol completos; los cambios posteriores pasan por control de cambios</w:t>
            </w:r>
          </w:p>
        </w:tc>
        <w:tc>
          <w:tcPr>
            <w:tcW w:type="dxa" w:w="192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CEBCB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Puerta de control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tcW w:type="dxa" w:w="1871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21–26 sep</w:t>
            </w:r>
          </w:p>
        </w:tc>
        <w:tc>
          <w:tcPr>
            <w:tcW w:type="dxa" w:w="3742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Línea base de diseño</w:t>
            </w:r>
          </w:p>
        </w:tc>
        <w:tc>
          <w:tcPr>
            <w:tcW w:type="dxa" w:w="6576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Arquitectura, modelo ER, esquema documental, UML y plan de pruebas definidos y congelados antes de construir</w:t>
            </w:r>
          </w:p>
        </w:tc>
        <w:tc>
          <w:tcPr>
            <w:tcW w:type="dxa" w:w="192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CEBCB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Puerta de control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tcW w:type="dxa" w:w="1871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12–17 oct</w:t>
            </w:r>
          </w:p>
        </w:tc>
        <w:tc>
          <w:tcPr>
            <w:tcW w:type="dxa" w:w="3742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Informe de Avance (Fase 2)</w:t>
            </w:r>
          </w:p>
        </w:tc>
        <w:tc>
          <w:tcPr>
            <w:tcW w:type="dxa" w:w="6576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SRS y Documento de Diseño; pipeline funcionando y banco de fagos poblado</w:t>
            </w:r>
          </w:p>
        </w:tc>
        <w:tc>
          <w:tcPr>
            <w:tcW w:type="dxa" w:w="192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D8F5EC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Sumativa · 20 %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tcW w:type="dxa" w:w="1871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26–31 oct</w:t>
            </w:r>
          </w:p>
        </w:tc>
        <w:tc>
          <w:tcPr>
            <w:tcW w:type="dxa" w:w="3742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Modelo evaluado</w:t>
            </w:r>
          </w:p>
        </w:tc>
        <w:tc>
          <w:tcPr>
            <w:tcW w:type="dxa" w:w="6576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Métricas de desempeño y explicabilidad comparadas con la literatura</w:t>
            </w:r>
          </w:p>
        </w:tc>
        <w:tc>
          <w:tcPr>
            <w:tcW w:type="dxa" w:w="192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CEBCB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Puerta de control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tcW w:type="dxa" w:w="1871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9–14 nov</w:t>
            </w:r>
          </w:p>
        </w:tc>
        <w:tc>
          <w:tcPr>
            <w:tcW w:type="dxa" w:w="3742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Construcción cerrada</w:t>
            </w:r>
          </w:p>
        </w:tc>
        <w:tc>
          <w:tcPr>
            <w:tcW w:type="dxa" w:w="6576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Plataforma web y aplicación móvil integradas y ejecutándose en Docker</w:t>
            </w:r>
          </w:p>
        </w:tc>
        <w:tc>
          <w:tcPr>
            <w:tcW w:type="dxa" w:w="192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CEBCB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Puerta de control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871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16–21 nov</w:t>
            </w:r>
          </w:p>
        </w:tc>
        <w:tc>
          <w:tcPr>
            <w:tcW w:type="dxa" w:w="3742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Informe Final (Fase 2)</w:t>
            </w:r>
          </w:p>
        </w:tc>
        <w:tc>
          <w:tcPr>
            <w:tcW w:type="dxa" w:w="6576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Plan de Pruebas ejecutado con evidencias; sección de innovación</w:t>
            </w:r>
          </w:p>
        </w:tc>
        <w:tc>
          <w:tcPr>
            <w:tcW w:type="dxa" w:w="192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D8F5EC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Sumativa · 30 %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tcW w:type="dxa" w:w="1871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23–28 nov</w:t>
            </w:r>
          </w:p>
        </w:tc>
        <w:tc>
          <w:tcPr>
            <w:tcW w:type="dxa" w:w="3742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Sistema desplegable y documentado</w:t>
            </w:r>
          </w:p>
        </w:tc>
        <w:tc>
          <w:tcPr>
            <w:tcW w:type="dxa" w:w="6576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Manual técnico y de despliegue y README final; defectos críticos resueltos</w:t>
            </w:r>
          </w:p>
        </w:tc>
        <w:tc>
          <w:tcPr>
            <w:tcW w:type="dxa" w:w="192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FCEBCB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Puerta de control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17–18</w:t>
            </w:r>
          </w:p>
        </w:tc>
        <w:tc>
          <w:tcPr>
            <w:tcW w:type="dxa" w:w="1871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30 nov – 12 dic</w:t>
            </w:r>
          </w:p>
        </w:tc>
        <w:tc>
          <w:tcPr>
            <w:tcW w:type="dxa" w:w="3742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Presentación ante comisión (Fase 3)</w:t>
            </w:r>
          </w:p>
        </w:tc>
        <w:tc>
          <w:tcPr>
            <w:tcW w:type="dxa" w:w="6576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Presentación final y demostración del sistema</w:t>
            </w:r>
          </w:p>
        </w:tc>
        <w:tc>
          <w:tcPr>
            <w:tcW w:type="dxa" w:w="192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D8F5EC"/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Sumativa · 30 %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B4F5C"/>
          <w:sz w:val="24"/>
        </w:rPr>
        <w:t>Entregable de cada etapa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9865"/>
        <w:gridCol w:w="2268"/>
      </w:tblGrid>
      <w:tr>
        <w:tc>
          <w:tcPr>
            <w:tcW w:type="dxa" w:w="2948"/>
            <w:vAlign w:val="center"/>
            <w:shd w:val="clear" w:color="auto" w:fill="0B4F5C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Etapa</w:t>
            </w:r>
          </w:p>
        </w:tc>
        <w:tc>
          <w:tcPr>
            <w:tcW w:type="dxa" w:w="9865"/>
            <w:vAlign w:val="center"/>
            <w:shd w:val="clear" w:color="auto" w:fill="0B4F5C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Entregable</w:t>
            </w:r>
          </w:p>
        </w:tc>
        <w:tc>
          <w:tcPr>
            <w:tcW w:type="dxa" w:w="2268"/>
            <w:vAlign w:val="center"/>
            <w:shd w:val="clear" w:color="auto" w:fill="0B4F5C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Duración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Etapa 1 · Análisis</w:t>
            </w:r>
          </w:p>
        </w:tc>
        <w:tc>
          <w:tcPr>
            <w:tcW w:type="dxa" w:w="9865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Especificación de Requisitos de Software (SRS) simplificada</w:t>
            </w:r>
          </w:p>
        </w:tc>
        <w:tc>
          <w:tcPr>
            <w:tcW w:type="dxa" w:w="226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Semanas 5–6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Etapa 2 · Diseño</w:t>
            </w:r>
          </w:p>
        </w:tc>
        <w:tc>
          <w:tcPr>
            <w:tcW w:type="dxa" w:w="9865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Documento de Diseño: arquitectura, modelo ER, esquema documental, diagramas UML y requisitos no funcionales</w:t>
            </w:r>
          </w:p>
        </w:tc>
        <w:tc>
          <w:tcPr>
            <w:tcW w:type="dxa" w:w="226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Semanas 6–7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Etapa 3 · Construcción</w:t>
            </w:r>
          </w:p>
        </w:tc>
        <w:tc>
          <w:tcPr>
            <w:tcW w:type="dxa" w:w="9865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Sistema integrado sobre Docker en el repositorio público: pipeline y banco de fagos, modelo predictivo, plataforma web y aplicación móvil</w:t>
            </w:r>
          </w:p>
        </w:tc>
        <w:tc>
          <w:tcPr>
            <w:tcW w:type="dxa" w:w="226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Semanas 8–14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Etapa 4 · Pruebas</w:t>
            </w:r>
          </w:p>
        </w:tc>
        <w:tc>
          <w:tcPr>
            <w:tcW w:type="dxa" w:w="9865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Plan de Pruebas con evidencias (unitarias, integración, extremo a extremo, rendimiento y seguridad)</w:t>
            </w:r>
          </w:p>
        </w:tc>
        <w:tc>
          <w:tcPr>
            <w:tcW w:type="dxa" w:w="226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Semana 15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/>
                <w:i w:val="0"/>
                <w:color w:val="0B4F5C"/>
                <w:sz w:val="18"/>
              </w:rPr>
              <w:t>Etapa 5 · Despliegue y cierre</w:t>
            </w:r>
          </w:p>
        </w:tc>
        <w:tc>
          <w:tcPr>
            <w:tcW w:type="dxa" w:w="9865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Manual técnico y de despliegue, README final y presentación ante comisión</w:t>
            </w:r>
          </w:p>
        </w:tc>
        <w:tc>
          <w:tcPr>
            <w:tcW w:type="dxa" w:w="2268"/>
            <w:vAlign w:val="center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after="0" w:before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Semanas 16–18</w:t>
            </w:r>
          </w:p>
        </w:tc>
      </w:tr>
    </w:tbl>
    <w:p>
      <w:pPr>
        <w:spacing w:before="200"/>
      </w:pPr>
      <w:r>
        <w:rPr>
          <w:rFonts w:ascii="Calibri" w:hAnsi="Calibri"/>
          <w:i/>
          <w:color w:val="595959"/>
          <w:sz w:val="17"/>
        </w:rPr>
        <w:t>Elaborada sobre el cronograma oficial de la asignatura (2026.02_Cronograma_Capstone_PTY4614.xlsx). Las etapas se ejecutan en secuencia, con un traslape máximo de una semana entre etapas adyacentes para ajustarse a las 18 semanas del calendario. Cada tarea tiene un responsable único: el autor del proyecto.</w:t>
      </w:r>
    </w:p>
    <w:sectPr w:rsidR="00FC693F" w:rsidRPr="0006063C" w:rsidSect="00034616">
      <w:footerReference w:type="default" r:id="rId9"/>
      <w:pgSz w:w="16838" w:h="11906" w:orient="landscape"/>
      <w:pgMar w:top="567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6"/>
      </w:rPr>
      <w:t>SIRFA · Carta Gantt · Johao Ramírez · Capstone PTY4614, Duoc UC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