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Informe de Avance SIRFA — Fase 2</w:t>
      </w:r>
    </w:p>
    <w:p>
      <w:pPr/>
      <w:r>
        <w:t xml:space="preserve">Versión final · </w:t>
      </w:r>
      <w:r>
        <w:t xml:space="preserve">Oct 28, 2026</w:t>
      </w:r>
      <w:r>
        <w:t xml:space="preserve"> · </w:t>
      </w:r>
      <w:r>
        <w:t xml:space="preserve">@Johao</w:t>
      </w:r>
    </w:p>
    <w:p>
      <w:pPr>
        <w:pStyle w:val="Heading2"/>
      </w:pPr>
      <w:r>
        <w:t xml:space="preserve">Antecedentes</w:t>
      </w:r>
    </w:p>
    <w:p>
      <w:pPr/>
      <w:r>
        <w:t xml:space="preserve">Este informe reporta el avance del Proyecto APT SIRFA con corte al 28 de octubre de 2026 (semana 12): requisitos y diseño tienen borrador, el pipeline genómico corre sobre un genoma real, con una API y una web mínimas para registrarlo y ver sus resultados, y el modelo de predicción, la autenticación y el móvil aún no se inician.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86"/>
        <w:gridCol w:w="6173"/>
      </w:tblGrid>
      <w:tr>
        <w:trPr>
          <w:tblHeader/>
        </w:trPr>
        <w:tc>
          <w:tcPr>
            <w:tcW w:w="3186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6173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3186" w:type="dxa"/>
          </w:tcPr>
          <w:p>
            <w:pPr/>
            <w:r>
              <w:t xml:space="preserve">Estudiante</w:t>
            </w:r>
          </w:p>
        </w:tc>
        <w:tc>
          <w:tcPr>
            <w:tcW w:w="6173" w:type="dxa"/>
          </w:tcPr>
          <w:p>
            <w:pPr/>
            <w:r>
              <w:t xml:space="preserve">Johao Ramírez</w:t>
            </w:r>
          </w:p>
        </w:tc>
      </w:tr>
      <w:tr>
        <w:tc>
          <w:tcPr>
            <w:tcW w:w="3186" w:type="dxa"/>
          </w:tcPr>
          <w:p>
            <w:pPr/>
            <w:r>
              <w:t xml:space="preserve">Carrera</w:t>
            </w:r>
          </w:p>
        </w:tc>
        <w:tc>
          <w:tcPr>
            <w:tcW w:w="6173" w:type="dxa"/>
          </w:tcPr>
          <w:p>
            <w:pPr/>
            <w:r>
              <w:t xml:space="preserve">Ingeniería en Informática</w:t>
            </w:r>
          </w:p>
        </w:tc>
      </w:tr>
      <w:tr>
        <w:tc>
          <w:tcPr>
            <w:tcW w:w="3186" w:type="dxa"/>
          </w:tcPr>
          <w:p>
            <w:pPr/>
            <w:r>
              <w:t xml:space="preserve">Sede</w:t>
            </w:r>
          </w:p>
        </w:tc>
        <w:tc>
          <w:tcPr>
            <w:tcW w:w="6173" w:type="dxa"/>
          </w:tcPr>
          <w:p>
            <w:pPr/>
            <w:r>
              <w:t xml:space="preserve">San Joaquín</w:t>
            </w:r>
          </w:p>
        </w:tc>
      </w:tr>
      <w:tr>
        <w:tc>
          <w:tcPr>
            <w:tcW w:w="3186" w:type="dxa"/>
          </w:tcPr>
          <w:p>
            <w:pPr/>
            <w:r>
              <w:t xml:space="preserve">Proyecto APT</w:t>
            </w:r>
          </w:p>
        </w:tc>
        <w:tc>
          <w:tcPr>
            <w:tcW w:w="6173" w:type="dxa"/>
          </w:tcPr>
          <w:p>
            <w:pPr/>
            <w:r>
              <w:t xml:space="preserve">SIRFA — Sistema de Recomendación de Fagos frente a Antibiorresistencia</w:t>
            </w:r>
          </w:p>
        </w:tc>
      </w:tr>
      <w:tr>
        <w:tc>
          <w:tcPr>
            <w:tcW w:w="3186" w:type="dxa"/>
          </w:tcPr>
          <w:p>
            <w:pPr/>
            <w:r>
              <w:t xml:space="preserve">Asignatura</w:t>
            </w:r>
          </w:p>
        </w:tc>
        <w:tc>
          <w:tcPr>
            <w:tcW w:w="6173" w:type="dxa"/>
          </w:tcPr>
          <w:p>
            <w:pPr/>
            <w:r>
              <w:t xml:space="preserve">Capstone PTY4614 / APT122</w:t>
            </w:r>
          </w:p>
        </w:tc>
      </w:tr>
      <w:tr>
        <w:tc>
          <w:tcPr>
            <w:tcW w:w="3186" w:type="dxa"/>
          </w:tcPr>
          <w:p>
            <w:pPr/>
            <w:r>
              <w:t xml:space="preserve">Entrega</w:t>
            </w:r>
          </w:p>
        </w:tc>
        <w:tc>
          <w:tcPr>
            <w:tcW w:w="6173" w:type="dxa"/>
          </w:tcPr>
          <w:p>
            <w:pPr/>
            <w:r>
              <w:t xml:space="preserve">Fase 2, Informe de Avance</w:t>
            </w:r>
          </w:p>
        </w:tc>
      </w:tr>
      <w:tr>
        <w:tc>
          <w:tcPr>
            <w:tcW w:w="3186" w:type="dxa"/>
          </w:tcPr>
          <w:p>
            <w:pPr/>
            <w:r>
              <w:t xml:space="preserve">Equipo</w:t>
            </w:r>
          </w:p>
        </w:tc>
        <w:tc>
          <w:tcPr>
            <w:tcW w:w="6173" w:type="dxa"/>
          </w:tcPr>
          <w:p>
            <w:pPr/>
            <w:r>
              <w:t xml:space="preserve">Individual, con desvinculación de equipo autorizada por el docente</w:t>
            </w:r>
          </w:p>
        </w:tc>
      </w:tr>
      <w:tr>
        <w:tc>
          <w:tcPr>
            <w:tcW w:w="3186" w:type="dxa"/>
          </w:tcPr>
          <w:p>
            <w:pPr/>
            <w:r>
              <w:t xml:space="preserve">Corte</w:t>
            </w:r>
          </w:p>
        </w:tc>
        <w:tc>
          <w:tcPr>
            <w:tcW w:w="6173" w:type="dxa"/>
          </w:tcPr>
          <w:p>
            <w:pPr/>
            <w:r>
              <w:t xml:space="preserve">28-10-2026, semana 12 del calendario</w:t>
            </w:r>
          </w:p>
        </w:tc>
      </w:tr>
      <w:tr>
        <w:tc>
          <w:tcPr>
            <w:tcW w:w="3186" w:type="dxa"/>
          </w:tcPr>
          <w:p>
            <w:pPr/>
            <w:r>
              <w:t xml:space="preserve">Estado del documento</w:t>
            </w:r>
          </w:p>
        </w:tc>
        <w:tc>
          <w:tcPr>
            <w:tcW w:w="6173" w:type="dxa"/>
          </w:tcPr>
          <w:p>
            <w:pPr/>
            <w:r>
              <w:t xml:space="preserve">Versión final para entrega; falta completar la URL del repositorio institucional en la evidencia E3</w:t>
            </w:r>
          </w:p>
        </w:tc>
      </w:tr>
    </w:tbl>
    <w:p>
      <w:pPr>
        <w:pStyle w:val="Heading2"/>
      </w:pPr>
      <w:r>
        <w:t xml:space="preserve">1. Resumen de avance</w:t>
      </w:r>
    </w:p>
    <w:p>
      <w:pPr/>
      <w:r>
        <w:t xml:space="preserve">Al 28 de octubre el proyecto cumplió en borrador el OE1, avanzó parcialmente el OE2 con un corte funcional verificado y dio los primeros pasos del OE4 con una API y una web mínimas; los OE3 y OE5 aún no se inician.</w:t>
      </w:r>
    </w:p>
    <w:p>
      <w:pPr>
        <w:pStyle w:val="Heading3"/>
      </w:pPr>
      <w:r>
        <w:t xml:space="preserve">1.1 Qué se ha hecho</w:t>
      </w:r>
    </w:p>
    <w:p>
      <w:pPr/>
      <w:r>
        <w:t xml:space="preserve">Se redactó la Especificación de Requisitos de Software v0.2, con 66 requisitos funcionales, 33 no funcionales, 18 historias de usuario y 12 reglas de negocio. Se redactó también el Documento de Diseño v0.2: arquitectura, 24 tablas de PostgreSQL, 4 colecciones de MongoDB, 4 diagramas UML, el diseño de los requisitos no funcionales y un plan de 60 casos de prueba. Ambos documentos están pendientes de revisión del docente.</w:t>
      </w:r>
    </w:p>
    <w:p>
      <w:pPr/>
      <w:r>
        <w:t xml:space="preserve">Se construyó el corte funcional del pipeline genómico y del banco de fagos, empaquetado con docker compose en cuatro servicios (PostgreSQL, MongoDB, API y worker). Carga 200 fagos de </w:t>
      </w:r>
      <w:r>
        <w:rPr>
          <w:i/>
        </w:rPr>
        <w:t xml:space="preserve">Klebsiella</w:t>
      </w:r>
      <w:r>
        <w:t xml:space="preserve"> desde INPHARED y procesa un genoma real: valida el FASTA, calcula la calidad, verifica la especie con Mash, tipifica el locus K y predice los genes, con reintentos automáticos si una herramienta falla. El detalle medido está en la sección 1.5.</w:t>
      </w:r>
    </w:p>
    <w:p>
      <w:pPr/>
      <w:r>
        <w:t xml:space="preserve">Sobre ese corte se agregó el 28 de octubre una API REST de 9 endpoints (registro de un genoma, lista y detalle de solicitudes, anulación, reintento, evidencia conocida para el aislado, búsqueda en el banco de fagos, resumen y salud) y una web mínima, en HTML y JavaScript simples, servida por la misma API. Permiten subir un genoma, seguir su análisis y ver la calidad, la especie, el locus K y los genes. No tienen autenticación: toda solicitud se atribuye a un usuario de demostración.</w:t>
      </w:r>
    </w:p>
    <w:p>
      <w:pPr/>
      <w:r>
        <w:t xml:space="preserve">La pantalla de fagos candidatos no ordena por compatibilidad. El banco tiene los 200 fagos con el ciclo de vida sin curar y ninguna interacción fago-cepa cargada, de modo que solo mostraría fagos con interacciones positivas conocidas sobre el mismo locus K (hoy ninguno) y lo informa en pantalla. El ranking depende del modelo del OE3, que no se ha iniciado.</w:t>
      </w:r>
    </w:p>
    <w:p>
      <w:pPr/>
      <w:r>
        <w:t xml:space="preserve">Los módulos construidos tienen 102 pruebas automatizadas (78 del pipeline y la base de datos, y 24 de la API) que pasan dentro del contenedor.</w:t>
      </w:r>
    </w:p>
    <w:p>
      <w:pPr>
        <w:pStyle w:val="Heading3"/>
      </w:pPr>
      <w:r>
        <w:t xml:space="preserve">1.2 Estado de los objetivos específicos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23"/>
        <w:gridCol w:w="1232"/>
        <w:gridCol w:w="3250"/>
        <w:gridCol w:w="3455"/>
      </w:tblGrid>
      <w:tr>
        <w:trPr>
          <w:tblHeader/>
        </w:trPr>
        <w:tc>
          <w:tcPr>
            <w:tcW w:w="1423" w:type="dxa"/>
            <w:shd w:val="clear" w:color="auto" w:fill="F2F2F2"/>
          </w:tcPr>
          <w:p>
            <w:pPr/>
            <w:r>
              <w:t xml:space="preserve">Objetivo</w:t>
            </w:r>
          </w:p>
        </w:tc>
        <w:tc>
          <w:tcPr>
            <w:tcW w:w="1232" w:type="dxa"/>
            <w:shd w:val="clear" w:color="auto" w:fill="F2F2F2"/>
          </w:tcPr>
          <w:p>
            <w:pPr/>
            <w:r>
              <w:t xml:space="preserve">Estado</w:t>
            </w:r>
          </w:p>
        </w:tc>
        <w:tc>
          <w:tcPr>
            <w:tcW w:w="3250" w:type="dxa"/>
            <w:shd w:val="clear" w:color="auto" w:fill="F2F2F2"/>
          </w:tcPr>
          <w:p>
            <w:pPr/>
            <w:r>
              <w:t xml:space="preserve">Qué se logró</w:t>
            </w:r>
          </w:p>
        </w:tc>
        <w:tc>
          <w:tcPr>
            <w:tcW w:w="3455" w:type="dxa"/>
            <w:shd w:val="clear" w:color="auto" w:fill="F2F2F2"/>
          </w:tcPr>
          <w:p>
            <w:pPr/>
            <w:r>
              <w:t xml:space="preserve">Qué falta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OE1. Especificar y diseñar</w:t>
            </w:r>
          </w:p>
        </w:tc>
        <w:tc>
          <w:tcPr>
            <w:tcW w:w="1232" w:type="dxa"/>
          </w:tcPr>
          <w:p>
            <w:pPr/>
            <w:r>
              <w:t xml:space="preserve">Cumplido en borrador</w:t>
            </w:r>
          </w:p>
        </w:tc>
        <w:tc>
          <w:tcPr>
            <w:tcW w:w="3250" w:type="dxa"/>
          </w:tcPr>
          <w:p>
            <w:pPr/>
            <w:r>
              <w:t xml:space="preserve">SRS v0.2 y Documento de Diseño v0.2 completos</w:t>
            </w:r>
          </w:p>
        </w:tc>
        <w:tc>
          <w:tcPr>
            <w:tcW w:w="3455" w:type="dxa"/>
          </w:tcPr>
          <w:p>
            <w:pPr/>
            <w:r>
              <w:t xml:space="preserve">Revisión y aprobación del docente, y resolver los 10 puntos abiertos de cada documento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OE2. Pipeline y banco de fagos</w:t>
            </w:r>
          </w:p>
        </w:tc>
        <w:tc>
          <w:tcPr>
            <w:tcW w:w="1232" w:type="dxa"/>
          </w:tcPr>
          <w:p>
            <w:pPr/>
            <w:r>
              <w:t xml:space="preserve">En curso</w:t>
            </w:r>
          </w:p>
        </w:tc>
        <w:tc>
          <w:tcPr>
            <w:tcW w:w="3250" w:type="dxa"/>
          </w:tcPr>
          <w:p>
            <w:pPr/>
            <w:r>
              <w:t xml:space="preserve">200 fagos cargados; validación de FASTA, calidad, especie con Mash, locus K y genes; cola de trabajos con reintentos; salidas en PostgreSQL y MongoDB</w:t>
            </w:r>
          </w:p>
        </w:tc>
        <w:tc>
          <w:tcPr>
            <w:tcW w:w="3455" w:type="dxa"/>
          </w:tcPr>
          <w:p>
            <w:pPr/>
            <w:r>
              <w:t xml:space="preserve">Detectar proteínas de unión al receptor y calcular embeddings, descargar los genomas de los fagos, curaduría y las fuentes PhageScope y </w:t>
            </w:r>
            <w:r>
              <w:rPr>
                <w:i/>
              </w:rPr>
              <w:t xml:space="preserve">Microbe Versus Phage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OE3. Modelo de predicción</w:t>
            </w:r>
          </w:p>
        </w:tc>
        <w:tc>
          <w:tcPr>
            <w:tcW w:w="1232" w:type="dxa"/>
          </w:tcPr>
          <w:p>
            <w:pPr/>
            <w:r>
              <w:t xml:space="preserve">No iniciado</w:t>
            </w:r>
          </w:p>
        </w:tc>
        <w:tc>
          <w:tcPr>
            <w:tcW w:w="3250" w:type="dxa"/>
          </w:tcPr>
          <w:p>
            <w:pPr/>
            <w:r>
              <w:t xml:space="preserve">Nada todavía</w:t>
            </w:r>
          </w:p>
        </w:tc>
        <w:tc>
          <w:tcPr>
            <w:tcW w:w="3455" w:type="dxa"/>
          </w:tcPr>
          <w:p>
            <w:pPr/>
            <w:r>
              <w:t xml:space="preserve">Embeddings ESM-2, clasificador XGBoost, evaluación contra la literatura y explicación con SHAP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OE4. Plataforma web</w:t>
            </w:r>
          </w:p>
        </w:tc>
        <w:tc>
          <w:tcPr>
            <w:tcW w:w="1232" w:type="dxa"/>
          </w:tcPr>
          <w:p>
            <w:pPr/>
            <w:r>
              <w:t xml:space="preserve">No iniciado</w:t>
            </w:r>
          </w:p>
        </w:tc>
        <w:tc>
          <w:tcPr>
            <w:tcW w:w="3250" w:type="dxa"/>
          </w:tcPr>
          <w:p>
            <w:pPr/>
            <w:r>
              <w:t xml:space="preserve">Los cimientos (esquema de datos y máquina de estados de la solicitud) y un corte mínimo: API de 9 endpoints (registro de genoma, solicitudes, evidencia conocida, banco de fagos, resumen y salud) y web de registro, seguimiento y resultados, sin autenticación</w:t>
            </w:r>
          </w:p>
        </w:tc>
        <w:tc>
          <w:tcPr>
            <w:tcW w:w="3455" w:type="dxa"/>
          </w:tcPr>
          <w:p>
            <w:pPr/>
            <w:r>
              <w:t xml:space="preserve">Autenticación JWT y roles, validación y emisión, auditoría, tablero y la interfaz definitiva (el diseño prevé Next.js; la actual es HTML y JavaScript simple)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OE5. Móvil y calidad</w:t>
            </w:r>
          </w:p>
        </w:tc>
        <w:tc>
          <w:tcPr>
            <w:tcW w:w="1232" w:type="dxa"/>
          </w:tcPr>
          <w:p>
            <w:pPr/>
            <w:r>
              <w:t xml:space="preserve">No iniciado</w:t>
            </w:r>
          </w:p>
        </w:tc>
        <w:tc>
          <w:tcPr>
            <w:tcW w:w="3250" w:type="dxa"/>
          </w:tcPr>
          <w:p>
            <w:pPr/>
            <w:r>
              <w:t xml:space="preserve">102 pruebas automatizadas de los módulos y la API existentes</w:t>
            </w:r>
          </w:p>
        </w:tc>
        <w:tc>
          <w:tcPr>
            <w:tcW w:w="3455" w:type="dxa"/>
          </w:tcPr>
          <w:p>
            <w:pPr/>
            <w:r>
              <w:t xml:space="preserve">App móvil y pruebas de integración, extremo a extremo, rendimiento y seguridad</w:t>
            </w:r>
          </w:p>
        </w:tc>
      </w:tr>
    </w:tbl>
    <w:p>
      <w:pPr>
        <w:pStyle w:val="Heading3"/>
      </w:pPr>
      <w:r>
        <w:t xml:space="preserve">1.3 Objetivos</w:t>
      </w:r>
    </w:p>
    <w:p>
      <w:pPr/>
      <w:r>
        <w:t xml:space="preserve">El objetivo general y los cinco objetivos específicos se mantienen sin cambios respecto de la Definición de Proyecto de la Fase 1. Lo que se ajusta es el orden y la prioridad con que se construye el alcance de los OE3 a OE5 (sección 3.2).</w:t>
      </w:r>
    </w:p>
    <w:p>
      <w:pPr>
        <w:pStyle w:val="Heading3"/>
      </w:pPr>
      <w:r>
        <w:t xml:space="preserve">1.4 Metodología</w:t>
      </w:r>
    </w:p>
    <w:p>
      <w:pPr/>
      <w:r>
        <w:t xml:space="preserve">Se mantiene el modelo en cascada y su secuencia: requisitos, diseño y construcción. Cambiaron las fechas y el control de las puertas:</w:t>
      </w:r>
    </w:p>
    <w:p>
      <w:pPr>
        <w:pStyle w:val="ListParagraph"/>
        <w:numPr>
          <w:ilvl w:val="0"/>
          <w:numId w:val="2"/>
        </w:numPr>
      </w:pPr>
      <w:r>
        <w:t xml:space="preserve">La etapa 1 estaba planificada para las semanas 5 y 6 y la etapa 2 para las semanas 6 y 7; ambas se redactaron en la semana 12. El traslape máximo de una semana entre etapas no se cumplió.</w:t>
      </w:r>
    </w:p>
    <w:p>
      <w:pPr>
        <w:pStyle w:val="ListParagraph"/>
        <w:numPr>
          <w:ilvl w:val="0"/>
          <w:numId w:val="2"/>
        </w:numPr>
      </w:pPr>
      <w:r>
        <w:t xml:space="preserve">Las puertas de control de las etapas 1 y 2 tienen entregable pero no aprobación formal, por lo que el alcance todavía no está congelado.</w:t>
      </w:r>
    </w:p>
    <w:p>
      <w:pPr>
        <w:pStyle w:val="ListParagraph"/>
        <w:numPr>
          <w:ilvl w:val="0"/>
          <w:numId w:val="2"/>
        </w:numPr>
      </w:pPr>
      <w:r>
        <w:t xml:space="preserve">Se agregó una priorización de tres niveles (Alta, Media y Baja) a cada requisito, para controlar el alcance de un solo desarrollador.</w:t>
      </w:r>
    </w:p>
    <w:p>
      <w:pPr>
        <w:pStyle w:val="ListParagraph"/>
        <w:numPr>
          <w:ilvl w:val="0"/>
          <w:numId w:val="2"/>
        </w:numPr>
      </w:pPr>
      <w:r>
        <w:t xml:space="preserve">Las pruebas automatizadas se escriben junto con cada módulo y no solo en la etapa 4.</w:t>
      </w:r>
    </w:p>
    <w:p>
      <w:pPr>
        <w:pStyle w:val="ListParagraph"/>
        <w:numPr>
          <w:ilvl w:val="0"/>
          <w:numId w:val="2"/>
        </w:numPr>
      </w:pPr>
      <w:r>
        <w:t xml:space="preserve">Ajuste propuesto: construir primero un flujo vertical mínimo (registro, pipeline, predicción, validación y recomendación) y después ampliarlo con tablero y móvil. Requiere la conformidad del docente.</w:t>
      </w:r>
    </w:p>
    <w:p>
      <w:pPr>
        <w:pStyle w:val="Heading3"/>
      </w:pPr>
      <w:r>
        <w:t xml:space="preserve">1.5 Evidencias de avance</w:t>
      </w:r>
    </w:p>
    <w:p>
      <w:pPr/>
      <w:r>
        <w:t xml:space="preserve">Se presentan cinco evidencias que cubren los tres ámbitos de la rúbrica: documentación (E1 y E2), programación (E3 y E5) y almacenamiento de datos (E3 y E4).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793"/>
        <w:gridCol w:w="4507"/>
        <w:gridCol w:w="234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793" w:type="dxa"/>
            <w:shd w:val="clear" w:color="auto" w:fill="F2F2F2"/>
          </w:tcPr>
          <w:p>
            <w:pPr/>
            <w:r>
              <w:t xml:space="preserve">Evidencia</w:t>
            </w:r>
          </w:p>
        </w:tc>
        <w:tc>
          <w:tcPr>
            <w:tcW w:w="4507" w:type="dxa"/>
            <w:shd w:val="clear" w:color="auto" w:fill="F2F2F2"/>
          </w:tcPr>
          <w:p>
            <w:pPr/>
            <w:r>
              <w:t xml:space="preserve">Cómo da cuenta del avance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Dónde está</w:t>
            </w:r>
          </w:p>
        </w:tc>
      </w:tr>
      <w:tr>
        <w:tc>
          <w:tcPr>
            <w:tcW w:w="720" w:type="dxa"/>
          </w:tcPr>
          <w:p>
            <w:pPr/>
            <w:r>
              <w:t xml:space="preserve">E1</w:t>
            </w:r>
          </w:p>
        </w:tc>
        <w:tc>
          <w:tcPr>
            <w:tcW w:w="1793" w:type="dxa"/>
          </w:tcPr>
          <w:p>
            <w:pPr/>
            <w:r>
              <w:t xml:space="preserve">Especificación de Requisitos de Software v0.2</w:t>
            </w:r>
          </w:p>
        </w:tc>
        <w:tc>
          <w:tcPr>
            <w:tcW w:w="4507" w:type="dxa"/>
          </w:tcPr>
          <w:p>
            <w:pPr/>
            <w:r>
              <w:t xml:space="preserve">Cumple el OE1 en requisitos: 66 RF, 33 RNF, 18 historias y 12 reglas de negocio, con trazabilidad a los objetivos</w:t>
            </w:r>
          </w:p>
        </w:tc>
        <w:tc>
          <w:tcPr>
            <w:tcW w:w="2340" w:type="dxa"/>
          </w:tcPr>
          <w:p>
            <w:pPr/>
            <w:r>
              <w:t xml:space="preserve">Adjunto 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E2</w:t>
            </w:r>
          </w:p>
        </w:tc>
        <w:tc>
          <w:tcPr>
            <w:tcW w:w="1793" w:type="dxa"/>
          </w:tcPr>
          <w:p>
            <w:pPr/>
            <w:r>
              <w:t xml:space="preserve">Documento de Diseño v0.2</w:t>
            </w:r>
          </w:p>
        </w:tc>
        <w:tc>
          <w:tcPr>
            <w:tcW w:w="4507" w:type="dxa"/>
          </w:tcPr>
          <w:p>
            <w:pPr/>
            <w:r>
              <w:t xml:space="preserve">Cumple el OE1 en diseño: arquitectura, modelo de datos relacional y documental, UML y plan de 60 casos de prueba</w:t>
            </w:r>
          </w:p>
        </w:tc>
        <w:tc>
          <w:tcPr>
            <w:tcW w:w="2340" w:type="dxa"/>
          </w:tcPr>
          <w:p>
            <w:pPr/>
            <w:r>
              <w:t xml:space="preserve">Adjunto B</w:t>
            </w:r>
          </w:p>
        </w:tc>
      </w:tr>
      <w:tr>
        <w:tc>
          <w:tcPr>
            <w:tcW w:w="720" w:type="dxa"/>
          </w:tcPr>
          <w:p>
            <w:pPr/>
            <w:r>
              <w:t xml:space="preserve">E3</w:t>
            </w:r>
          </w:p>
        </w:tc>
        <w:tc>
          <w:tcPr>
            <w:tcW w:w="1793" w:type="dxa"/>
          </w:tcPr>
          <w:p>
            <w:pPr/>
            <w:r>
              <w:t xml:space="preserve">Código del corte funcional</w:t>
            </w:r>
          </w:p>
        </w:tc>
        <w:tc>
          <w:tcPr>
            <w:tcW w:w="4507" w:type="dxa"/>
          </w:tcPr>
          <w:p>
            <w:pPr/>
            <w:r>
              <w:t xml:space="preserve">Evidencia el OE2 (pipeline, worker, esquema de datos y docker-compose.yml que levanta cuatro servicios) y los primeros pasos del OE4 (API y web mínima)</w:t>
            </w:r>
          </w:p>
        </w:tc>
        <w:tc>
          <w:tcPr>
            <w:tcW w:w="2340" w:type="dxa"/>
          </w:tcPr>
          <w:p>
            <w:pPr/>
            <w:r>
              <w:t xml:space="preserve">Repositorio [URL del repositorio institucional], carpetas </w:t>
            </w:r>
            <w:r>
              <w:rPr>
                <w:rStyle w:val="CodeChar"/>
              </w:rPr>
              <w:t xml:space="preserve">pipeline/</w:t>
            </w:r>
            <w:r>
              <w:t xml:space="preserve">, </w:t>
            </w:r>
            <w:r>
              <w:rPr>
                <w:rStyle w:val="CodeChar"/>
              </w:rPr>
              <w:t xml:space="preserve">backend/</w:t>
            </w:r>
            <w:r>
              <w:t xml:space="preserve"> y </w:t>
            </w:r>
            <w:r>
              <w:rPr>
                <w:rStyle w:val="CodeChar"/>
              </w:rPr>
              <w:t xml:space="preserve">frontend/</w:t>
            </w:r>
          </w:p>
        </w:tc>
      </w:tr>
      <w:tr>
        <w:tc>
          <w:tcPr>
            <w:tcW w:w="720" w:type="dxa"/>
          </w:tcPr>
          <w:p>
            <w:pPr/>
            <w:r>
              <w:t xml:space="preserve">E4</w:t>
            </w:r>
          </w:p>
        </w:tc>
        <w:tc>
          <w:tcPr>
            <w:tcW w:w="1793" w:type="dxa"/>
          </w:tcPr>
          <w:p>
            <w:pPr/>
            <w:r>
              <w:t xml:space="preserve">Registro de ejecución real</w:t>
            </w:r>
          </w:p>
        </w:tc>
        <w:tc>
          <w:tcPr>
            <w:tcW w:w="4507" w:type="dxa"/>
          </w:tcPr>
          <w:p>
            <w:pPr/>
            <w:r>
              <w:t xml:space="preserve">Muestra que el pipeline corre de punta a punta sobre un genoma real, por consola y por la web, y que el banco se puebla sin duplicar</w:t>
            </w:r>
          </w:p>
        </w:tc>
        <w:tc>
          <w:tcPr>
            <w:tcW w:w="2340" w:type="dxa"/>
          </w:tcPr>
          <w:p>
            <w:pPr/>
            <w:r>
              <w:t xml:space="preserve">Secciones siguientes y </w:t>
            </w:r>
            <w:r>
              <w:rPr>
                <w:rStyle w:val="CodeChar"/>
              </w:rPr>
              <w:t xml:space="preserve">docs/demo_avance.md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E5</w:t>
            </w:r>
          </w:p>
        </w:tc>
        <w:tc>
          <w:tcPr>
            <w:tcW w:w="1793" w:type="dxa"/>
          </w:tcPr>
          <w:p>
            <w:pPr/>
            <w:r>
              <w:t xml:space="preserve">Pruebas automatizadas</w:t>
            </w:r>
          </w:p>
        </w:tc>
        <w:tc>
          <w:tcPr>
            <w:tcW w:w="4507" w:type="dxa"/>
          </w:tcPr>
          <w:p>
            <w:pPr/>
            <w:r>
              <w:t xml:space="preserve">Respalda la calidad de los módulos: FASTA, calidad, estados, cola de trabajos, carga del banco, esquema y API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backend/tests/</w:t>
            </w:r>
            <w:r>
              <w:t xml:space="preserve"> (102 pruebas)</w:t>
            </w:r>
          </w:p>
        </w:tc>
      </w:tr>
    </w:tbl>
    <w:p>
      <w:pPr>
        <w:pStyle w:val="Heading4"/>
      </w:pPr>
      <w:r>
        <w:t xml:space="preserve">Registro de ejecución real (27-10-2026)</w:t>
      </w:r>
    </w:p>
    <w:p>
      <w:pPr/>
      <w:r>
        <w:t xml:space="preserve">Se ejecutó con </w:t>
      </w:r>
      <w:r>
        <w:rPr>
          <w:rStyle w:val="CodeChar"/>
        </w:rPr>
        <w:t xml:space="preserve">docker compose</w:t>
      </w:r>
      <w:r>
        <w:t xml:space="preserve"> sobre Docker Desktop en Windows. Primero se cargó el banco con </w:t>
      </w:r>
      <w:r>
        <w:rPr>
          <w:rStyle w:val="CodeChar"/>
        </w:rPr>
        <w:t xml:space="preserve">python -m pipeline.seed_phage_bank --descargar --hospedador Klebsiella --limite 200</w:t>
      </w:r>
      <w:r>
        <w:t xml:space="preserve"> y después se registró el genoma de </w:t>
      </w:r>
      <w:r>
        <w:rPr>
          <w:i/>
        </w:rPr>
        <w:t xml:space="preserve">Klebsiella pneumoniae</w:t>
      </w:r>
      <w:r>
        <w:t xml:space="preserve"> subsp. </w:t>
      </w:r>
      <w:r>
        <w:rPr>
          <w:i/>
        </w:rPr>
        <w:t xml:space="preserve">pneumoniae</w:t>
      </w:r>
      <w:r>
        <w:t xml:space="preserve"> HS11286 (ensamblado completo GCF_000240185.1 de NCBI) para que lo tomara el worker.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17"/>
        <w:gridCol w:w="5842"/>
      </w:tblGrid>
      <w:tr>
        <w:trPr>
          <w:tblHeader/>
        </w:trPr>
        <w:tc>
          <w:tcPr>
            <w:tcW w:w="3517" w:type="dxa"/>
            <w:shd w:val="clear" w:color="auto" w:fill="F2F2F2"/>
          </w:tcPr>
          <w:p>
            <w:pPr/>
            <w:r>
              <w:t xml:space="preserve">Prueba</w:t>
            </w:r>
          </w:p>
        </w:tc>
        <w:tc>
          <w:tcPr>
            <w:tcW w:w="5842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3517" w:type="dxa"/>
          </w:tcPr>
          <w:p>
            <w:pPr/>
            <w:r>
              <w:t xml:space="preserve">Fuente del banco</w:t>
            </w:r>
          </w:p>
        </w:tc>
        <w:tc>
          <w:tcPr>
            <w:tcW w:w="5842" w:type="dxa"/>
          </w:tcPr>
          <w:p>
            <w:pPr/>
            <w:r>
              <w:t xml:space="preserve">INPHARED, tabla de abril 2026</w:t>
            </w:r>
          </w:p>
        </w:tc>
      </w:tr>
      <w:tr>
        <w:tc>
          <w:tcPr>
            <w:tcW w:w="3517" w:type="dxa"/>
          </w:tcPr>
          <w:p>
            <w:pPr/>
            <w:r>
              <w:t xml:space="preserve">Fagos cargados</w:t>
            </w:r>
          </w:p>
        </w:tc>
        <w:tc>
          <w:tcPr>
            <w:tcW w:w="5842" w:type="dxa"/>
          </w:tcPr>
          <w:p>
            <w:pPr/>
            <w:r>
              <w:t xml:space="preserve">200 de </w:t>
            </w:r>
            <w:r>
              <w:rPr>
                <w:i/>
              </w:rPr>
              <w:t xml:space="preserve">Klebsiella</w:t>
            </w:r>
            <w:r>
              <w:t xml:space="preserve">, todos pendientes de curaduría</w:t>
            </w:r>
          </w:p>
        </w:tc>
      </w:tr>
      <w:tr>
        <w:tc>
          <w:tcPr>
            <w:tcW w:w="3517" w:type="dxa"/>
          </w:tcPr>
          <w:p>
            <w:pPr/>
            <w:r>
              <w:t xml:space="preserve">Segunda carga</w:t>
            </w:r>
          </w:p>
        </w:tc>
        <w:tc>
          <w:tcPr>
            <w:tcW w:w="5842" w:type="dxa"/>
          </w:tcPr>
          <w:p>
            <w:pPr/>
            <w:r>
              <w:t xml:space="preserve">0 fagos nuevos y 0 orígenes nuevos: la carga es idempotente</w:t>
            </w:r>
          </w:p>
        </w:tc>
      </w:tr>
      <w:tr>
        <w:tc>
          <w:tcPr>
            <w:tcW w:w="3517" w:type="dxa"/>
          </w:tcPr>
          <w:p>
            <w:pPr/>
            <w:r>
              <w:t xml:space="preserve">Calidad del genoma</w:t>
            </w:r>
          </w:p>
        </w:tc>
        <w:tc>
          <w:tcPr>
            <w:tcW w:w="5842" w:type="dxa"/>
          </w:tcPr>
          <w:p>
            <w:pPr/>
            <w:r>
              <w:t xml:space="preserve">Aprobada: 5.682.322 pb, 7 contigs, N50 5.333.942 y GC 57,12 %; sin bases ambiguas</w:t>
            </w:r>
          </w:p>
        </w:tc>
      </w:tr>
      <w:tr>
        <w:tc>
          <w:tcPr>
            <w:tcW w:w="3517" w:type="dxa"/>
          </w:tcPr>
          <w:p>
            <w:pPr/>
            <w:r>
              <w:t xml:space="preserve">Genes</w:t>
            </w:r>
          </w:p>
        </w:tc>
        <w:tc>
          <w:tcPr>
            <w:tcW w:w="5842" w:type="dxa"/>
          </w:tcPr>
          <w:p>
            <w:pPr/>
            <w:r>
              <w:t xml:space="preserve">5.455, con Prodigal 2.6.3</w:t>
            </w:r>
          </w:p>
        </w:tc>
      </w:tr>
      <w:tr>
        <w:tc>
          <w:tcPr>
            <w:tcW w:w="3517" w:type="dxa"/>
          </w:tcPr>
          <w:p>
            <w:pPr/>
            <w:r>
              <w:t xml:space="preserve">Locus K</w:t>
            </w:r>
          </w:p>
        </w:tc>
        <w:tc>
          <w:tcPr>
            <w:tcW w:w="5842" w:type="dxa"/>
          </w:tcPr>
          <w:p>
            <w:pPr/>
            <w:r>
              <w:t xml:space="preserve">KL103, confianza “Typeable”, con Kaptive 3.3.2</w:t>
            </w:r>
          </w:p>
        </w:tc>
      </w:tr>
      <w:tr>
        <w:tc>
          <w:tcPr>
            <w:tcW w:w="3517" w:type="dxa"/>
          </w:tcPr>
          <w:p>
            <w:pPr/>
            <w:r>
              <w:t xml:space="preserve">Especie</w:t>
            </w:r>
          </w:p>
        </w:tc>
        <w:tc>
          <w:tcPr>
            <w:tcW w:w="5842" w:type="dxa"/>
          </w:tcPr>
          <w:p>
            <w:pPr/>
            <w:r>
              <w:rPr>
                <w:i/>
              </w:rPr>
              <w:t xml:space="preserve">K. pneumoniae</w:t>
            </w:r>
            <w:r>
              <w:t xml:space="preserve"> (declarada en esta primera corrida, antes de armar las referencias de Mash); </w:t>
            </w:r>
            <w:r>
              <w:rPr>
                <w:b/>
              </w:rPr>
              <w:t xml:space="preserve">verificada en las corridas siguientes</w:t>
            </w:r>
          </w:p>
        </w:tc>
      </w:tr>
      <w:tr>
        <w:tc>
          <w:tcPr>
            <w:tcW w:w="3517" w:type="dxa"/>
          </w:tcPr>
          <w:p>
            <w:pPr/>
            <w:r>
              <w:t xml:space="preserve">Tiempo</w:t>
            </w:r>
          </w:p>
        </w:tc>
        <w:tc>
          <w:tcPr>
            <w:tcW w:w="5842" w:type="dxa"/>
          </w:tcPr>
          <w:p>
            <w:pPr/>
            <w:r>
              <w:t xml:space="preserve">Unos 45 s de punta a punta</w:t>
            </w:r>
          </w:p>
        </w:tc>
      </w:tr>
      <w:tr>
        <w:tc>
          <w:tcPr>
            <w:tcW w:w="3517" w:type="dxa"/>
          </w:tcPr>
          <w:p>
            <w:pPr/>
            <w:r>
              <w:t xml:space="preserve">Registro de resultados</w:t>
            </w:r>
          </w:p>
        </w:tc>
        <w:tc>
          <w:tcPr>
            <w:tcW w:w="5842" w:type="dxa"/>
          </w:tcPr>
          <w:p>
            <w:pPr/>
            <w:r>
              <w:t xml:space="preserve">Análisis en PostgreSQL, salidas crudas en MongoDB y un trabajo de predicción encolado</w:t>
            </w:r>
          </w:p>
        </w:tc>
      </w:tr>
      <w:tr>
        <w:tc>
          <w:tcPr>
            <w:tcW w:w="3517" w:type="dxa"/>
          </w:tcPr>
          <w:p>
            <w:pPr/>
            <w:r>
              <w:t xml:space="preserve">Archivo que no es FASTA</w:t>
            </w:r>
          </w:p>
        </w:tc>
        <w:tc>
          <w:tcPr>
            <w:tcW w:w="5842" w:type="dxa"/>
          </w:tcPr>
          <w:p>
            <w:pPr/>
            <w:r>
              <w:t xml:space="preserve">La solicitud queda Rechazada con el motivo, sin reintentos</w:t>
            </w:r>
          </w:p>
        </w:tc>
      </w:tr>
    </w:tbl>
    <w:p>
      <w:pPr>
        <w:pStyle w:val="Heading4"/>
      </w:pPr>
      <w:r>
        <w:t xml:space="preserve">Registro de ejecución por la web (28-10-2026)</w:t>
      </w:r>
    </w:p>
    <w:p>
      <w:pPr/>
      <w:r>
        <w:t xml:space="preserve">Se levantó el entorno con docker compose, se abrió la web en </w:t>
      </w:r>
      <w:r>
        <w:rPr>
          <w:rStyle w:val="CodeChar"/>
        </w:rPr>
        <w:t xml:space="preserve">http://localhost:8000/</w:t>
      </w:r>
      <w:r>
        <w:t xml:space="preserve"> y se subió el genoma HS11286 (archivo </w:t>
      </w:r>
      <w:r>
        <w:rPr>
          <w:rStyle w:val="CodeChar"/>
        </w:rPr>
        <w:t xml:space="preserve">.fna.gz</w:t>
      </w:r>
      <w:r>
        <w:t xml:space="preserve"> de 1,6 MB) con muestra respiratoria y mecanismo KPC. Se probaron además dos archivos inválidos.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27"/>
        <w:gridCol w:w="5632"/>
      </w:tblGrid>
      <w:tr>
        <w:trPr>
          <w:tblHeader/>
        </w:trPr>
        <w:tc>
          <w:tcPr>
            <w:tcW w:w="3727" w:type="dxa"/>
            <w:shd w:val="clear" w:color="auto" w:fill="F2F2F2"/>
          </w:tcPr>
          <w:p>
            <w:pPr/>
            <w:r>
              <w:t xml:space="preserve">Prueba</w:t>
            </w:r>
          </w:p>
        </w:tc>
        <w:tc>
          <w:tcPr>
            <w:tcW w:w="5632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3727" w:type="dxa"/>
          </w:tcPr>
          <w:p>
            <w:pPr/>
            <w:r>
              <w:t xml:space="preserve">Genoma HS11286 por la web</w:t>
            </w:r>
          </w:p>
        </w:tc>
        <w:tc>
          <w:tcPr>
            <w:tcW w:w="5632" w:type="dxa"/>
          </w:tcPr>
          <w:p>
            <w:pPr/>
            <w:r>
              <w:t xml:space="preserve">Se registra y el worker lo analiza solo en unos 20 s; queda en «Análisis completo»</w:t>
            </w:r>
          </w:p>
        </w:tc>
      </w:tr>
      <w:tr>
        <w:tc>
          <w:tcPr>
            <w:tcW w:w="3727" w:type="dxa"/>
          </w:tcPr>
          <w:p>
            <w:pPr/>
            <w:r>
              <w:t xml:space="preserve">Especie</w:t>
            </w:r>
          </w:p>
        </w:tc>
        <w:tc>
          <w:tcPr>
            <w:tcW w:w="5632" w:type="dxa"/>
          </w:tcPr>
          <w:p>
            <w:pPr/>
            <w:r>
              <w:rPr>
                <w:i/>
              </w:rPr>
              <w:t xml:space="preserve">K. pneumoniae</w:t>
            </w:r>
            <w:r>
              <w:t xml:space="preserve">, verificada con Mash (distancia 0,0000, porque HS11286 es su propia referencia)</w:t>
            </w:r>
          </w:p>
        </w:tc>
      </w:tr>
      <w:tr>
        <w:tc>
          <w:tcPr>
            <w:tcW w:w="3727" w:type="dxa"/>
          </w:tcPr>
          <w:p>
            <w:pPr/>
            <w:r>
              <w:t xml:space="preserve">Locus K y genes</w:t>
            </w:r>
          </w:p>
        </w:tc>
        <w:tc>
          <w:tcPr>
            <w:tcW w:w="5632" w:type="dxa"/>
          </w:tcPr>
          <w:p>
            <w:pPr/>
            <w:r>
              <w:t xml:space="preserve">KL103, confianza «Typeable», y 5.455 genes, igual que en la corrida por consola</w:t>
            </w:r>
          </w:p>
        </w:tc>
      </w:tr>
      <w:tr>
        <w:tc>
          <w:tcPr>
            <w:tcW w:w="3727" w:type="dxa"/>
          </w:tcPr>
          <w:p>
            <w:pPr/>
            <w:r>
              <w:t xml:space="preserve">Archivo que no es FASTA</w:t>
            </w:r>
          </w:p>
        </w:tc>
        <w:tc>
          <w:tcPr>
            <w:tcW w:w="5632" w:type="dxa"/>
          </w:tcPr>
          <w:p>
            <w:pPr/>
            <w:r>
              <w:t xml:space="preserve">La API responde 422 con el motivo («hay secuencia antes del primer encabezado &gt;») y no crea ningún registro</w:t>
            </w:r>
          </w:p>
        </w:tc>
      </w:tr>
      <w:tr>
        <w:tc>
          <w:tcPr>
            <w:tcW w:w="3727" w:type="dxa"/>
          </w:tcPr>
          <w:p>
            <w:pPr/>
            <w:r>
              <w:t xml:space="preserve">FASTA de 24 pb</w:t>
            </w:r>
          </w:p>
        </w:tc>
        <w:tc>
          <w:tcPr>
            <w:tcW w:w="5632" w:type="dxa"/>
          </w:tcPr>
          <w:p>
            <w:pPr/>
            <w:r>
              <w:t xml:space="preserve">Se registra y el pipeline lo deja Rechazada por calidad (longitud fuera de rango y N50 bajo), con el motivo en pantalla</w:t>
            </w:r>
          </w:p>
        </w:tc>
      </w:tr>
      <w:tr>
        <w:tc>
          <w:tcPr>
            <w:tcW w:w="3727" w:type="dxa"/>
          </w:tcPr>
          <w:p>
            <w:pPr/>
            <w:r>
              <w:t xml:space="preserve">Fagos candidatos</w:t>
            </w:r>
          </w:p>
        </w:tc>
        <w:tc>
          <w:tcPr>
            <w:tcW w:w="5632" w:type="dxa"/>
          </w:tcPr>
          <w:p>
            <w:pPr/>
            <w:r>
              <w:t xml:space="preserve">«Sin evidencia»: el banco tiene 200 fagos y 0 interacciones fago-cepa, y la pantalla lo informa en lugar de ordenarlos</w:t>
            </w:r>
          </w:p>
        </w:tc>
      </w:tr>
      <w:tr>
        <w:tc>
          <w:tcPr>
            <w:tcW w:w="3727" w:type="dxa"/>
          </w:tcPr>
          <w:p>
            <w:pPr/>
            <w:r>
              <w:t xml:space="preserve">Pruebas automatizadas</w:t>
            </w:r>
          </w:p>
        </w:tc>
        <w:tc>
          <w:tcPr>
            <w:tcW w:w="5632" w:type="dxa"/>
          </w:tcPr>
          <w:p>
            <w:pPr/>
            <w:r>
              <w:t xml:space="preserve">102 pasan dentro del contenedor</w:t>
            </w:r>
          </w:p>
        </w:tc>
      </w:tr>
    </w:tbl>
    <w:p>
      <w:pPr>
        <w:pStyle w:val="Heading4"/>
      </w:pPr>
      <w:r>
        <w:t xml:space="preserve">Verificación de especie con genomas fuera de las referencias</w:t>
      </w:r>
    </w:p>
    <w:p>
      <w:pPr/>
      <w:r>
        <w:t xml:space="preserve">Se armó un sketch de Mash con 13 genomas de referencia (2 de </w:t>
      </w:r>
      <w:r>
        <w:rPr>
          <w:i/>
        </w:rPr>
        <w:t xml:space="preserve">K. pneumoniae</w:t>
      </w:r>
      <w:r>
        <w:t xml:space="preserve"> y una por cada especie cercana o confundible) y se probó con genomas de NCBI que no forman parte de ese conjunto.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87"/>
        <w:gridCol w:w="5772"/>
      </w:tblGrid>
      <w:tr>
        <w:trPr>
          <w:tblHeader/>
        </w:trPr>
        <w:tc>
          <w:tcPr>
            <w:tcW w:w="3587" w:type="dxa"/>
            <w:shd w:val="clear" w:color="auto" w:fill="F2F2F2"/>
          </w:tcPr>
          <w:p>
            <w:pPr/>
            <w:r>
              <w:t xml:space="preserve">Genoma</w:t>
            </w:r>
          </w:p>
        </w:tc>
        <w:tc>
          <w:tcPr>
            <w:tcW w:w="5772" w:type="dxa"/>
            <w:shd w:val="clear" w:color="auto" w:fill="F2F2F2"/>
          </w:tcPr>
          <w:p>
            <w:pPr/>
            <w:r>
              <w:t xml:space="preserve">Resultado de la solicitud</w:t>
            </w:r>
          </w:p>
        </w:tc>
      </w:tr>
      <w:tr>
        <w:tc>
          <w:tcPr>
            <w:tcW w:w="3587" w:type="dxa"/>
          </w:tcPr>
          <w:p>
            <w:pPr/>
            <w:r>
              <w:rPr>
                <w:i/>
              </w:rPr>
              <w:t xml:space="preserve">K. pneumoniae</w:t>
            </w:r>
            <w:r>
              <w:t xml:space="preserve"> MGH 78578</w:t>
            </w:r>
          </w:p>
        </w:tc>
        <w:tc>
          <w:tcPr>
            <w:tcW w:w="5772" w:type="dxa"/>
          </w:tcPr>
          <w:p>
            <w:pPr/>
            <w:r>
              <w:t xml:space="preserve">Aceptada: especie verificada con Mash (distancia 0,0114), locus K KL52 y 5.294 genes</w:t>
            </w:r>
          </w:p>
        </w:tc>
      </w:tr>
      <w:tr>
        <w:tc>
          <w:tcPr>
            <w:tcW w:w="3587" w:type="dxa"/>
          </w:tcPr>
          <w:p>
            <w:pPr/>
            <w:r>
              <w:rPr>
                <w:i/>
              </w:rPr>
              <w:t xml:space="preserve">K. variicola</w:t>
            </w:r>
            <w:r>
              <w:t xml:space="preserve"> JCM 12419</w:t>
            </w:r>
          </w:p>
        </w:tc>
        <w:tc>
          <w:tcPr>
            <w:tcW w:w="5772" w:type="dxa"/>
          </w:tcPr>
          <w:p>
            <w:pPr/>
            <w:r>
              <w:t xml:space="preserve">Rechazada: especie detectada </w:t>
            </w:r>
            <w:r>
              <w:rPr>
                <w:i/>
              </w:rPr>
              <w:t xml:space="preserve">K. variicola</w:t>
            </w:r>
            <w:r>
              <w:t xml:space="preserve"> (distancia 0,0093 a su referencia)</w:t>
            </w:r>
          </w:p>
        </w:tc>
      </w:tr>
      <w:tr>
        <w:tc>
          <w:tcPr>
            <w:tcW w:w="3587" w:type="dxa"/>
          </w:tcPr>
          <w:p>
            <w:pPr/>
            <w:r>
              <w:rPr>
                <w:i/>
              </w:rPr>
              <w:t xml:space="preserve">E. coli</w:t>
            </w:r>
            <w:r>
              <w:t xml:space="preserve"> O157:H7 Sakai</w:t>
            </w:r>
          </w:p>
        </w:tc>
        <w:tc>
          <w:tcPr>
            <w:tcW w:w="5772" w:type="dxa"/>
          </w:tcPr>
          <w:p>
            <w:pPr/>
            <w:r>
              <w:t xml:space="preserve">Rechazada: especie detectada </w:t>
            </w:r>
            <w:r>
              <w:rPr>
                <w:i/>
              </w:rPr>
              <w:t xml:space="preserve">E. coli</w:t>
            </w:r>
            <w:r>
              <w:t xml:space="preserve"> (distancia 0,0225 a su referencia)</w:t>
            </w:r>
          </w:p>
        </w:tc>
      </w:tr>
    </w:tbl>
    <w:p>
      <w:pPr/>
      <w:r>
        <w:t xml:space="preserve">La validación más amplia usó 8 genomas (3 </w:t>
      </w:r>
      <w:r>
        <w:rPr>
          <w:i/>
        </w:rPr>
        <w:t xml:space="preserve">K. pneumoniae</w:t>
      </w:r>
      <w:r>
        <w:t xml:space="preserve">, 2 </w:t>
      </w:r>
      <w:r>
        <w:rPr>
          <w:i/>
        </w:rPr>
        <w:t xml:space="preserve">K. variicola</w:t>
      </w:r>
      <w:r>
        <w:t xml:space="preserve">, 2 </w:t>
      </w:r>
      <w:r>
        <w:rPr>
          <w:i/>
        </w:rPr>
        <w:t xml:space="preserve">K. quasipneumoniae</w:t>
      </w:r>
      <w:r>
        <w:t xml:space="preserve"> y 1 </w:t>
      </w:r>
      <w:r>
        <w:rPr>
          <w:i/>
        </w:rPr>
        <w:t xml:space="preserve">E. coli</w:t>
      </w:r>
      <w:r>
        <w:t xml:space="preserve">) y los 8 se clasificaron bien. Dos de ellos son la misma cepa tipo que ya estaba en las referencias, así que la validación independiente es de 6 genomas: una prueba pequeña, no estadística. Las otras especies del complejo quedan a 0,048–0,056 de </w:t>
      </w:r>
      <w:r>
        <w:rPr>
          <w:i/>
        </w:rPr>
        <w:t xml:space="preserve">K. pneumoniae</w:t>
      </w:r>
      <w:r>
        <w:t xml:space="preserve">, de modo que un umbral de distancia no las separa; decide la referencia más cercana.</w:t>
      </w:r>
    </w:p>
    <w:p>
      <w:pPr>
        <w:pStyle w:val="Heading4"/>
      </w:pPr>
      <w:r>
        <w:t xml:space="preserve">Cómo se resguardó la calidad</w:t>
      </w:r>
    </w:p>
    <w:p>
      <w:pPr>
        <w:pStyle w:val="ListParagraph"/>
        <w:numPr>
          <w:ilvl w:val="0"/>
          <w:numId w:val="3"/>
        </w:numPr>
      </w:pPr>
      <w:r>
        <w:t xml:space="preserve">Las pruebas automatizadas se escribieron junto con cada módulo: 102 pruebas (78 del pipeline y la base de datos, y 24 de la API) que pasan dentro del contenedor.</w:t>
      </w:r>
    </w:p>
    <w:p>
      <w:pPr>
        <w:pStyle w:val="ListParagraph"/>
        <w:numPr>
          <w:ilvl w:val="0"/>
          <w:numId w:val="3"/>
        </w:numPr>
      </w:pPr>
      <w:r>
        <w:t xml:space="preserve">El esquema de datos se versiona con migraciones de Alembic y todo el entorno se levanta desde cero con </w:t>
      </w:r>
      <w:r>
        <w:rPr>
          <w:rStyle w:val="CodeChar"/>
        </w:rPr>
        <w:t xml:space="preserve">docker compose up --build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Las herramientas se verificaron contra un genoma real, y esa verificación reveló y corrigió tres errores: la línea de comandos de Kaptive, la versión de la fuente al repetir la carga y un mensaje de validación falso.</w:t>
      </w:r>
    </w:p>
    <w:p>
      <w:pPr>
        <w:pStyle w:val="ListParagraph"/>
        <w:numPr>
          <w:ilvl w:val="0"/>
          <w:numId w:val="3"/>
        </w:numPr>
      </w:pPr>
      <w:r>
        <w:t xml:space="preserve">Cada análisis guarda la versión de las herramientas que lo produjeron.</w:t>
      </w:r>
    </w:p>
    <w:p>
      <w:pPr>
        <w:pStyle w:val="ListParagraph"/>
        <w:numPr>
          <w:ilvl w:val="0"/>
          <w:numId w:val="3"/>
        </w:numPr>
      </w:pPr>
      <w:r>
        <w:t xml:space="preserve">Los límites se declaran: la validación de la especie es pequeña (6 genomas independientes), los umbrales de calidad son valores iniciales sin calibrar y la longitud de los fagos viene en KB redondeados desde la fuente.</w:t>
      </w:r>
    </w:p>
    <w:p>
      <w:pPr>
        <w:pStyle w:val="ListParagraph"/>
        <w:numPr>
          <w:ilvl w:val="0"/>
          <w:numId w:val="3"/>
        </w:numPr>
      </w:pPr>
      <w:r>
        <w:t xml:space="preserve">Las credenciales quedan fuera del repositorio: el archivo </w:t>
      </w:r>
      <w:r>
        <w:rPr>
          <w:rStyle w:val="CodeChar"/>
        </w:rPr>
        <w:t xml:space="preserve">.env</w:t>
      </w:r>
      <w:r>
        <w:t xml:space="preserve"> está ignorado por Git.</w:t>
      </w:r>
    </w:p>
    <w:p>
      <w:pPr>
        <w:pStyle w:val="Heading2"/>
      </w:pPr>
      <w:r>
        <w:t xml:space="preserve">2. Monitoreo del plan de trabajo</w:t>
      </w:r>
    </w:p>
    <w:p>
      <w:pPr/>
      <w:r>
        <w:t xml:space="preserve">De las 18 filas del plan, 8 están completadas, 5 en curso, 1 con retraso y 4 sin iniciar; el responsable de todas las actividades es Johao Ramírez, por ser un proyecto individual.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Actividad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OE y competencia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Recursos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Duración planificada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Estado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Observaciones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Ajustes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1.1 Repositorio público, estructura y Docker base</w:t>
            </w:r>
          </w:p>
        </w:tc>
        <w:tc>
          <w:tcPr>
            <w:tcW w:w="1337" w:type="dxa"/>
          </w:tcPr>
          <w:p>
            <w:pPr/>
            <w:r>
              <w:t xml:space="preserve">OE1 · requisitos y diseño</w:t>
            </w:r>
          </w:p>
        </w:tc>
        <w:tc>
          <w:tcPr>
            <w:tcW w:w="1337" w:type="dxa"/>
          </w:tcPr>
          <w:p>
            <w:pPr/>
            <w:r>
              <w:t xml:space="preserve">GitHub, Docker</w:t>
            </w:r>
          </w:p>
        </w:tc>
        <w:tc>
          <w:tcPr>
            <w:tcW w:w="1337" w:type="dxa"/>
          </w:tcPr>
          <w:p>
            <w:pPr/>
            <w:r>
              <w:t xml:space="preserve">Semana 5</w:t>
            </w:r>
          </w:p>
        </w:tc>
        <w:tc>
          <w:tcPr>
            <w:tcW w:w="1337" w:type="dxa"/>
          </w:tcPr>
          <w:p>
            <w:pPr/>
            <w:r>
              <w:t xml:space="preserve">Con retraso</w:t>
            </w:r>
          </w:p>
        </w:tc>
        <w:tc>
          <w:tcPr>
            <w:tcW w:w="1337" w:type="dxa"/>
          </w:tcPr>
          <w:p>
            <w:pPr/>
            <w:r>
              <w:t xml:space="preserve">La estructura del repositorio y el docker-compose existen y funcionan; el repositorio aún no está publicado en la cuenta institucional</w:t>
            </w:r>
          </w:p>
        </w:tc>
        <w:tc>
          <w:tcPr>
            <w:tcW w:w="1337" w:type="dxa"/>
          </w:tcPr>
          <w:p>
            <w:pPr/>
            <w:r>
              <w:t xml:space="preserve">Publicarlo cuando se confirme su URL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1.2 Levantamiento de requisitos, roles y permisos</w:t>
            </w:r>
          </w:p>
        </w:tc>
        <w:tc>
          <w:tcPr>
            <w:tcW w:w="1337" w:type="dxa"/>
          </w:tcPr>
          <w:p>
            <w:pPr/>
            <w:r>
              <w:t xml:space="preserve">OE1 · requisitos y diseño</w:t>
            </w:r>
          </w:p>
        </w:tc>
        <w:tc>
          <w:tcPr>
            <w:tcW w:w="1337" w:type="dxa"/>
          </w:tcPr>
          <w:p>
            <w:pPr/>
            <w:r>
              <w:t xml:space="preserve">Literatura de terapia fágica</w:t>
            </w:r>
          </w:p>
        </w:tc>
        <w:tc>
          <w:tcPr>
            <w:tcW w:w="1337" w:type="dxa"/>
          </w:tcPr>
          <w:p>
            <w:pPr/>
            <w:r>
              <w:t xml:space="preserve">Semanas 5 y 6</w:t>
            </w:r>
          </w:p>
        </w:tc>
        <w:tc>
          <w:tcPr>
            <w:tcW w:w="1337" w:type="dxa"/>
          </w:tcPr>
          <w:p>
            <w:pPr/>
            <w:r>
              <w:t xml:space="preserve">Completado</w:t>
            </w:r>
          </w:p>
        </w:tc>
        <w:tc>
          <w:tcPr>
            <w:tcW w:w="1337" w:type="dxa"/>
          </w:tcPr>
          <w:p>
            <w:pPr/>
            <w:r>
              <w:t xml:space="preserve">Realizado en la semana 12. Cinco roles y matriz de permisos definidos</w:t>
            </w:r>
          </w:p>
        </w:tc>
        <w:tc>
          <w:tcPr>
            <w:tcW w:w="1337" w:type="dxa"/>
          </w:tcPr>
          <w:p>
            <w:pPr/>
            <w:r>
              <w:t xml:space="preserve">Ninguno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1.3 SRS: RF, RNF e historias por rol</w:t>
            </w:r>
          </w:p>
        </w:tc>
        <w:tc>
          <w:tcPr>
            <w:tcW w:w="1337" w:type="dxa"/>
          </w:tcPr>
          <w:p>
            <w:pPr/>
            <w:r>
              <w:t xml:space="preserve">OE1 · requisitos y diseño</w:t>
            </w:r>
          </w:p>
        </w:tc>
        <w:tc>
          <w:tcPr>
            <w:tcW w:w="1337" w:type="dxa"/>
          </w:tcPr>
          <w:p>
            <w:pPr/>
            <w:r>
              <w:t xml:space="preserve">Literatura de terapia fágica</w:t>
            </w:r>
          </w:p>
        </w:tc>
        <w:tc>
          <w:tcPr>
            <w:tcW w:w="1337" w:type="dxa"/>
          </w:tcPr>
          <w:p>
            <w:pPr/>
            <w:r>
              <w:t xml:space="preserve">Semanas 5 y 6</w:t>
            </w:r>
          </w:p>
        </w:tc>
        <w:tc>
          <w:tcPr>
            <w:tcW w:w="1337" w:type="dxa"/>
          </w:tcPr>
          <w:p>
            <w:pPr/>
            <w:r>
              <w:t xml:space="preserve">Completado</w:t>
            </w:r>
          </w:p>
        </w:tc>
        <w:tc>
          <w:tcPr>
            <w:tcW w:w="1337" w:type="dxa"/>
          </w:tcPr>
          <w:p>
            <w:pPr/>
            <w:r>
              <w:t xml:space="preserve">Realizado en la semana 12 como versión 0.2; falta la aprobación de la puerta de control</w:t>
            </w:r>
          </w:p>
        </w:tc>
        <w:tc>
          <w:tcPr>
            <w:tcW w:w="1337" w:type="dxa"/>
          </w:tcPr>
          <w:p>
            <w:pPr/>
            <w:r>
              <w:t xml:space="preserve">Control de cambios desde la aprobación; solicitud SC-01 propuesta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2.1 Arquitectura y diagrama de componentes</w:t>
            </w:r>
          </w:p>
        </w:tc>
        <w:tc>
          <w:tcPr>
            <w:tcW w:w="1337" w:type="dxa"/>
          </w:tcPr>
          <w:p>
            <w:pPr/>
            <w:r>
              <w:t xml:space="preserve">OE1 · requisitos y diseño</w:t>
            </w:r>
          </w:p>
        </w:tc>
        <w:tc>
          <w:tcPr>
            <w:tcW w:w="1337" w:type="dxa"/>
          </w:tcPr>
          <w:p>
            <w:pPr/>
            <w:r>
              <w:t xml:space="preserve">Herramientas de modelado</w:t>
            </w:r>
          </w:p>
        </w:tc>
        <w:tc>
          <w:tcPr>
            <w:tcW w:w="1337" w:type="dxa"/>
          </w:tcPr>
          <w:p>
            <w:pPr/>
            <w:r>
              <w:t xml:space="preserve">Semana 6</w:t>
            </w:r>
          </w:p>
        </w:tc>
        <w:tc>
          <w:tcPr>
            <w:tcW w:w="1337" w:type="dxa"/>
          </w:tcPr>
          <w:p>
            <w:pPr/>
            <w:r>
              <w:t xml:space="preserve">Completado</w:t>
            </w:r>
          </w:p>
        </w:tc>
        <w:tc>
          <w:tcPr>
            <w:tcW w:w="1337" w:type="dxa"/>
          </w:tcPr>
          <w:p>
            <w:pPr/>
            <w:r>
              <w:t xml:space="preserve">Realizado en la semana 12. Vista de despliegue, componentes y 14 decisiones documentadas</w:t>
            </w:r>
          </w:p>
        </w:tc>
        <w:tc>
          <w:tcPr>
            <w:tcW w:w="1337" w:type="dxa"/>
          </w:tcPr>
          <w:p>
            <w:pPr/>
            <w:r>
              <w:t xml:space="preserve">Ninguno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2.2 Modelo ER de PostgreSQL y esquema de MongoDB</w:t>
            </w:r>
          </w:p>
        </w:tc>
        <w:tc>
          <w:tcPr>
            <w:tcW w:w="1337" w:type="dxa"/>
          </w:tcPr>
          <w:p>
            <w:pPr/>
            <w:r>
              <w:t xml:space="preserve">OE1 · requisitos y diseño</w:t>
            </w:r>
          </w:p>
        </w:tc>
        <w:tc>
          <w:tcPr>
            <w:tcW w:w="1337" w:type="dxa"/>
          </w:tcPr>
          <w:p>
            <w:pPr/>
            <w:r>
              <w:t xml:space="preserve">Herramientas de modelado</w:t>
            </w:r>
          </w:p>
        </w:tc>
        <w:tc>
          <w:tcPr>
            <w:tcW w:w="1337" w:type="dxa"/>
          </w:tcPr>
          <w:p>
            <w:pPr/>
            <w:r>
              <w:t xml:space="preserve">Semanas 6 y 7</w:t>
            </w:r>
          </w:p>
        </w:tc>
        <w:tc>
          <w:tcPr>
            <w:tcW w:w="1337" w:type="dxa"/>
          </w:tcPr>
          <w:p>
            <w:pPr/>
            <w:r>
              <w:t xml:space="preserve">Completado</w:t>
            </w:r>
          </w:p>
        </w:tc>
        <w:tc>
          <w:tcPr>
            <w:tcW w:w="1337" w:type="dxa"/>
          </w:tcPr>
          <w:p>
            <w:pPr/>
            <w:r>
              <w:t xml:space="preserve">Realizado en la semana 12: 24 tablas y 4 colecciones. En el corte funcional ya hay 12 tablas migradas</w:t>
            </w:r>
          </w:p>
        </w:tc>
        <w:tc>
          <w:tcPr>
            <w:tcW w:w="1337" w:type="dxa"/>
          </w:tcPr>
          <w:p>
            <w:pPr/>
            <w:r>
              <w:t xml:space="preserve">Ninguno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2.3 Diagramas UML</w:t>
            </w:r>
          </w:p>
        </w:tc>
        <w:tc>
          <w:tcPr>
            <w:tcW w:w="1337" w:type="dxa"/>
          </w:tcPr>
          <w:p>
            <w:pPr/>
            <w:r>
              <w:t xml:space="preserve">OE1 · requisitos y diseño</w:t>
            </w:r>
          </w:p>
        </w:tc>
        <w:tc>
          <w:tcPr>
            <w:tcW w:w="1337" w:type="dxa"/>
          </w:tcPr>
          <w:p>
            <w:pPr/>
            <w:r>
              <w:t xml:space="preserve">Herramientas de modelado</w:t>
            </w:r>
          </w:p>
        </w:tc>
        <w:tc>
          <w:tcPr>
            <w:tcW w:w="1337" w:type="dxa"/>
          </w:tcPr>
          <w:p>
            <w:pPr/>
            <w:r>
              <w:t xml:space="preserve">Semana 7</w:t>
            </w:r>
          </w:p>
        </w:tc>
        <w:tc>
          <w:tcPr>
            <w:tcW w:w="1337" w:type="dxa"/>
          </w:tcPr>
          <w:p>
            <w:pPr/>
            <w:r>
              <w:t xml:space="preserve">Completado</w:t>
            </w:r>
          </w:p>
        </w:tc>
        <w:tc>
          <w:tcPr>
            <w:tcW w:w="1337" w:type="dxa"/>
          </w:tcPr>
          <w:p>
            <w:pPr/>
            <w:r>
              <w:t xml:space="preserve">Realizado en la semana 12: casos de uso, clases, secuencia y componentes</w:t>
            </w:r>
          </w:p>
        </w:tc>
        <w:tc>
          <w:tcPr>
            <w:tcW w:w="1337" w:type="dxa"/>
          </w:tcPr>
          <w:p>
            <w:pPr/>
            <w:r>
              <w:t xml:space="preserve">Ninguno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2.4 Documento de Diseño y plan de pruebas</w:t>
            </w:r>
          </w:p>
        </w:tc>
        <w:tc>
          <w:tcPr>
            <w:tcW w:w="1337" w:type="dxa"/>
          </w:tcPr>
          <w:p>
            <w:pPr/>
            <w:r>
              <w:t xml:space="preserve">OE1 · requisitos y diseño</w:t>
            </w:r>
          </w:p>
        </w:tc>
        <w:tc>
          <w:tcPr>
            <w:tcW w:w="1337" w:type="dxa"/>
          </w:tcPr>
          <w:p>
            <w:pPr/>
            <w:r>
              <w:t xml:space="preserve">Herramientas de modelado</w:t>
            </w:r>
          </w:p>
        </w:tc>
        <w:tc>
          <w:tcPr>
            <w:tcW w:w="1337" w:type="dxa"/>
          </w:tcPr>
          <w:p>
            <w:pPr/>
            <w:r>
              <w:t xml:space="preserve">Semana 7</w:t>
            </w:r>
          </w:p>
        </w:tc>
        <w:tc>
          <w:tcPr>
            <w:tcW w:w="1337" w:type="dxa"/>
          </w:tcPr>
          <w:p>
            <w:pPr/>
            <w:r>
              <w:t xml:space="preserve">Completado</w:t>
            </w:r>
          </w:p>
        </w:tc>
        <w:tc>
          <w:tcPr>
            <w:tcW w:w="1337" w:type="dxa"/>
          </w:tcPr>
          <w:p>
            <w:pPr/>
            <w:r>
              <w:t xml:space="preserve">Realizado en la semana 12 como versión 0.2, con 60 casos de prueba y 10 puntos técnicos abiertos</w:t>
            </w:r>
          </w:p>
        </w:tc>
        <w:tc>
          <w:tcPr>
            <w:tcW w:w="1337" w:type="dxa"/>
          </w:tcPr>
          <w:p>
            <w:pPr/>
            <w:r>
              <w:t xml:space="preserve">Los puntos abiertos se resuelven con prototipos en la etapa 3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3.1 Descarga y normalización de genomas de fagos</w:t>
            </w:r>
          </w:p>
        </w:tc>
        <w:tc>
          <w:tcPr>
            <w:tcW w:w="1337" w:type="dxa"/>
          </w:tcPr>
          <w:p>
            <w:pPr/>
            <w:r>
              <w:t xml:space="preserve">OE2 · construcción y datos</w:t>
            </w:r>
          </w:p>
        </w:tc>
        <w:tc>
          <w:tcPr>
            <w:tcW w:w="1337" w:type="dxa"/>
          </w:tcPr>
          <w:p>
            <w:pPr/>
            <w:r>
              <w:t xml:space="preserve">INPHARED, PhageScope, Biopython</w:t>
            </w:r>
          </w:p>
        </w:tc>
        <w:tc>
          <w:tcPr>
            <w:tcW w:w="1337" w:type="dxa"/>
          </w:tcPr>
          <w:p>
            <w:pPr/>
            <w:r>
              <w:t xml:space="preserve">Semana 8</w:t>
            </w:r>
          </w:p>
        </w:tc>
        <w:tc>
          <w:tcPr>
            <w:tcW w:w="1337" w:type="dxa"/>
          </w:tcPr>
          <w:p>
            <w:pPr/>
            <w:r>
              <w:t xml:space="preserve">En curso</w:t>
            </w:r>
          </w:p>
        </w:tc>
        <w:tc>
          <w:tcPr>
            <w:tcW w:w="1337" w:type="dxa"/>
          </w:tcPr>
          <w:p>
            <w:pPr/>
            <w:r>
              <w:t xml:space="preserve">Se cargó la tabla de metadatos de INPHARED (200 fagos). Faltan los genomas FASTA y las fuentes PhageScope y </w:t>
            </w:r>
            <w:r>
              <w:rPr>
                <w:i/>
              </w:rPr>
              <w:t xml:space="preserve">Microbe Versus Phage</w:t>
            </w:r>
          </w:p>
        </w:tc>
        <w:tc>
          <w:tcPr>
            <w:tcW w:w="1337" w:type="dxa"/>
          </w:tcPr>
          <w:p>
            <w:pPr/>
            <w:r>
              <w:t xml:space="preserve">INPHARED pasó a INPHARED2: se usa la tabla de abril 2026 mientras no haya otra descargable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3.2 Ingesta de aislados: validación y calidad</w:t>
            </w:r>
          </w:p>
        </w:tc>
        <w:tc>
          <w:tcPr>
            <w:tcW w:w="1337" w:type="dxa"/>
          </w:tcPr>
          <w:p>
            <w:pPr/>
            <w:r>
              <w:t xml:space="preserve">OE2 · construcción y datos</w:t>
            </w:r>
          </w:p>
        </w:tc>
        <w:tc>
          <w:tcPr>
            <w:tcW w:w="1337" w:type="dxa"/>
          </w:tcPr>
          <w:p>
            <w:pPr/>
            <w:r>
              <w:t xml:space="preserve">Python, pytest</w:t>
            </w:r>
          </w:p>
        </w:tc>
        <w:tc>
          <w:tcPr>
            <w:tcW w:w="1337" w:type="dxa"/>
          </w:tcPr>
          <w:p>
            <w:pPr/>
            <w:r>
              <w:t xml:space="preserve">Semana 8</w:t>
            </w:r>
          </w:p>
        </w:tc>
        <w:tc>
          <w:tcPr>
            <w:tcW w:w="1337" w:type="dxa"/>
          </w:tcPr>
          <w:p>
            <w:pPr/>
            <w:r>
              <w:t xml:space="preserve">Completado</w:t>
            </w:r>
          </w:p>
        </w:tc>
        <w:tc>
          <w:tcPr>
            <w:tcW w:w="1337" w:type="dxa"/>
          </w:tcPr>
          <w:p>
            <w:pPr/>
            <w:r>
              <w:t xml:space="preserve">Validación de FASTA y calidad (longitud, contigs, N50, GC y ambiguas), probadas con HS11286. Planificada para la semana 8</w:t>
            </w:r>
          </w:p>
        </w:tc>
        <w:tc>
          <w:tcPr>
            <w:tcW w:w="1337" w:type="dxa"/>
          </w:tcPr>
          <w:p>
            <w:pPr/>
            <w:r>
              <w:t xml:space="preserve">Calibrar los umbrales con más genomas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3.3 Especie y locus K</w:t>
            </w:r>
          </w:p>
        </w:tc>
        <w:tc>
          <w:tcPr>
            <w:tcW w:w="1337" w:type="dxa"/>
          </w:tcPr>
          <w:p>
            <w:pPr/>
            <w:r>
              <w:t xml:space="preserve">OE2 · construcción y datos</w:t>
            </w:r>
          </w:p>
        </w:tc>
        <w:tc>
          <w:tcPr>
            <w:tcW w:w="1337" w:type="dxa"/>
          </w:tcPr>
          <w:p>
            <w:pPr/>
            <w:r>
              <w:t xml:space="preserve">Kaptive, Mash</w:t>
            </w:r>
          </w:p>
        </w:tc>
        <w:tc>
          <w:tcPr>
            <w:tcW w:w="1337" w:type="dxa"/>
          </w:tcPr>
          <w:p>
            <w:pPr/>
            <w:r>
              <w:t xml:space="preserve">Semana 9</w:t>
            </w:r>
          </w:p>
        </w:tc>
        <w:tc>
          <w:tcPr>
            <w:tcW w:w="1337" w:type="dxa"/>
          </w:tcPr>
          <w:p>
            <w:pPr/>
            <w:r>
              <w:t xml:space="preserve">Completado</w:t>
            </w:r>
          </w:p>
        </w:tc>
        <w:tc>
          <w:tcPr>
            <w:tcW w:w="1337" w:type="dxa"/>
          </w:tcPr>
          <w:p>
            <w:pPr/>
            <w:r>
              <w:t xml:space="preserve">Locus K con Kaptive 3.3.2 y especie con Mash contra 13 referencias, ambos probados con genomas reales. La validación de la especie es pequeña (6 genomas independientes)</w:t>
            </w:r>
          </w:p>
        </w:tc>
        <w:tc>
          <w:tcPr>
            <w:tcW w:w="1337" w:type="dxa"/>
          </w:tcPr>
          <w:p>
            <w:pPr/>
            <w:r>
              <w:t xml:space="preserve">Ampliar la validación de la especie con más genomas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3.4 Genes y proteínas de unión al receptor</w:t>
            </w:r>
          </w:p>
        </w:tc>
        <w:tc>
          <w:tcPr>
            <w:tcW w:w="1337" w:type="dxa"/>
          </w:tcPr>
          <w:p>
            <w:pPr/>
            <w:r>
              <w:t xml:space="preserve">OE2 · construcción y datos</w:t>
            </w:r>
          </w:p>
        </w:tc>
        <w:tc>
          <w:tcPr>
            <w:tcW w:w="1337" w:type="dxa"/>
          </w:tcPr>
          <w:p>
            <w:pPr/>
            <w:r>
              <w:t xml:space="preserve">Prodigal, DIAMOND</w:t>
            </w:r>
          </w:p>
        </w:tc>
        <w:tc>
          <w:tcPr>
            <w:tcW w:w="1337" w:type="dxa"/>
          </w:tcPr>
          <w:p>
            <w:pPr/>
            <w:r>
              <w:t xml:space="preserve">Semana 9</w:t>
            </w:r>
          </w:p>
        </w:tc>
        <w:tc>
          <w:tcPr>
            <w:tcW w:w="1337" w:type="dxa"/>
          </w:tcPr>
          <w:p>
            <w:pPr/>
            <w:r>
              <w:t xml:space="preserve">En curso</w:t>
            </w:r>
          </w:p>
        </w:tc>
        <w:tc>
          <w:tcPr>
            <w:tcW w:w="1337" w:type="dxa"/>
          </w:tcPr>
          <w:p>
            <w:pPr/>
            <w:r>
              <w:t xml:space="preserve">5.455 genes con Prodigal; falta detectar las proteínas de unión al receptor</w:t>
            </w:r>
          </w:p>
        </w:tc>
        <w:tc>
          <w:tcPr>
            <w:tcW w:w="1337" w:type="dxa"/>
          </w:tcPr>
          <w:p>
            <w:pPr/>
            <w:r>
              <w:t xml:space="preserve">Detección por anotación y homología, según el diseño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3.5 Carga del banco y empaquetado en Docker</w:t>
            </w:r>
          </w:p>
        </w:tc>
        <w:tc>
          <w:tcPr>
            <w:tcW w:w="1337" w:type="dxa"/>
          </w:tcPr>
          <w:p>
            <w:pPr/>
            <w:r>
              <w:t xml:space="preserve">OE2 · construcción y datos</w:t>
            </w:r>
          </w:p>
        </w:tc>
        <w:tc>
          <w:tcPr>
            <w:tcW w:w="1337" w:type="dxa"/>
          </w:tcPr>
          <w:p>
            <w:pPr/>
            <w:r>
              <w:t xml:space="preserve">PostgreSQL, MongoDB, Docker</w:t>
            </w:r>
          </w:p>
        </w:tc>
        <w:tc>
          <w:tcPr>
            <w:tcW w:w="1337" w:type="dxa"/>
          </w:tcPr>
          <w:p>
            <w:pPr/>
            <w:r>
              <w:t xml:space="preserve">Semanas 9 y 10</w:t>
            </w:r>
          </w:p>
        </w:tc>
        <w:tc>
          <w:tcPr>
            <w:tcW w:w="1337" w:type="dxa"/>
          </w:tcPr>
          <w:p>
            <w:pPr/>
            <w:r>
              <w:t xml:space="preserve">En curso</w:t>
            </w:r>
          </w:p>
        </w:tc>
        <w:tc>
          <w:tcPr>
            <w:tcW w:w="1337" w:type="dxa"/>
          </w:tcPr>
          <w:p>
            <w:pPr/>
            <w:r>
              <w:t xml:space="preserve">Banco cargado y empaquetado en Docker; los 200 fagos siguen pendientes de curaduría</w:t>
            </w:r>
          </w:p>
        </w:tc>
        <w:tc>
          <w:tcPr>
            <w:tcW w:w="1337" w:type="dxa"/>
          </w:tcPr>
          <w:p>
            <w:pPr/>
            <w:r>
              <w:t xml:space="preserve">Ninguno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3.6 Integración del pipeline e Informe de Avance</w:t>
            </w:r>
          </w:p>
        </w:tc>
        <w:tc>
          <w:tcPr>
            <w:tcW w:w="1337" w:type="dxa"/>
          </w:tcPr>
          <w:p>
            <w:pPr/>
            <w:r>
              <w:t xml:space="preserve">OE2 · construcción y datos</w:t>
            </w:r>
          </w:p>
        </w:tc>
        <w:tc>
          <w:tcPr>
            <w:tcW w:w="1337" w:type="dxa"/>
          </w:tcPr>
          <w:p>
            <w:pPr/>
            <w:r>
              <w:t xml:space="preserve">Docker, pytest</w:t>
            </w:r>
          </w:p>
        </w:tc>
        <w:tc>
          <w:tcPr>
            <w:tcW w:w="1337" w:type="dxa"/>
          </w:tcPr>
          <w:p>
            <w:pPr/>
            <w:r>
              <w:t xml:space="preserve">Semana 10</w:t>
            </w:r>
          </w:p>
        </w:tc>
        <w:tc>
          <w:tcPr>
            <w:tcW w:w="1337" w:type="dxa"/>
          </w:tcPr>
          <w:p>
            <w:pPr/>
            <w:r>
              <w:t xml:space="preserve">En curso</w:t>
            </w:r>
          </w:p>
        </w:tc>
        <w:tc>
          <w:tcPr>
            <w:tcW w:w="1337" w:type="dxa"/>
          </w:tcPr>
          <w:p>
            <w:pPr/>
            <w:r>
              <w:t xml:space="preserve">Pipeline integrado con cola de trabajos y worker; este informe es parte de la actividad</w:t>
            </w:r>
          </w:p>
        </w:tc>
        <w:tc>
          <w:tcPr>
            <w:tcW w:w="1337" w:type="dxa"/>
          </w:tcPr>
          <w:p>
            <w:pPr/>
            <w:r>
              <w:t xml:space="preserve">Ninguno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3.7 a 3.9 Modelo de predicción</w:t>
            </w:r>
          </w:p>
        </w:tc>
        <w:tc>
          <w:tcPr>
            <w:tcW w:w="1337" w:type="dxa"/>
          </w:tcPr>
          <w:p>
            <w:pPr/>
            <w:r>
              <w:t xml:space="preserve">OE3 · minería de datos</w:t>
            </w:r>
          </w:p>
        </w:tc>
        <w:tc>
          <w:tcPr>
            <w:tcW w:w="1337" w:type="dxa"/>
          </w:tcPr>
          <w:p>
            <w:pPr/>
            <w:r>
              <w:t xml:space="preserve">ESM-2, XGBoost, SHAP</w:t>
            </w:r>
          </w:p>
        </w:tc>
        <w:tc>
          <w:tcPr>
            <w:tcW w:w="1337" w:type="dxa"/>
          </w:tcPr>
          <w:p>
            <w:pPr/>
            <w:r>
              <w:t xml:space="preserve">Semanas 11 y 12</w:t>
            </w:r>
          </w:p>
        </w:tc>
        <w:tc>
          <w:tcPr>
            <w:tcW w:w="1337" w:type="dxa"/>
          </w:tcPr>
          <w:p>
            <w:pPr/>
            <w:r>
              <w:t xml:space="preserve">No iniciado</w:t>
            </w:r>
          </w:p>
        </w:tc>
        <w:tc>
          <w:tcPr>
            <w:tcW w:w="1337" w:type="dxa"/>
          </w:tcPr>
          <w:p>
            <w:pPr/>
            <w:r>
              <w:t xml:space="preserve">Debía iniciar en la semana 11; el tiempo lo consumieron las etapas 1 y 2 y la preparación del entorno</w:t>
            </w:r>
          </w:p>
        </w:tc>
        <w:tc>
          <w:tcPr>
            <w:tcW w:w="1337" w:type="dxa"/>
          </w:tcPr>
          <w:p>
            <w:pPr/>
            <w:r>
              <w:t xml:space="preserve">Ver sección 3.3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3.10 a 3.13 Plataforma web</w:t>
            </w:r>
          </w:p>
        </w:tc>
        <w:tc>
          <w:tcPr>
            <w:tcW w:w="1337" w:type="dxa"/>
          </w:tcPr>
          <w:p>
            <w:pPr/>
            <w:r>
              <w:t xml:space="preserve">OE4 · web, seguridad y BI</w:t>
            </w:r>
          </w:p>
        </w:tc>
        <w:tc>
          <w:tcPr>
            <w:tcW w:w="1337" w:type="dxa"/>
          </w:tcPr>
          <w:p>
            <w:pPr/>
            <w:r>
              <w:t xml:space="preserve">FastAPI, Next.js, Recharts</w:t>
            </w:r>
          </w:p>
        </w:tc>
        <w:tc>
          <w:tcPr>
            <w:tcW w:w="1337" w:type="dxa"/>
          </w:tcPr>
          <w:p>
            <w:pPr/>
            <w:r>
              <w:t xml:space="preserve">Semanas 13 y 14</w:t>
            </w:r>
          </w:p>
        </w:tc>
        <w:tc>
          <w:tcPr>
            <w:tcW w:w="1337" w:type="dxa"/>
          </w:tcPr>
          <w:p>
            <w:pPr/>
            <w:r>
              <w:t xml:space="preserve">En curso</w:t>
            </w:r>
          </w:p>
        </w:tc>
        <w:tc>
          <w:tcPr>
            <w:tcW w:w="1337" w:type="dxa"/>
          </w:tcPr>
          <w:p>
            <w:pPr/>
            <w:r>
              <w:t xml:space="preserve">Se adelantó un corte mínimo: API de 9 endpoints y web de registro, seguimiento y resultados, sin autenticación, validación, emisión ni tablero. El resto sigue planificado desde la semana 13 y depende del flujo vertical mínimo</w:t>
            </w:r>
          </w:p>
        </w:tc>
        <w:tc>
          <w:tcPr>
            <w:tcW w:w="1337" w:type="dxa"/>
          </w:tcPr>
          <w:p>
            <w:pPr/>
            <w:r>
              <w:t xml:space="preserve">Construir primero el flujo vertical mínimo (ajuste propuesto)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3.14 App móvil</w:t>
            </w:r>
          </w:p>
        </w:tc>
        <w:tc>
          <w:tcPr>
            <w:tcW w:w="1337" w:type="dxa"/>
          </w:tcPr>
          <w:p>
            <w:pPr/>
            <w:r>
              <w:t xml:space="preserve">OE5 · móvil y calidad</w:t>
            </w:r>
          </w:p>
        </w:tc>
        <w:tc>
          <w:tcPr>
            <w:tcW w:w="1337" w:type="dxa"/>
          </w:tcPr>
          <w:p>
            <w:pPr/>
            <w:r>
              <w:t xml:space="preserve">React Native</w:t>
            </w:r>
          </w:p>
        </w:tc>
        <w:tc>
          <w:tcPr>
            <w:tcW w:w="1337" w:type="dxa"/>
          </w:tcPr>
          <w:p>
            <w:pPr/>
            <w:r>
              <w:t xml:space="preserve">Semana 14</w:t>
            </w:r>
          </w:p>
        </w:tc>
        <w:tc>
          <w:tcPr>
            <w:tcW w:w="1337" w:type="dxa"/>
          </w:tcPr>
          <w:p>
            <w:pPr/>
            <w:r>
              <w:t xml:space="preserve">No iniciado</w:t>
            </w:r>
          </w:p>
        </w:tc>
        <w:tc>
          <w:tcPr>
            <w:tcW w:w="1337" w:type="dxa"/>
          </w:tcPr>
          <w:p>
            <w:pPr/>
            <w:r>
              <w:t xml:space="preserve">Planificada en la semana 14</w:t>
            </w:r>
          </w:p>
        </w:tc>
        <w:tc>
          <w:tcPr>
            <w:tcW w:w="1337" w:type="dxa"/>
          </w:tcPr>
          <w:p>
            <w:pPr/>
            <w:r>
              <w:t xml:space="preserve">Acotada a consulta y alertas, sin notificaciones push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4.1 a 4.4 Pruebas e Informe Final</w:t>
            </w:r>
          </w:p>
        </w:tc>
        <w:tc>
          <w:tcPr>
            <w:tcW w:w="1337" w:type="dxa"/>
          </w:tcPr>
          <w:p>
            <w:pPr/>
            <w:r>
              <w:t xml:space="preserve">OE5 · móvil y calidad</w:t>
            </w:r>
          </w:p>
        </w:tc>
        <w:tc>
          <w:tcPr>
            <w:tcW w:w="1337" w:type="dxa"/>
          </w:tcPr>
          <w:p>
            <w:pPr/>
            <w:r>
              <w:t xml:space="preserve">pytest, Playwright, GitHub Actions</w:t>
            </w:r>
          </w:p>
        </w:tc>
        <w:tc>
          <w:tcPr>
            <w:tcW w:w="1337" w:type="dxa"/>
          </w:tcPr>
          <w:p>
            <w:pPr/>
            <w:r>
              <w:t xml:space="preserve">Semana 15</w:t>
            </w:r>
          </w:p>
        </w:tc>
        <w:tc>
          <w:tcPr>
            <w:tcW w:w="1337" w:type="dxa"/>
          </w:tcPr>
          <w:p>
            <w:pPr/>
            <w:r>
              <w:t xml:space="preserve">No iniciado</w:t>
            </w:r>
          </w:p>
        </w:tc>
        <w:tc>
          <w:tcPr>
            <w:tcW w:w="1337" w:type="dxa"/>
          </w:tcPr>
          <w:p>
            <w:pPr/>
            <w:r>
              <w:t xml:space="preserve">Ya existen 102 pruebas unitarias y de integración de los módulos construidos</w:t>
            </w:r>
          </w:p>
        </w:tc>
        <w:tc>
          <w:tcPr>
            <w:tcW w:w="1337" w:type="dxa"/>
          </w:tcPr>
          <w:p>
            <w:pPr/>
            <w:r>
              <w:t xml:space="preserve">Ninguno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5.1 a 5.4 Despliegue y cierre</w:t>
            </w:r>
          </w:p>
        </w:tc>
        <w:tc>
          <w:tcPr>
            <w:tcW w:w="1337" w:type="dxa"/>
          </w:tcPr>
          <w:p>
            <w:pPr/>
            <w:r>
              <w:t xml:space="preserve">Todos</w:t>
            </w:r>
          </w:p>
        </w:tc>
        <w:tc>
          <w:tcPr>
            <w:tcW w:w="1337" w:type="dxa"/>
          </w:tcPr>
          <w:p>
            <w:pPr/>
            <w:r>
              <w:t xml:space="preserve">Docker, GitHub</w:t>
            </w:r>
          </w:p>
        </w:tc>
        <w:tc>
          <w:tcPr>
            <w:tcW w:w="1337" w:type="dxa"/>
          </w:tcPr>
          <w:p>
            <w:pPr/>
            <w:r>
              <w:t xml:space="preserve">Semanas 16 a 18</w:t>
            </w:r>
          </w:p>
        </w:tc>
        <w:tc>
          <w:tcPr>
            <w:tcW w:w="1337" w:type="dxa"/>
          </w:tcPr>
          <w:p>
            <w:pPr/>
            <w:r>
              <w:t xml:space="preserve">No iniciado</w:t>
            </w:r>
          </w:p>
        </w:tc>
        <w:tc>
          <w:tcPr>
            <w:tcW w:w="1337" w:type="dxa"/>
          </w:tcPr>
          <w:p>
            <w:pPr/>
            <w:r>
              <w:t xml:space="preserve">Planificado para las semanas 16 a 18</w:t>
            </w:r>
          </w:p>
        </w:tc>
        <w:tc>
          <w:tcPr>
            <w:tcW w:w="1337" w:type="dxa"/>
          </w:tcPr>
          <w:p>
            <w:pPr/>
            <w:r>
              <w:t xml:space="preserve">Ninguno</w:t>
            </w:r>
          </w:p>
        </w:tc>
      </w:tr>
    </w:tbl>
    <w:p>
      <w:pPr>
        <w:pStyle w:val="Heading2"/>
      </w:pPr>
      <w:r>
        <w:t xml:space="preserve">3. Ajustes a partir del monitoreo</w:t>
      </w:r>
    </w:p>
    <w:p>
      <w:pPr/>
      <w:r>
        <w:t xml:space="preserve">El plan acumula 5 a 6 semanas de retraso en las etapas 1 y 2, y por eso se proponen ajustes de orden y de prioridad en lugar de eliminar actividades. Las fechas objetivo son propuestas que dependen de la conformidad del docente.</w:t>
      </w:r>
    </w:p>
    <w:p>
      <w:pPr>
        <w:pStyle w:val="Heading3"/>
      </w:pPr>
      <w:r>
        <w:t xml:space="preserve">3.1 Factores que han facilitado y dificultado el plan</w:t>
      </w:r>
    </w:p>
    <w:p>
      <w:pPr/>
      <w:r>
        <w:rPr>
          <w:b/>
        </w:rPr>
        <w:t xml:space="preserve">Han facilitado</w:t>
      </w:r>
    </w:p>
    <w:p>
      <w:pPr>
        <w:pStyle w:val="ListParagraph"/>
        <w:numPr>
          <w:ilvl w:val="0"/>
          <w:numId w:val="4"/>
        </w:numPr>
      </w:pPr>
      <w:r>
        <w:t xml:space="preserve">La Definición de Proyecto de la Fase 1 ya fijaba alcance, roles, arquitectura y tecnologías, así que la SRS y el diseño se derivaron sin rehacer decisiones.</w:t>
      </w:r>
    </w:p>
    <w:p>
      <w:pPr>
        <w:pStyle w:val="ListParagraph"/>
        <w:numPr>
          <w:ilvl w:val="0"/>
          <w:numId w:val="4"/>
        </w:numPr>
      </w:pPr>
      <w:r>
        <w:t xml:space="preserve">Los datos son públicos y gratuitos: la tabla de INPHARED y el genoma de referencia de NCBI se descargaron sin costo ni licencias.</w:t>
      </w:r>
    </w:p>
    <w:p>
      <w:pPr>
        <w:pStyle w:val="ListParagraph"/>
        <w:numPr>
          <w:ilvl w:val="0"/>
          <w:numId w:val="4"/>
        </w:numPr>
      </w:pPr>
      <w:r>
        <w:t xml:space="preserve">Las herramientas bioinformáticas existen como paquetes: Prodigal, BLAST+, Mash y Kaptive 3.3.2 se instalaron en la imagen de Docker sin problemas.</w:t>
      </w:r>
    </w:p>
    <w:p>
      <w:pPr>
        <w:pStyle w:val="ListParagraph"/>
        <w:numPr>
          <w:ilvl w:val="0"/>
          <w:numId w:val="4"/>
        </w:numPr>
      </w:pPr>
      <w:r>
        <w:t xml:space="preserve">Una sola imagen de backend para la API y el worker, y una cola de trabajos dentro de PostgreSQL, redujeron la infraestructura a cuatro servicios.</w:t>
      </w:r>
    </w:p>
    <w:p>
      <w:pPr>
        <w:pStyle w:val="ListParagraph"/>
        <w:numPr>
          <w:ilvl w:val="0"/>
          <w:numId w:val="4"/>
        </w:numPr>
      </w:pPr>
      <w:r>
        <w:t xml:space="preserve">Escribir pruebas junto con cada módulo permitió corregir el código con seguridad, por ejemplo la validación de FASTA.</w:t>
      </w:r>
    </w:p>
    <w:p>
      <w:pPr/>
      <w:r>
        <w:rPr>
          <w:b/>
        </w:rPr>
        <w:t xml:space="preserve">Han dificultado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48"/>
        <w:gridCol w:w="2125"/>
        <w:gridCol w:w="3887"/>
      </w:tblGrid>
      <w:tr>
        <w:trPr>
          <w:tblHeader/>
        </w:trPr>
        <w:tc>
          <w:tcPr>
            <w:tcW w:w="3348" w:type="dxa"/>
            <w:shd w:val="clear" w:color="auto" w:fill="F2F2F2"/>
          </w:tcPr>
          <w:p>
            <w:pPr/>
            <w:r>
              <w:t xml:space="preserve">Dificultad</w:t>
            </w:r>
          </w:p>
        </w:tc>
        <w:tc>
          <w:tcPr>
            <w:tcW w:w="2125" w:type="dxa"/>
            <w:shd w:val="clear" w:color="auto" w:fill="F2F2F2"/>
          </w:tcPr>
          <w:p>
            <w:pPr/>
            <w:r>
              <w:t xml:space="preserve">Efecto</w:t>
            </w:r>
          </w:p>
        </w:tc>
        <w:tc>
          <w:tcPr>
            <w:tcW w:w="3887" w:type="dxa"/>
            <w:shd w:val="clear" w:color="auto" w:fill="F2F2F2"/>
          </w:tcPr>
          <w:p>
            <w:pPr/>
            <w:r>
              <w:t xml:space="preserve">Acción tomada o por tomar</w:t>
            </w:r>
          </w:p>
        </w:tc>
      </w:tr>
      <w:tr>
        <w:tc>
          <w:tcPr>
            <w:tcW w:w="3348" w:type="dxa"/>
          </w:tcPr>
          <w:p>
            <w:pPr/>
            <w:r>
              <w:t xml:space="preserve">Las etapas 1 y 2 se redactaron en la semana 12</w:t>
            </w:r>
          </w:p>
        </w:tc>
        <w:tc>
          <w:tcPr>
            <w:tcW w:w="2125" w:type="dxa"/>
          </w:tcPr>
          <w:p>
            <w:pPr/>
            <w:r>
              <w:t xml:space="preserve">Retraso de 5 a 6 semanas frente al Gantt; el modelo debía iniciar en la semana 11</w:t>
            </w:r>
          </w:p>
        </w:tc>
        <w:tc>
          <w:tcPr>
            <w:tcW w:w="3887" w:type="dxa"/>
          </w:tcPr>
          <w:p>
            <w:pPr/>
            <w:r>
              <w:t xml:space="preserve">Ajustar el orden y la prioridad de la construcción (3.2) y pedir al docente la revisión de ambos documentos</w:t>
            </w:r>
          </w:p>
        </w:tc>
      </w:tr>
      <w:tr>
        <w:tc>
          <w:tcPr>
            <w:tcW w:w="3348" w:type="dxa"/>
          </w:tcPr>
          <w:p>
            <w:pPr/>
            <w:r>
              <w:t xml:space="preserve">Alcance amplio para un solo desarrollador: 48 de 66 requisitos en prioridad Alta</w:t>
            </w:r>
          </w:p>
        </w:tc>
        <w:tc>
          <w:tcPr>
            <w:tcW w:w="2125" w:type="dxa"/>
          </w:tcPr>
          <w:p>
            <w:pPr/>
            <w:r>
              <w:t xml:space="preserve">Riesgo de no completar todo para el Informe Final de la semana 15</w:t>
            </w:r>
          </w:p>
        </w:tc>
        <w:tc>
          <w:tcPr>
            <w:tcW w:w="3887" w:type="dxa"/>
          </w:tcPr>
          <w:p>
            <w:pPr/>
            <w:r>
              <w:t xml:space="preserve">Revisar con el docente cuáles pasan a Media y construir primero el flujo vertical mínimo</w:t>
            </w:r>
          </w:p>
        </w:tc>
      </w:tr>
      <w:tr>
        <w:tc>
          <w:tcPr>
            <w:tcW w:w="3348" w:type="dxa"/>
          </w:tcPr>
          <w:p>
            <w:pPr/>
            <w:r>
              <w:t xml:space="preserve">Entorno de desarrollo: Docker, Git y Python no estaban instalados, y Docker Desktop exigió WSL2, permisos de administrador y reinicios</w:t>
            </w:r>
          </w:p>
        </w:tc>
        <w:tc>
          <w:tcPr>
            <w:tcW w:w="2125" w:type="dxa"/>
          </w:tcPr>
          <w:p>
            <w:pPr/>
            <w:r>
              <w:t xml:space="preserve">Retrasó el inicio de la construcción</w:t>
            </w:r>
          </w:p>
        </w:tc>
        <w:tc>
          <w:tcPr>
            <w:tcW w:w="3887" w:type="dxa"/>
          </w:tcPr>
          <w:p>
            <w:pPr/>
            <w:r>
              <w:t xml:space="preserve">Resuelto: todo se levanta con </w:t>
            </w:r>
            <w:r>
              <w:rPr>
                <w:rStyle w:val="CodeChar"/>
              </w:rPr>
              <w:t xml:space="preserve">docker compose up --build</w:t>
            </w:r>
          </w:p>
        </w:tc>
      </w:tr>
      <w:tr>
        <w:tc>
          <w:tcPr>
            <w:tcW w:w="3348" w:type="dxa"/>
          </w:tcPr>
          <w:p>
            <w:pPr/>
            <w:r>
              <w:t xml:space="preserve">INPHARED cambió a INPHARED2 y aún no publica una tabla descargable reciente; la longitud de los fagos viene en KB redondeados</w:t>
            </w:r>
          </w:p>
        </w:tc>
        <w:tc>
          <w:tcPr>
            <w:tcW w:w="2125" w:type="dxa"/>
          </w:tcPr>
          <w:p>
            <w:pPr/>
            <w:r>
              <w:t xml:space="preserve">Metadatos de los fagos aproximados</w:t>
            </w:r>
          </w:p>
        </w:tc>
        <w:tc>
          <w:tcPr>
            <w:tcW w:w="3887" w:type="dxa"/>
          </w:tcPr>
          <w:p>
            <w:pPr/>
            <w:r>
              <w:t xml:space="preserve">Usar la tabla de abril 2026, revisar INPHARED2 y PhageScope cuando publiquen y recalcular las longitudes desde los genomas FASTA</w:t>
            </w:r>
          </w:p>
        </w:tc>
      </w:tr>
      <w:tr>
        <w:tc>
          <w:tcPr>
            <w:tcW w:w="3348" w:type="dxa"/>
          </w:tcPr>
          <w:p>
            <w:pPr/>
            <w:r>
              <w:t xml:space="preserve">Supuestos técnicos sin verificar sobre las herramientas</w:t>
            </w:r>
          </w:p>
        </w:tc>
        <w:tc>
          <w:tcPr>
            <w:tcW w:w="2125" w:type="dxa"/>
          </w:tcPr>
          <w:p>
            <w:pPr/>
            <w:r>
              <w:t xml:space="preserve">Riesgo de construir sobre una suposición equivocada</w:t>
            </w:r>
          </w:p>
        </w:tc>
        <w:tc>
          <w:tcPr>
            <w:tcW w:w="3887" w:type="dxa"/>
          </w:tcPr>
          <w:p>
            <w:pPr/>
            <w:r>
              <w:t xml:space="preserve">Kaptive y Mash se verificaron contra genomas reales; la validación de la especie fue pequeña, con 6 genomas independientes</w:t>
            </w:r>
          </w:p>
        </w:tc>
      </w:tr>
    </w:tbl>
    <w:p>
      <w:pPr>
        <w:pStyle w:val="Heading3"/>
      </w:pPr>
      <w:r>
        <w:t xml:space="preserve">3.2 Actividades ajustadas o eliminadas</w:t>
      </w:r>
    </w:p>
    <w:p>
      <w:pPr/>
      <w:r>
        <w:t xml:space="preserve">No se elimina ninguna actividad. Se registran cinco ajustes; los tres primeros son propuestas que requieren la conformidad del docente.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920"/>
        <w:gridCol w:w="3376"/>
        <w:gridCol w:w="1344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N.º</w:t>
            </w:r>
          </w:p>
        </w:tc>
        <w:tc>
          <w:tcPr>
            <w:tcW w:w="3920" w:type="dxa"/>
            <w:shd w:val="clear" w:color="auto" w:fill="F2F2F2"/>
          </w:tcPr>
          <w:p>
            <w:pPr/>
            <w:r>
              <w:t xml:space="preserve">Ajuste</w:t>
            </w:r>
          </w:p>
        </w:tc>
        <w:tc>
          <w:tcPr>
            <w:tcW w:w="3376" w:type="dxa"/>
            <w:shd w:val="clear" w:color="auto" w:fill="F2F2F2"/>
          </w:tcPr>
          <w:p>
            <w:pPr/>
            <w:r>
              <w:t xml:space="preserve">Justificación</w:t>
            </w:r>
          </w:p>
        </w:tc>
        <w:tc>
          <w:tcPr>
            <w:tcW w:w="1344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A1</w:t>
            </w:r>
          </w:p>
        </w:tc>
        <w:tc>
          <w:tcPr>
            <w:tcW w:w="3920" w:type="dxa"/>
          </w:tcPr>
          <w:p>
            <w:pPr/>
            <w:r>
              <w:t xml:space="preserve">Solicitud de cambio SC-01: precisar el RNF-16, porque la analítica corre dentro de la API y no en un contenedor propio</w:t>
            </w:r>
          </w:p>
        </w:tc>
        <w:tc>
          <w:tcPr>
            <w:tcW w:w="3376" w:type="dxa"/>
          </w:tcPr>
          <w:p>
            <w:pPr/>
            <w:r>
              <w:t xml:space="preserve">El diseño separó en contenedores propios el pipeline y la predicción, pero no la analítica</w:t>
            </w:r>
          </w:p>
        </w:tc>
        <w:tc>
          <w:tcPr>
            <w:tcW w:w="1344" w:type="dxa"/>
          </w:tcPr>
          <w:p>
            <w:pPr/>
            <w:r>
              <w:t xml:space="preserve">Propuesta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A2</w:t>
            </w:r>
          </w:p>
        </w:tc>
        <w:tc>
          <w:tcPr>
            <w:tcW w:w="3920" w:type="dxa"/>
          </w:tcPr>
          <w:p>
            <w:pPr/>
            <w:r>
              <w:t xml:space="preserve">Construir primero un flujo vertical mínimo (registro, pipeline, predicción, validación y recomendación) y después ampliar con tablero y móvil</w:t>
            </w:r>
          </w:p>
        </w:tc>
        <w:tc>
          <w:tcPr>
            <w:tcW w:w="3376" w:type="dxa"/>
          </w:tcPr>
          <w:p>
            <w:pPr/>
            <w:r>
              <w:t xml:space="preserve">Quedan las semanas 13 a 15; es más seguro tener el ciclo completo funcionando que todos los módulos a medias</w:t>
            </w:r>
          </w:p>
        </w:tc>
        <w:tc>
          <w:tcPr>
            <w:tcW w:w="1344" w:type="dxa"/>
          </w:tcPr>
          <w:p>
            <w:pPr/>
            <w:r>
              <w:t xml:space="preserve">Propuesta; ya se aplicó en parte: registro, pipeline y resultados funcionan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A3</w:t>
            </w:r>
          </w:p>
        </w:tc>
        <w:tc>
          <w:tcPr>
            <w:tcW w:w="3920" w:type="dxa"/>
          </w:tcPr>
          <w:p>
            <w:pPr/>
            <w:r>
              <w:t xml:space="preserve">Pasar a prioridad Media los requisitos Alta que no forman parte del flujo vertical mínimo</w:t>
            </w:r>
          </w:p>
        </w:tc>
        <w:tc>
          <w:tcPr>
            <w:tcW w:w="3376" w:type="dxa"/>
          </w:tcPr>
          <w:p>
            <w:pPr/>
            <w:r>
              <w:t xml:space="preserve">48 requisitos Alta son demasiados para un desarrollador</w:t>
            </w:r>
          </w:p>
        </w:tc>
        <w:tc>
          <w:tcPr>
            <w:tcW w:w="1344" w:type="dxa"/>
          </w:tcPr>
          <w:p>
            <w:pPr/>
            <w:r>
              <w:t xml:space="preserve">Propuesta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A4</w:t>
            </w:r>
          </w:p>
        </w:tc>
        <w:tc>
          <w:tcPr>
            <w:tcW w:w="3920" w:type="dxa"/>
          </w:tcPr>
          <w:p>
            <w:pPr/>
            <w:r>
              <w:t xml:space="preserve">App móvil acotada a consulta y alertas, sin notificaciones push</w:t>
            </w:r>
          </w:p>
        </w:tc>
        <w:tc>
          <w:tcPr>
            <w:tcW w:w="3376" w:type="dxa"/>
          </w:tcPr>
          <w:p>
            <w:pPr/>
            <w:r>
              <w:t xml:space="preserve">Ya era el alcance de la Fase 1; en la SRS el push queda en prioridad Baja</w:t>
            </w:r>
          </w:p>
        </w:tc>
        <w:tc>
          <w:tcPr>
            <w:tcW w:w="1344" w:type="dxa"/>
          </w:tcPr>
          <w:p>
            <w:pPr/>
            <w:r>
              <w:t xml:space="preserve">Aplicado en la SRS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A5</w:t>
            </w:r>
          </w:p>
        </w:tc>
        <w:tc>
          <w:tcPr>
            <w:tcW w:w="3920" w:type="dxa"/>
          </w:tcPr>
          <w:p>
            <w:pPr/>
            <w:r>
              <w:t xml:space="preserve">Calibrar los umbrales de calidad y ampliar la validación de la especie antes de cerrar el OE2</w:t>
            </w:r>
          </w:p>
        </w:tc>
        <w:tc>
          <w:tcPr>
            <w:tcW w:w="3376" w:type="dxa"/>
          </w:tcPr>
          <w:p>
            <w:pPr/>
            <w:r>
              <w:t xml:space="preserve">Los umbrales son valores iniciales y la especie se probó con solo 6 genomas independientes</w:t>
            </w:r>
          </w:p>
        </w:tc>
        <w:tc>
          <w:tcPr>
            <w:tcW w:w="1344" w:type="dxa"/>
          </w:tcPr>
          <w:p>
            <w:pPr/>
            <w:r>
              <w:t xml:space="preserve">Pendiente</w:t>
            </w:r>
          </w:p>
        </w:tc>
      </w:tr>
    </w:tbl>
    <w:p>
      <w:pPr>
        <w:pStyle w:val="Heading3"/>
      </w:pPr>
      <w:r>
        <w:t xml:space="preserve">3.3 Actividades no iniciadas o retrasadas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23"/>
        <w:gridCol w:w="2808"/>
        <w:gridCol w:w="3903"/>
        <w:gridCol w:w="1226"/>
      </w:tblGrid>
      <w:tr>
        <w:trPr>
          <w:tblHeader/>
        </w:trPr>
        <w:tc>
          <w:tcPr>
            <w:tcW w:w="1423" w:type="dxa"/>
            <w:shd w:val="clear" w:color="auto" w:fill="F2F2F2"/>
          </w:tcPr>
          <w:p>
            <w:pPr/>
            <w:r>
              <w:t xml:space="preserve">Actividad</w:t>
            </w:r>
          </w:p>
        </w:tc>
        <w:tc>
          <w:tcPr>
            <w:tcW w:w="2808" w:type="dxa"/>
            <w:shd w:val="clear" w:color="auto" w:fill="F2F2F2"/>
          </w:tcPr>
          <w:p>
            <w:pPr/>
            <w:r>
              <w:t xml:space="preserve">Motivo</w:t>
            </w:r>
          </w:p>
        </w:tc>
        <w:tc>
          <w:tcPr>
            <w:tcW w:w="3903" w:type="dxa"/>
            <w:shd w:val="clear" w:color="auto" w:fill="F2F2F2"/>
          </w:tcPr>
          <w:p>
            <w:pPr/>
            <w:r>
              <w:t xml:space="preserve">Estrategia</w:t>
            </w:r>
          </w:p>
        </w:tc>
        <w:tc>
          <w:tcPr>
            <w:tcW w:w="1226" w:type="dxa"/>
            <w:shd w:val="clear" w:color="auto" w:fill="F2F2F2"/>
          </w:tcPr>
          <w:p>
            <w:pPr/>
            <w:r>
              <w:t xml:space="preserve">Fecha objetivo propuesta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1.1 Repositorio público</w:t>
            </w:r>
          </w:p>
        </w:tc>
        <w:tc>
          <w:tcPr>
            <w:tcW w:w="2808" w:type="dxa"/>
          </w:tcPr>
          <w:p>
            <w:pPr/>
            <w:r>
              <w:t xml:space="preserve">El repositorio oficial debe estar en la cuenta institucional y el código aún no se ha conectado a él</w:t>
            </w:r>
          </w:p>
        </w:tc>
        <w:tc>
          <w:tcPr>
            <w:tcW w:w="3903" w:type="dxa"/>
          </w:tcPr>
          <w:p>
            <w:pPr/>
            <w:r>
              <w:t xml:space="preserve">Publicar el código en el repositorio institucional, con su README</w:t>
            </w:r>
          </w:p>
        </w:tc>
        <w:tc>
          <w:tcPr>
            <w:tcW w:w="1226" w:type="dxa"/>
          </w:tcPr>
          <w:p>
            <w:pPr/>
            <w:r>
              <w:t xml:space="preserve">Esta semana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Aprobación de la SRS y del diseño</w:t>
            </w:r>
          </w:p>
        </w:tc>
        <w:tc>
          <w:tcPr>
            <w:tcW w:w="2808" w:type="dxa"/>
          </w:tcPr>
          <w:p>
            <w:pPr/>
            <w:r>
              <w:t xml:space="preserve">Los documentos se redactaron en la semana 12</w:t>
            </w:r>
          </w:p>
        </w:tc>
        <w:tc>
          <w:tcPr>
            <w:tcW w:w="3903" w:type="dxa"/>
          </w:tcPr>
          <w:p>
            <w:pPr/>
            <w:r>
              <w:t xml:space="preserve">Entregarlos al docente con este informe y registrar sus observaciones como cambios</w:t>
            </w:r>
          </w:p>
        </w:tc>
        <w:tc>
          <w:tcPr>
            <w:tcW w:w="1226" w:type="dxa"/>
          </w:tcPr>
          <w:p>
            <w:pPr/>
            <w:r>
              <w:t xml:space="preserve">Con la entrega del informe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3.1 Genomas FASTA de los fagos y otras fuentes</w:t>
            </w:r>
          </w:p>
        </w:tc>
        <w:tc>
          <w:tcPr>
            <w:tcW w:w="2808" w:type="dxa"/>
          </w:tcPr>
          <w:p>
            <w:pPr/>
            <w:r>
              <w:t xml:space="preserve">Se priorizó el pipeline sobre el genoma del aislado</w:t>
            </w:r>
          </w:p>
        </w:tc>
        <w:tc>
          <w:tcPr>
            <w:tcW w:w="3903" w:type="dxa"/>
          </w:tcPr>
          <w:p>
            <w:pPr/>
            <w:r>
              <w:t xml:space="preserve">Descargar por número de acceso los genomas de los 200 fagos y después sumar PhageScope y </w:t>
            </w:r>
            <w:r>
              <w:rPr>
                <w:i/>
              </w:rPr>
              <w:t xml:space="preserve">Microbe Versus Phage</w:t>
            </w:r>
          </w:p>
        </w:tc>
        <w:tc>
          <w:tcPr>
            <w:tcW w:w="1226" w:type="dxa"/>
          </w:tcPr>
          <w:p>
            <w:pPr/>
            <w:r>
              <w:t xml:space="preserve">Semana 13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3.3 Ampliar la validación de la especie</w:t>
            </w:r>
          </w:p>
        </w:tc>
        <w:tc>
          <w:tcPr>
            <w:tcW w:w="2808" w:type="dxa"/>
          </w:tcPr>
          <w:p>
            <w:pPr/>
            <w:r>
              <w:t xml:space="preserve">La verificación ya funciona, pero se probó con pocos genomas</w:t>
            </w:r>
          </w:p>
        </w:tc>
        <w:tc>
          <w:tcPr>
            <w:tcW w:w="3903" w:type="dxa"/>
          </w:tcPr>
          <w:p>
            <w:pPr/>
            <w:r>
              <w:t xml:space="preserve">Probar el sketch de Mash con más genomas, incluidas especies del complejo sin referencia (K. africana, K. variicola subsp. tropica) y cepas de </w:t>
            </w:r>
            <w:r>
              <w:rPr>
                <w:i/>
              </w:rPr>
              <w:t xml:space="preserve">K. pneumoniae</w:t>
            </w:r>
            <w:r>
              <w:t xml:space="preserve"> de otros linajes</w:t>
            </w:r>
          </w:p>
        </w:tc>
        <w:tc>
          <w:tcPr>
            <w:tcW w:w="1226" w:type="dxa"/>
          </w:tcPr>
          <w:p>
            <w:pPr/>
            <w:r>
              <w:t xml:space="preserve">Semana 13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3.4 Proteínas de unión al receptor</w:t>
            </w:r>
          </w:p>
        </w:tc>
        <w:tc>
          <w:tcPr>
            <w:tcW w:w="2808" w:type="dxa"/>
          </w:tcPr>
          <w:p>
            <w:pPr/>
            <w:r>
              <w:t xml:space="preserve">Dependen de los genomas FASTA de los fagos</w:t>
            </w:r>
          </w:p>
        </w:tc>
        <w:tc>
          <w:tcPr>
            <w:tcW w:w="3903" w:type="dxa"/>
          </w:tcPr>
          <w:p>
            <w:pPr/>
            <w:r>
              <w:t xml:space="preserve">Detección por anotación y homología con DIAMOND</w:t>
            </w:r>
          </w:p>
        </w:tc>
        <w:tc>
          <w:tcPr>
            <w:tcW w:w="1226" w:type="dxa"/>
          </w:tcPr>
          <w:p>
            <w:pPr/>
            <w:r>
              <w:t xml:space="preserve">Semana 13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3.7 a 3.9 Modelo de predicción</w:t>
            </w:r>
          </w:p>
        </w:tc>
        <w:tc>
          <w:tcPr>
            <w:tcW w:w="2808" w:type="dxa"/>
          </w:tcPr>
          <w:p>
            <w:pPr/>
            <w:r>
              <w:t xml:space="preserve">Las etapas 1 y 2 y la preparación del entorno ocuparon hasta la semana 12</w:t>
            </w:r>
          </w:p>
        </w:tc>
        <w:tc>
          <w:tcPr>
            <w:tcW w:w="3903" w:type="dxa"/>
          </w:tcPr>
          <w:p>
            <w:pPr/>
            <w:r>
              <w:t xml:space="preserve">Embeddings con una variante reducida de ESM-2 sobre el banco ya cargado y el conjunto de interacciones de Boeckaerts et al.; XGBoost con validación cruzada</w:t>
            </w:r>
          </w:p>
        </w:tc>
        <w:tc>
          <w:tcPr>
            <w:tcW w:w="1226" w:type="dxa"/>
          </w:tcPr>
          <w:p>
            <w:pPr/>
            <w:r>
              <w:t xml:space="preserve">Semanas 13 y 14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3.10 a 3.13 Plataforma web</w:t>
            </w:r>
          </w:p>
        </w:tc>
        <w:tc>
          <w:tcPr>
            <w:tcW w:w="2808" w:type="dxa"/>
          </w:tcPr>
          <w:p>
            <w:pPr/>
            <w:r>
              <w:t xml:space="preserve">Se adelantó un corte mínimo (registro, seguimiento y resultados, sin autenticación); el resto depende del modelo y su inicio planificado es la semana 13</w:t>
            </w:r>
          </w:p>
        </w:tc>
        <w:tc>
          <w:tcPr>
            <w:tcW w:w="3903" w:type="dxa"/>
          </w:tcPr>
          <w:p>
            <w:pPr/>
            <w:r>
              <w:t xml:space="preserve">Completar autenticación y roles, validación y emisión de la recomendación, en paralelo con el modelo</w:t>
            </w:r>
          </w:p>
        </w:tc>
        <w:tc>
          <w:tcPr>
            <w:tcW w:w="1226" w:type="dxa"/>
          </w:tcPr>
          <w:p>
            <w:pPr/>
            <w:r>
              <w:t xml:space="preserve">Semana 15</w:t>
            </w:r>
          </w:p>
        </w:tc>
      </w:tr>
    </w:tbl>
    <w:p>
      <w:pPr/>
      <w:r>
        <w:t xml:space="preserve">Plan B propuesto: si el modelo o la plataforma completa no alcanzan, el Informe Final presenta el flujo vertical mínimo y declara de forma explícita lo que quedó sin construir.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Informe de Avance SIRFA — Fase 2</dc:title>
  <dc:description>Claude Docs node/9c852854-df8b@64 docx-w7</dc:description>
  <cp:revision>64</cp:revision>
</cp:coreProperties>
</file>