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Documento de Diseño SIRFA</w:t>
      </w:r>
    </w:p>
    <w:p>
      <w:pPr/>
      <w:r>
        <w:t xml:space="preserve">Versión 0.2 · </w:t>
      </w:r>
      <w:r>
        <w:t xml:space="preserve">Oct 28, 2026</w:t>
      </w:r>
      <w:r>
        <w:t xml:space="preserve"> · </w:t>
      </w:r>
      <w:r>
        <w:t xml:space="preserve">@Johao</w:t>
      </w:r>
    </w:p>
    <w:p>
      <w:pPr>
        <w:pStyle w:val="Heading2"/>
      </w:pPr>
      <w:r>
        <w:t xml:space="preserve">Control del documento</w:t>
      </w:r>
    </w:p>
    <w:p>
      <w:pPr/>
      <w:r>
        <w:t xml:space="preserve">Este documento define cómo se construye SIRFA para cumplir la SRS v0.2; es una versión pendiente de aprobación como línea base de diseño (puerta de control de la Etapa 2).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008"/>
        <w:gridCol w:w="7351"/>
      </w:tblGrid>
      <w:tr>
        <w:trPr>
          <w:tblHeader/>
        </w:trPr>
        <w:tc>
          <w:tcPr>
            <w:tcW w:w="2008" w:type="dxa"/>
            <w:shd w:val="clear" w:color="auto" w:fill="F2F2F2"/>
          </w:tcPr>
          <w:p>
            <w:pPr/>
            <w:r>
              <w:t xml:space="preserve">Campo</w:t>
            </w:r>
          </w:p>
        </w:tc>
        <w:tc>
          <w:tcPr>
            <w:tcW w:w="7351" w:type="dxa"/>
            <w:shd w:val="clear" w:color="auto" w:fill="F2F2F2"/>
          </w:tcPr>
          <w:p>
            <w:pPr/>
            <w:r>
              <w:t xml:space="preserve">Valor</w:t>
            </w:r>
          </w:p>
        </w:tc>
      </w:tr>
      <w:tr>
        <w:tc>
          <w:tcPr>
            <w:tcW w:w="2008" w:type="dxa"/>
          </w:tcPr>
          <w:p>
            <w:pPr/>
            <w:r>
              <w:t xml:space="preserve">Proyecto</w:t>
            </w:r>
          </w:p>
        </w:tc>
        <w:tc>
          <w:tcPr>
            <w:tcW w:w="7351" w:type="dxa"/>
          </w:tcPr>
          <w:p>
            <w:pPr/>
            <w:r>
              <w:t xml:space="preserve">SIRFA — Sistema de Recomendación de Fagos frente a Antibiorresistencia</w:t>
            </w:r>
          </w:p>
        </w:tc>
      </w:tr>
      <w:tr>
        <w:tc>
          <w:tcPr>
            <w:tcW w:w="2008" w:type="dxa"/>
          </w:tcPr>
          <w:p>
            <w:pPr/>
            <w:r>
              <w:t xml:space="preserve">Asignatura</w:t>
            </w:r>
          </w:p>
        </w:tc>
        <w:tc>
          <w:tcPr>
            <w:tcW w:w="7351" w:type="dxa"/>
          </w:tcPr>
          <w:p>
            <w:pPr/>
            <w:r>
              <w:t xml:space="preserve">Capstone PTY4614 / APT122, Duoc UC, sede San Joaquín</w:t>
            </w:r>
          </w:p>
        </w:tc>
      </w:tr>
      <w:tr>
        <w:tc>
          <w:tcPr>
            <w:tcW w:w="2008" w:type="dxa"/>
          </w:tcPr>
          <w:p>
            <w:pPr/>
            <w:r>
              <w:t xml:space="preserve">Autor</w:t>
            </w:r>
          </w:p>
        </w:tc>
        <w:tc>
          <w:tcPr>
            <w:tcW w:w="7351" w:type="dxa"/>
          </w:tcPr>
          <w:p>
            <w:pPr/>
            <w:r>
              <w:t xml:space="preserve">Johao Ramírez (proyecto individual)</w:t>
            </w:r>
          </w:p>
        </w:tc>
      </w:tr>
      <w:tr>
        <w:tc>
          <w:tcPr>
            <w:tcW w:w="2008" w:type="dxa"/>
          </w:tcPr>
          <w:p>
            <w:pPr/>
            <w:r>
              <w:t xml:space="preserve">Versión</w:t>
            </w:r>
          </w:p>
        </w:tc>
        <w:tc>
          <w:tcPr>
            <w:tcW w:w="7351" w:type="dxa"/>
          </w:tcPr>
          <w:p>
            <w:pPr/>
            <w:r>
              <w:t xml:space="preserve">0.2</w:t>
            </w:r>
          </w:p>
        </w:tc>
      </w:tr>
      <w:tr>
        <w:tc>
          <w:tcPr>
            <w:tcW w:w="2008" w:type="dxa"/>
          </w:tcPr>
          <w:p>
            <w:pPr/>
            <w:r>
              <w:t xml:space="preserve">Fecha</w:t>
            </w:r>
          </w:p>
        </w:tc>
        <w:tc>
          <w:tcPr>
            <w:tcW w:w="7351" w:type="dxa"/>
          </w:tcPr>
          <w:p>
            <w:pPr/>
            <w:r>
              <w:t xml:space="preserve">28-10-2026</w:t>
            </w:r>
          </w:p>
        </w:tc>
      </w:tr>
      <w:tr>
        <w:tc>
          <w:tcPr>
            <w:tcW w:w="2008" w:type="dxa"/>
          </w:tcPr>
          <w:p>
            <w:pPr/>
            <w:r>
              <w:t xml:space="preserve">Estado</w:t>
            </w:r>
          </w:p>
        </w:tc>
        <w:tc>
          <w:tcPr>
            <w:tcW w:w="7351" w:type="dxa"/>
          </w:tcPr>
          <w:p>
            <w:pPr/>
            <w:r>
              <w:t xml:space="preserve">Entregado con el Informe de Avance; pendiente de revisión y aprobación del docente</w:t>
            </w:r>
          </w:p>
        </w:tc>
      </w:tr>
      <w:tr>
        <w:tc>
          <w:tcPr>
            <w:tcW w:w="2008" w:type="dxa"/>
          </w:tcPr>
          <w:p>
            <w:pPr/>
            <w:r>
              <w:t xml:space="preserve">Base</w:t>
            </w:r>
          </w:p>
        </w:tc>
        <w:tc>
          <w:tcPr>
            <w:tcW w:w="7351" w:type="dxa"/>
          </w:tcPr>
          <w:p>
            <w:pPr/>
            <w:r>
              <w:t xml:space="preserve">SRS SIRFA v0.2 (66 RF, 33 RNF, 18 HU, 12 RN)</w:t>
            </w:r>
          </w:p>
        </w:tc>
      </w:tr>
    </w:tbl>
    <w:p/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118"/>
        <w:gridCol w:w="1445"/>
        <w:gridCol w:w="1508"/>
        <w:gridCol w:w="5287"/>
      </w:tblGrid>
      <w:tr>
        <w:trPr>
          <w:tblHeader/>
        </w:trPr>
        <w:tc>
          <w:tcPr>
            <w:tcW w:w="1118" w:type="dxa"/>
            <w:shd w:val="clear" w:color="auto" w:fill="F2F2F2"/>
          </w:tcPr>
          <w:p>
            <w:pPr/>
            <w:r>
              <w:t xml:space="preserve">Versión</w:t>
            </w:r>
          </w:p>
        </w:tc>
        <w:tc>
          <w:tcPr>
            <w:tcW w:w="1445" w:type="dxa"/>
            <w:shd w:val="clear" w:color="auto" w:fill="F2F2F2"/>
          </w:tcPr>
          <w:p>
            <w:pPr/>
            <w:r>
              <w:t xml:space="preserve">Fecha</w:t>
            </w:r>
          </w:p>
        </w:tc>
        <w:tc>
          <w:tcPr>
            <w:tcW w:w="1508" w:type="dxa"/>
            <w:shd w:val="clear" w:color="auto" w:fill="F2F2F2"/>
          </w:tcPr>
          <w:p>
            <w:pPr/>
            <w:r>
              <w:t xml:space="preserve">Autor</w:t>
            </w:r>
          </w:p>
        </w:tc>
        <w:tc>
          <w:tcPr>
            <w:tcW w:w="5287" w:type="dxa"/>
            <w:shd w:val="clear" w:color="auto" w:fill="F2F2F2"/>
          </w:tcPr>
          <w:p>
            <w:pPr/>
            <w:r>
              <w:t xml:space="preserve">Cambios</w:t>
            </w:r>
          </w:p>
        </w:tc>
      </w:tr>
      <w:tr>
        <w:tc>
          <w:tcPr>
            <w:tcW w:w="1118" w:type="dxa"/>
          </w:tcPr>
          <w:p>
            <w:pPr/>
            <w:r>
              <w:t xml:space="preserve">0.1</w:t>
            </w:r>
          </w:p>
        </w:tc>
        <w:tc>
          <w:tcPr>
            <w:tcW w:w="1445" w:type="dxa"/>
          </w:tcPr>
          <w:p>
            <w:pPr/>
            <w:r>
              <w:t xml:space="preserve">27-10-2026</w:t>
            </w:r>
          </w:p>
        </w:tc>
        <w:tc>
          <w:tcPr>
            <w:tcW w:w="1508" w:type="dxa"/>
          </w:tcPr>
          <w:p>
            <w:pPr/>
            <w:r>
              <w:t xml:space="preserve">J. Ramírez</w:t>
            </w:r>
          </w:p>
        </w:tc>
        <w:tc>
          <w:tcPr>
            <w:tcW w:w="5287" w:type="dxa"/>
          </w:tcPr>
          <w:p>
            <w:pPr/>
            <w:r>
              <w:t xml:space="preserve">Primer borrador, derivado de la SRS v0.1</w:t>
            </w:r>
          </w:p>
        </w:tc>
      </w:tr>
      <w:tr>
        <w:tc>
          <w:tcPr>
            <w:tcW w:w="1118" w:type="dxa"/>
          </w:tcPr>
          <w:p>
            <w:pPr/>
            <w:r>
              <w:t xml:space="preserve">0.2</w:t>
            </w:r>
          </w:p>
        </w:tc>
        <w:tc>
          <w:tcPr>
            <w:tcW w:w="1445" w:type="dxa"/>
          </w:tcPr>
          <w:p>
            <w:pPr/>
            <w:r>
              <w:t xml:space="preserve">28-10-2026</w:t>
            </w:r>
          </w:p>
        </w:tc>
        <w:tc>
          <w:tcPr>
            <w:tcW w:w="1508" w:type="dxa"/>
          </w:tcPr>
          <w:p>
            <w:pPr/>
            <w:r>
              <w:t xml:space="preserve">J. Ramírez</w:t>
            </w:r>
          </w:p>
        </w:tc>
        <w:tc>
          <w:tcPr>
            <w:tcW w:w="5287" w:type="dxa"/>
          </w:tcPr>
          <w:p>
            <w:pPr/>
            <w:r>
              <w:t xml:space="preserve">Cierra el punto 1 de la sección 9 (método de especie) y agrega la sección 10, con el estado de implementación</w:t>
            </w:r>
          </w:p>
        </w:tc>
      </w:tr>
    </w:tbl>
    <w:p>
      <w:pPr>
        <w:pStyle w:val="Heading2"/>
      </w:pPr>
      <w:r>
        <w:t xml:space="preserve">1. Introducción y decisiones clave</w:t>
      </w:r>
    </w:p>
    <w:p>
      <w:pPr/>
      <w:r>
        <w:t xml:space="preserve">SIRFA se diseña como un monolito modular en Python con workers por cola, dos bases de datos y dos clientes, porque un solo desarrollador debe entregarlo en 14 semanas efectivas.</w:t>
      </w:r>
    </w:p>
    <w:p>
      <w:pPr>
        <w:pStyle w:val="Heading3"/>
      </w:pPr>
      <w:r>
        <w:t xml:space="preserve">1.1 Propósito y alcance</w:t>
      </w:r>
    </w:p>
    <w:p>
      <w:pPr/>
      <w:r>
        <w:t xml:space="preserve">El documento traduce los requisitos de la SRS v0.2 en arquitectura, modelo de datos relacional y documental, diagramas UML, diseño de los requisitos no funcionales y plan de pruebas. Es la línea base que se congela antes de construir (Etapa 3). El Manual técnico y de despliegue queda para la Etapa 5.</w:t>
      </w:r>
    </w:p>
    <w:p>
      <w:pPr>
        <w:pStyle w:val="Heading3"/>
      </w:pPr>
      <w:r>
        <w:t xml:space="preserve">1.2 Decisiones de diseño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720"/>
        <w:gridCol w:w="3002"/>
        <w:gridCol w:w="1787"/>
        <w:gridCol w:w="2665"/>
        <w:gridCol w:w="1186"/>
      </w:tblGrid>
      <w:tr>
        <w:trPr>
          <w:tblHeader/>
        </w:trPr>
        <w:tc>
          <w:tcPr>
            <w:tcW w:w="720" w:type="dxa"/>
            <w:shd w:val="clear" w:color="auto" w:fill="F2F2F2"/>
          </w:tcPr>
          <w:p>
            <w:pPr/>
            <w:r>
              <w:t xml:space="preserve">ID</w:t>
            </w:r>
          </w:p>
        </w:tc>
        <w:tc>
          <w:tcPr>
            <w:tcW w:w="3002" w:type="dxa"/>
            <w:shd w:val="clear" w:color="auto" w:fill="F2F2F2"/>
          </w:tcPr>
          <w:p>
            <w:pPr/>
            <w:r>
              <w:t xml:space="preserve">Decisión</w:t>
            </w:r>
          </w:p>
        </w:tc>
        <w:tc>
          <w:tcPr>
            <w:tcW w:w="1787" w:type="dxa"/>
            <w:shd w:val="clear" w:color="auto" w:fill="F2F2F2"/>
          </w:tcPr>
          <w:p>
            <w:pPr/>
            <w:r>
              <w:t xml:space="preserve">Alternativa descartada</w:t>
            </w:r>
          </w:p>
        </w:tc>
        <w:tc>
          <w:tcPr>
            <w:tcW w:w="2665" w:type="dxa"/>
            <w:shd w:val="clear" w:color="auto" w:fill="F2F2F2"/>
          </w:tcPr>
          <w:p>
            <w:pPr/>
            <w:r>
              <w:t xml:space="preserve">Por qué</w:t>
            </w:r>
          </w:p>
        </w:tc>
        <w:tc>
          <w:tcPr>
            <w:tcW w:w="1186" w:type="dxa"/>
            <w:shd w:val="clear" w:color="auto" w:fill="F2F2F2"/>
          </w:tcPr>
          <w:p>
            <w:pPr/>
            <w:r>
              <w:t xml:space="preserve">Resuelve</w:t>
            </w:r>
          </w:p>
        </w:tc>
      </w:tr>
      <w:tr>
        <w:tc>
          <w:tcPr>
            <w:tcW w:w="720" w:type="dxa"/>
          </w:tcPr>
          <w:p>
            <w:pPr/>
            <w:r>
              <w:t xml:space="preserve">D-01</w:t>
            </w:r>
          </w:p>
        </w:tc>
        <w:tc>
          <w:tcPr>
            <w:tcW w:w="3002" w:type="dxa"/>
          </w:tcPr>
          <w:p>
            <w:pPr/>
            <w:r>
              <w:t xml:space="preserve">Monolito modular (API FastAPI) más workers por cola</w:t>
            </w:r>
          </w:p>
        </w:tc>
        <w:tc>
          <w:tcPr>
            <w:tcW w:w="1787" w:type="dxa"/>
          </w:tcPr>
          <w:p>
            <w:pPr/>
            <w:r>
              <w:t xml:space="preserve">Microservicios independientes</w:t>
            </w:r>
          </w:p>
        </w:tc>
        <w:tc>
          <w:tcPr>
            <w:tcW w:w="2665" w:type="dxa"/>
          </w:tcPr>
          <w:p>
            <w:pPr/>
            <w:r>
              <w:t xml:space="preserve">Una persona y 14 semanas; despliegue simple, con módulos que aíslan cada dominio</w:t>
            </w:r>
          </w:p>
        </w:tc>
        <w:tc>
          <w:tcPr>
            <w:tcW w:w="1186" w:type="dxa"/>
          </w:tcPr>
          <w:p>
            <w:pPr/>
            <w:r>
              <w:t xml:space="preserve">RNF-16, RNF-22</w:t>
            </w:r>
          </w:p>
        </w:tc>
      </w:tr>
      <w:tr>
        <w:tc>
          <w:tcPr>
            <w:tcW w:w="720" w:type="dxa"/>
          </w:tcPr>
          <w:p>
            <w:pPr/>
            <w:r>
              <w:t xml:space="preserve">D-02</w:t>
            </w:r>
          </w:p>
        </w:tc>
        <w:tc>
          <w:tcPr>
            <w:tcW w:w="3002" w:type="dxa"/>
          </w:tcPr>
          <w:p>
            <w:pPr/>
            <w:r>
              <w:t xml:space="preserve">Cola de trabajos en la tabla </w:t>
            </w:r>
            <w:r>
              <w:rPr>
                <w:rStyle w:val="CodeChar"/>
              </w:rPr>
              <w:t xml:space="preserve">trabajo</w:t>
            </w:r>
            <w:r>
              <w:t xml:space="preserve"> de PostgreSQL, con </w:t>
            </w:r>
            <w:r>
              <w:rPr>
                <w:rStyle w:val="CodeChar"/>
              </w:rPr>
              <w:t xml:space="preserve">FOR UPDATE SKIP LOCKED</w:t>
            </w:r>
          </w:p>
        </w:tc>
        <w:tc>
          <w:tcPr>
            <w:tcW w:w="1787" w:type="dxa"/>
          </w:tcPr>
          <w:p>
            <w:pPr/>
            <w:r>
              <w:t xml:space="preserve">Celery con Redis o RabbitMQ</w:t>
            </w:r>
          </w:p>
        </w:tc>
        <w:tc>
          <w:tcPr>
            <w:tcW w:w="2665" w:type="dxa"/>
          </w:tcPr>
          <w:p>
            <w:pPr/>
            <w:r>
              <w:t xml:space="preserve">Evita un servicio más, el cambio de estado y el encolado son transaccionales y admite varios workers</w:t>
            </w:r>
          </w:p>
        </w:tc>
        <w:tc>
          <w:tcPr>
            <w:tcW w:w="1186" w:type="dxa"/>
          </w:tcPr>
          <w:p>
            <w:pPr/>
            <w:r>
              <w:t xml:space="preserve">RF-24, RNF-16</w:t>
            </w:r>
          </w:p>
        </w:tc>
      </w:tr>
      <w:tr>
        <w:tc>
          <w:tcPr>
            <w:tcW w:w="720" w:type="dxa"/>
          </w:tcPr>
          <w:p>
            <w:pPr/>
            <w:r>
              <w:t xml:space="preserve">D-03</w:t>
            </w:r>
          </w:p>
        </w:tc>
        <w:tc>
          <w:tcPr>
            <w:tcW w:w="3002" w:type="dxa"/>
          </w:tcPr>
          <w:p>
            <w:pPr/>
            <w:r>
              <w:t xml:space="preserve">Una sola imagen de backend, usada por la API y por los workers con distinto comando</w:t>
            </w:r>
          </w:p>
        </w:tc>
        <w:tc>
          <w:tcPr>
            <w:tcW w:w="1787" w:type="dxa"/>
          </w:tcPr>
          <w:p>
            <w:pPr/>
            <w:r>
              <w:t xml:space="preserve">Una imagen por servicio</w:t>
            </w:r>
          </w:p>
        </w:tc>
        <w:tc>
          <w:tcPr>
            <w:tcW w:w="2665" w:type="dxa"/>
          </w:tcPr>
          <w:p>
            <w:pPr/>
            <w:r>
              <w:t xml:space="preserve">Menos Dockerfiles y el README ya usa </w:t>
            </w:r>
            <w:r>
              <w:rPr>
                <w:rStyle w:val="CodeChar"/>
              </w:rPr>
              <w:t xml:space="preserve">docker compose exec api</w:t>
            </w:r>
            <w:r>
              <w:t xml:space="preserve">; el costo es una imagen más pesada</w:t>
            </w:r>
          </w:p>
        </w:tc>
        <w:tc>
          <w:tcPr>
            <w:tcW w:w="1186" w:type="dxa"/>
          </w:tcPr>
          <w:p>
            <w:pPr/>
            <w:r>
              <w:t xml:space="preserve">RNF-22</w:t>
            </w:r>
          </w:p>
        </w:tc>
      </w:tr>
      <w:tr>
        <w:tc>
          <w:tcPr>
            <w:tcW w:w="720" w:type="dxa"/>
          </w:tcPr>
          <w:p>
            <w:pPr/>
            <w:r>
              <w:t xml:space="preserve">D-04</w:t>
            </w:r>
          </w:p>
        </w:tc>
        <w:tc>
          <w:tcPr>
            <w:tcW w:w="3002" w:type="dxa"/>
          </w:tcPr>
          <w:p>
            <w:pPr/>
            <w:r>
              <w:t xml:space="preserve">JWT de acceso de 15 minutos y refresh token revocable de 8 horas, guardado como hash</w:t>
            </w:r>
          </w:p>
        </w:tc>
        <w:tc>
          <w:tcPr>
            <w:tcW w:w="1787" w:type="dxa"/>
          </w:tcPr>
          <w:p>
            <w:pPr/>
            <w:r>
              <w:t xml:space="preserve">JWT único de larga duración</w:t>
            </w:r>
          </w:p>
        </w:tc>
        <w:tc>
          <w:tcPr>
            <w:tcW w:w="2665" w:type="dxa"/>
          </w:tcPr>
          <w:p>
            <w:pPr/>
            <w:r>
              <w:t xml:space="preserve">Permite cerrar sesión de verdad y cumple el límite de 60 minutos</w:t>
            </w:r>
          </w:p>
        </w:tc>
        <w:tc>
          <w:tcPr>
            <w:tcW w:w="1186" w:type="dxa"/>
          </w:tcPr>
          <w:p>
            <w:pPr/>
            <w:r>
              <w:t xml:space="preserve">RF-01, RF-02, RNF-03</w:t>
            </w:r>
          </w:p>
        </w:tc>
      </w:tr>
      <w:tr>
        <w:tc>
          <w:tcPr>
            <w:tcW w:w="720" w:type="dxa"/>
          </w:tcPr>
          <w:p>
            <w:pPr/>
            <w:r>
              <w:t xml:space="preserve">D-05</w:t>
            </w:r>
          </w:p>
        </w:tc>
        <w:tc>
          <w:tcPr>
            <w:tcW w:w="3002" w:type="dxa"/>
          </w:tcPr>
          <w:p>
            <w:pPr/>
            <w:r>
              <w:t xml:space="preserve">Contraseñas con Argon2id</w:t>
            </w:r>
          </w:p>
        </w:tc>
        <w:tc>
          <w:tcPr>
            <w:tcW w:w="1787" w:type="dxa"/>
          </w:tcPr>
          <w:p>
            <w:pPr/>
            <w:r>
              <w:t xml:space="preserve">bcrypt</w:t>
            </w:r>
          </w:p>
        </w:tc>
        <w:tc>
          <w:tcPr>
            <w:tcW w:w="2665" w:type="dxa"/>
          </w:tcPr>
          <w:p>
            <w:pPr/>
            <w:r>
              <w:t xml:space="preserve">Algoritmo adaptativo recomendado actualmente; ambos cumplen el requisito</w:t>
            </w:r>
          </w:p>
        </w:tc>
        <w:tc>
          <w:tcPr>
            <w:tcW w:w="1186" w:type="dxa"/>
          </w:tcPr>
          <w:p>
            <w:pPr/>
            <w:r>
              <w:t xml:space="preserve">RNF-01</w:t>
            </w:r>
          </w:p>
        </w:tc>
      </w:tr>
      <w:tr>
        <w:tc>
          <w:tcPr>
            <w:tcW w:w="720" w:type="dxa"/>
          </w:tcPr>
          <w:p>
            <w:pPr/>
            <w:r>
              <w:t xml:space="preserve">D-06</w:t>
            </w:r>
          </w:p>
        </w:tc>
        <w:tc>
          <w:tcPr>
            <w:tcW w:w="3002" w:type="dxa"/>
          </w:tcPr>
          <w:p>
            <w:pPr/>
            <w:r>
              <w:t xml:space="preserve">Autorización por rol como dependencia de FastAPI y filtro de alcance en la capa de repositorio</w:t>
            </w:r>
          </w:p>
        </w:tc>
        <w:tc>
          <w:tcPr>
            <w:tcW w:w="1787" w:type="dxa"/>
          </w:tcPr>
          <w:p>
            <w:pPr/>
            <w:r>
              <w:t xml:space="preserve">Control solo en la interfaz</w:t>
            </w:r>
          </w:p>
        </w:tc>
        <w:tc>
          <w:tcPr>
            <w:tcW w:w="2665" w:type="dxa"/>
          </w:tcPr>
          <w:p>
            <w:pPr/>
            <w:r>
              <w:t xml:space="preserve">El servidor niega aunque el cliente falle, y el alcance (propias, del centro, agregados) no depende de cada endpoint</w:t>
            </w:r>
          </w:p>
        </w:tc>
        <w:tc>
          <w:tcPr>
            <w:tcW w:w="1186" w:type="dxa"/>
          </w:tcPr>
          <w:p>
            <w:pPr/>
            <w:r>
              <w:t xml:space="preserve">RF-04, RF-06, RNF-04</w:t>
            </w:r>
          </w:p>
        </w:tc>
      </w:tr>
      <w:tr>
        <w:tc>
          <w:tcPr>
            <w:tcW w:w="720" w:type="dxa"/>
          </w:tcPr>
          <w:p>
            <w:pPr/>
            <w:r>
              <w:t xml:space="preserve">D-07</w:t>
            </w:r>
          </w:p>
        </w:tc>
        <w:tc>
          <w:tcPr>
            <w:tcW w:w="3002" w:type="dxa"/>
          </w:tcPr>
          <w:p>
            <w:pPr/>
            <w:r>
              <w:t xml:space="preserve">Auditoría de solo adición: sin permisos de actualizar o borrar, con un trigger que lo bloquea y hash encadenado opcional</w:t>
            </w:r>
          </w:p>
        </w:tc>
        <w:tc>
          <w:tcPr>
            <w:tcW w:w="1787" w:type="dxa"/>
          </w:tcPr>
          <w:p>
            <w:pPr/>
            <w:r>
              <w:t xml:space="preserve">Bitácora en archivos o en MongoDB</w:t>
            </w:r>
          </w:p>
        </w:tc>
        <w:tc>
          <w:tcPr>
            <w:tcW w:w="2665" w:type="dxa"/>
          </w:tcPr>
          <w:p>
            <w:pPr/>
            <w:r>
              <w:t xml:space="preserve">La garantía queda en la base y no depende del código de la aplicación</w:t>
            </w:r>
          </w:p>
        </w:tc>
        <w:tc>
          <w:tcPr>
            <w:tcW w:w="1186" w:type="dxa"/>
          </w:tcPr>
          <w:p>
            <w:pPr/>
            <w:r>
              <w:t xml:space="preserve">RF-50, RF-51, RNF-08</w:t>
            </w:r>
          </w:p>
        </w:tc>
      </w:tr>
      <w:tr>
        <w:tc>
          <w:tcPr>
            <w:tcW w:w="720" w:type="dxa"/>
          </w:tcPr>
          <w:p>
            <w:pPr/>
            <w:r>
              <w:t xml:space="preserve">D-08</w:t>
            </w:r>
          </w:p>
        </w:tc>
        <w:tc>
          <w:tcPr>
            <w:tcW w:w="3002" w:type="dxa"/>
          </w:tcPr>
          <w:p>
            <w:pPr/>
            <w:r>
              <w:t xml:space="preserve">Genomas FASTA en un volumen Docker, nombrados por su SHA-256; metadatos en PostgreSQL</w:t>
            </w:r>
          </w:p>
        </w:tc>
        <w:tc>
          <w:tcPr>
            <w:tcW w:w="1787" w:type="dxa"/>
          </w:tcPr>
          <w:p>
            <w:pPr/>
            <w:r>
              <w:t xml:space="preserve">BLOB en la base, MinIO o S3</w:t>
            </w:r>
          </w:p>
        </w:tc>
        <w:tc>
          <w:tcPr>
            <w:tcW w:w="2665" w:type="dxa"/>
          </w:tcPr>
          <w:p>
            <w:pPr/>
            <w:r>
              <w:t xml:space="preserve">Simple, sin servicio extra y deduplica cargas repetidas</w:t>
            </w:r>
          </w:p>
        </w:tc>
        <w:tc>
          <w:tcPr>
            <w:tcW w:w="1186" w:type="dxa"/>
          </w:tcPr>
          <w:p>
            <w:pPr/>
            <w:r>
              <w:t xml:space="preserve">RF-09, RNF-22</w:t>
            </w:r>
          </w:p>
        </w:tc>
      </w:tr>
      <w:tr>
        <w:tc>
          <w:tcPr>
            <w:tcW w:w="720" w:type="dxa"/>
          </w:tcPr>
          <w:p>
            <w:pPr/>
            <w:r>
              <w:t xml:space="preserve">D-09</w:t>
            </w:r>
          </w:p>
        </w:tc>
        <w:tc>
          <w:tcPr>
            <w:tcW w:w="3002" w:type="dxa"/>
          </w:tcPr>
          <w:p>
            <w:pPr/>
            <w:r>
              <w:t xml:space="preserve">PostgreSQL guarda dominio, ranking y auditoría; MongoDB guarda salidas crudas, anotaciones, embeddings y explicaciones</w:t>
            </w:r>
          </w:p>
        </w:tc>
        <w:tc>
          <w:tcPr>
            <w:tcW w:w="1787" w:type="dxa"/>
          </w:tcPr>
          <w:p>
            <w:pPr/>
            <w:r>
              <w:t xml:space="preserve">Todo en una sola base</w:t>
            </w:r>
          </w:p>
        </w:tc>
        <w:tc>
          <w:tcPr>
            <w:tcW w:w="2665" w:type="dxa"/>
          </w:tcPr>
          <w:p>
            <w:pPr/>
            <w:r>
              <w:t xml:space="preserve">Cubre las dos familias de bases que exige el perfil de egreso, cada una donde rinde mejor</w:t>
            </w:r>
          </w:p>
        </w:tc>
        <w:tc>
          <w:tcPr>
            <w:tcW w:w="1186" w:type="dxa"/>
          </w:tcPr>
          <w:p>
            <w:pPr/>
            <w:r>
              <w:t xml:space="preserve">RF-25, RNF-33</w:t>
            </w:r>
          </w:p>
        </w:tc>
      </w:tr>
      <w:tr>
        <w:tc>
          <w:tcPr>
            <w:tcW w:w="720" w:type="dxa"/>
          </w:tcPr>
          <w:p>
            <w:pPr/>
            <w:r>
              <w:t xml:space="preserve">D-10</w:t>
            </w:r>
          </w:p>
        </w:tc>
        <w:tc>
          <w:tcPr>
            <w:tcW w:w="3002" w:type="dxa"/>
          </w:tcPr>
          <w:p>
            <w:pPr/>
            <w:r>
              <w:t xml:space="preserve">Embeddings con una variante reducida de ESM-2, precomputados para el banco y cacheados en MongoDB</w:t>
            </w:r>
          </w:p>
        </w:tc>
        <w:tc>
          <w:tcPr>
            <w:tcW w:w="1787" w:type="dxa"/>
          </w:tcPr>
          <w:p>
            <w:pPr/>
            <w:r>
              <w:t xml:space="preserve">ESM-2 de 650 millones de parámetros</w:t>
            </w:r>
          </w:p>
        </w:tc>
        <w:tc>
          <w:tcPr>
            <w:tcW w:w="2665" w:type="dxa"/>
          </w:tcPr>
          <w:p>
            <w:pPr/>
            <w:r>
              <w:t xml:space="preserve">Sin GPU garantizada; el costo se paga una vez por fago</w:t>
            </w:r>
          </w:p>
        </w:tc>
        <w:tc>
          <w:tcPr>
            <w:tcW w:w="1186" w:type="dxa"/>
          </w:tcPr>
          <w:p>
            <w:pPr/>
            <w:r>
              <w:t xml:space="preserve">RF-23, RF-30, RNF-13</w:t>
            </w:r>
          </w:p>
        </w:tc>
      </w:tr>
      <w:tr>
        <w:tc>
          <w:tcPr>
            <w:tcW w:w="720" w:type="dxa"/>
          </w:tcPr>
          <w:p>
            <w:pPr/>
            <w:r>
              <w:t xml:space="preserve">D-11</w:t>
            </w:r>
          </w:p>
        </w:tc>
        <w:tc>
          <w:tcPr>
            <w:tcW w:w="3002" w:type="dxa"/>
          </w:tcPr>
          <w:p>
            <w:pPr/>
            <w:r>
              <w:t xml:space="preserve">Clasificador XGBoost sobre el vector del par fago–aislado, explicado con SHAP</w:t>
            </w:r>
          </w:p>
        </w:tc>
        <w:tc>
          <w:tcPr>
            <w:tcW w:w="1787" w:type="dxa"/>
          </w:tcPr>
          <w:p>
            <w:pPr/>
            <w:r>
              <w:t xml:space="preserve">Red neuronal</w:t>
            </w:r>
          </w:p>
        </w:tc>
        <w:tc>
          <w:tcPr>
            <w:tcW w:w="2665" w:type="dxa"/>
          </w:tcPr>
          <w:p>
            <w:pPr/>
            <w:r>
              <w:t xml:space="preserve">Reproduce el enfoque de la literatura y SHAP lo explica de forma nativa</w:t>
            </w:r>
          </w:p>
        </w:tc>
        <w:tc>
          <w:tcPr>
            <w:tcW w:w="1186" w:type="dxa"/>
          </w:tcPr>
          <w:p>
            <w:pPr/>
            <w:r>
              <w:t xml:space="preserve">RF-34, RF-36</w:t>
            </w:r>
          </w:p>
        </w:tc>
      </w:tr>
      <w:tr>
        <w:tc>
          <w:tcPr>
            <w:tcW w:w="720" w:type="dxa"/>
          </w:tcPr>
          <w:p>
            <w:pPr/>
            <w:r>
              <w:t xml:space="preserve">D-12</w:t>
            </w:r>
          </w:p>
        </w:tc>
        <w:tc>
          <w:tcPr>
            <w:tcW w:w="3002" w:type="dxa"/>
          </w:tcPr>
          <w:p>
            <w:pPr/>
            <w:r>
              <w:t xml:space="preserve">Analítica con vistas materializadas de PostgreSQL refrescadas al emitir y bajo demanda</w:t>
            </w:r>
          </w:p>
        </w:tc>
        <w:tc>
          <w:tcPr>
            <w:tcW w:w="1787" w:type="dxa"/>
          </w:tcPr>
          <w:p>
            <w:pPr/>
            <w:r>
              <w:t xml:space="preserve">Copia de los datos a MongoDB</w:t>
            </w:r>
          </w:p>
        </w:tc>
        <w:tc>
          <w:tcPr>
            <w:tcW w:w="2665" w:type="dxa"/>
          </w:tcPr>
          <w:p>
            <w:pPr/>
            <w:r>
              <w:t xml:space="preserve">Consultas agregadas rápidas sin otra copia que mantener</w:t>
            </w:r>
          </w:p>
        </w:tc>
        <w:tc>
          <w:tcPr>
            <w:tcW w:w="1186" w:type="dxa"/>
          </w:tcPr>
          <w:p>
            <w:pPr/>
            <w:r>
              <w:t xml:space="preserve">RF-55 a RF-57, RNF-15</w:t>
            </w:r>
          </w:p>
        </w:tc>
      </w:tr>
      <w:tr>
        <w:tc>
          <w:tcPr>
            <w:tcW w:w="720" w:type="dxa"/>
          </w:tcPr>
          <w:p>
            <w:pPr/>
            <w:r>
              <w:t xml:space="preserve">D-13</w:t>
            </w:r>
          </w:p>
        </w:tc>
        <w:tc>
          <w:tcPr>
            <w:tcW w:w="3002" w:type="dxa"/>
          </w:tcPr>
          <w:p>
            <w:pPr/>
            <w:r>
              <w:t xml:space="preserve">Web en Next.js con cliente tipado generado desde OpenAPI; móvil en React Native con Expo, verificado en Android</w:t>
            </w:r>
          </w:p>
        </w:tc>
        <w:tc>
          <w:tcPr>
            <w:tcW w:w="1787" w:type="dxa"/>
          </w:tcPr>
          <w:p>
            <w:pPr/>
            <w:r>
              <w:t xml:space="preserve">Cliente escrito a mano; iOS</w:t>
            </w:r>
          </w:p>
        </w:tc>
        <w:tc>
          <w:tcPr>
            <w:tcW w:w="2665" w:type="dxa"/>
          </w:tcPr>
          <w:p>
            <w:pPr/>
            <w:r>
              <w:t xml:space="preserve">Menos código propenso a errores y menos esfuerzo de configuración</w:t>
            </w:r>
          </w:p>
        </w:tc>
        <w:tc>
          <w:tcPr>
            <w:tcW w:w="1186" w:type="dxa"/>
          </w:tcPr>
          <w:p>
            <w:pPr/>
            <w:r>
              <w:t xml:space="preserve">RNF-23, RNF-29</w:t>
            </w:r>
          </w:p>
        </w:tc>
      </w:tr>
      <w:tr>
        <w:tc>
          <w:tcPr>
            <w:tcW w:w="720" w:type="dxa"/>
          </w:tcPr>
          <w:p>
            <w:pPr/>
            <w:r>
              <w:t xml:space="preserve">D-14</w:t>
            </w:r>
          </w:p>
        </w:tc>
        <w:tc>
          <w:tcPr>
            <w:tcW w:w="3002" w:type="dxa"/>
          </w:tcPr>
          <w:p>
            <w:pPr/>
            <w:r>
              <w:t xml:space="preserve">Migraciones con Alembic y contratos con Pydantic</w:t>
            </w:r>
          </w:p>
        </w:tc>
        <w:tc>
          <w:tcPr>
            <w:tcW w:w="1787" w:type="dxa"/>
          </w:tcPr>
          <w:p>
            <w:pPr/>
            <w:r>
              <w:t xml:space="preserve">Scripts SQL manuales</w:t>
            </w:r>
          </w:p>
        </w:tc>
        <w:tc>
          <w:tcPr>
            <w:tcW w:w="2665" w:type="dxa"/>
          </w:tcPr>
          <w:p>
            <w:pPr/>
            <w:r>
              <w:t xml:space="preserve">Esquema versionado y reproducible desde cero</w:t>
            </w:r>
          </w:p>
        </w:tc>
        <w:tc>
          <w:tcPr>
            <w:tcW w:w="1186" w:type="dxa"/>
          </w:tcPr>
          <w:p>
            <w:pPr/>
            <w:r>
              <w:t xml:space="preserve">RNF-22, RNF-32</w:t>
            </w:r>
          </w:p>
        </w:tc>
      </w:tr>
    </w:tbl>
    <w:p>
      <w:pPr>
        <w:pStyle w:val="Heading2"/>
      </w:pPr>
      <w:r>
        <w:t xml:space="preserve">2. Arquitectura</w:t>
      </w:r>
    </w:p>
    <w:p>
      <w:pPr/>
      <w:r>
        <w:t xml:space="preserve">SIRFA corre en seis contenedores (web, API, dos workers, PostgreSQL y MongoDB) y la API es el único punto de entrada de los clientes.</w:t>
      </w:r>
    </w:p>
    <w:p>
      <w:pPr>
        <w:pStyle w:val="Heading3"/>
      </w:pPr>
      <w:r>
        <w:t xml:space="preserve">2.1 Vista de despliegue</w:t>
      </w:r>
    </w:p>
    <w:p>
      <w:pPr/>
      <w:r>
        <w:drawing>
          <wp:inline distT="0" distB="0" distL="0" distR="0">
            <wp:extent cx="5486400" cy="3559628"/>
            <wp:docPr id="1" name="image1" descr="vista de despliegue · 6 contenedores, datos y volúmene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vista de despliegue · 6 contenedores, datos y volúmenes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9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vista de despliegue · 6 contenedores, datos y volúmenes</w:t>
      </w:r>
    </w:p>
    <w:p>
      <w:pPr/>
      <w:r>
        <w:t xml:space="preserve">Los workers no reciben llamadas: toman trabajos de la cola que la API deja en PostgreSQL. La app </w:t>
      </w:r>
      <w:r>
        <w:rPr>
          <w:rStyle w:val="CodeChar"/>
        </w:rPr>
        <w:t xml:space="preserve">movil</w:t>
      </w:r>
      <w:r>
        <w:t xml:space="preserve"> corre en el dispositivo, fuera de Docker.</w:t>
      </w:r>
    </w:p>
    <w:p>
      <w:pPr>
        <w:pStyle w:val="Heading3"/>
      </w:pPr>
      <w:r>
        <w:t xml:space="preserve">2.2 Componentes y responsabilidades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76"/>
        <w:gridCol w:w="2153"/>
        <w:gridCol w:w="3473"/>
        <w:gridCol w:w="1458"/>
      </w:tblGrid>
      <w:tr>
        <w:trPr>
          <w:tblHeader/>
        </w:trPr>
        <w:tc>
          <w:tcPr>
            <w:tcW w:w="2276" w:type="dxa"/>
            <w:shd w:val="clear" w:color="auto" w:fill="F2F2F2"/>
          </w:tcPr>
          <w:p>
            <w:pPr/>
            <w:r>
              <w:t xml:space="preserve">Componente</w:t>
            </w:r>
          </w:p>
        </w:tc>
        <w:tc>
          <w:tcPr>
            <w:tcW w:w="2153" w:type="dxa"/>
            <w:shd w:val="clear" w:color="auto" w:fill="F2F2F2"/>
          </w:tcPr>
          <w:p>
            <w:pPr/>
            <w:r>
              <w:t xml:space="preserve">Tecnología</w:t>
            </w:r>
          </w:p>
        </w:tc>
        <w:tc>
          <w:tcPr>
            <w:tcW w:w="3473" w:type="dxa"/>
            <w:shd w:val="clear" w:color="auto" w:fill="F2F2F2"/>
          </w:tcPr>
          <w:p>
            <w:pPr/>
            <w:r>
              <w:t xml:space="preserve">Responsabilidad</w:t>
            </w:r>
          </w:p>
        </w:tc>
        <w:tc>
          <w:tcPr>
            <w:tcW w:w="1458" w:type="dxa"/>
            <w:shd w:val="clear" w:color="auto" w:fill="F2F2F2"/>
          </w:tcPr>
          <w:p>
            <w:pPr/>
            <w:r>
              <w:t xml:space="preserve">Requisitos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web</w:t>
            </w:r>
          </w:p>
        </w:tc>
        <w:tc>
          <w:tcPr>
            <w:tcW w:w="2153" w:type="dxa"/>
          </w:tcPr>
          <w:p>
            <w:pPr/>
            <w:r>
              <w:t xml:space="preserve">Next.js (App Router), Recharts</w:t>
            </w:r>
          </w:p>
        </w:tc>
        <w:tc>
          <w:tcPr>
            <w:tcW w:w="3473" w:type="dxa"/>
          </w:tcPr>
          <w:p>
            <w:pPr/>
            <w:r>
              <w:t xml:space="preserve">Interfaz por rol con guardas de ruta; cliente tipado generado desde OpenAPI</w:t>
            </w:r>
          </w:p>
        </w:tc>
        <w:tc>
          <w:tcPr>
            <w:tcW w:w="1458" w:type="dxa"/>
          </w:tcPr>
          <w:p>
            <w:pPr/>
            <w:r>
              <w:t xml:space="preserve">Interfaz de RF-01 a RF-60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movil</w:t>
            </w:r>
          </w:p>
        </w:tc>
        <w:tc>
          <w:tcPr>
            <w:tcW w:w="2153" w:type="dxa"/>
          </w:tcPr>
          <w:p>
            <w:pPr/>
            <w:r>
              <w:t xml:space="preserve">React Native con Expo</w:t>
            </w:r>
          </w:p>
        </w:tc>
        <w:tc>
          <w:tcPr>
            <w:tcW w:w="3473" w:type="dxa"/>
          </w:tcPr>
          <w:p>
            <w:pPr/>
            <w:r>
              <w:t xml:space="preserve">Consulta de solicitudes y recomendaciones, bandeja de alertas</w:t>
            </w:r>
          </w:p>
        </w:tc>
        <w:tc>
          <w:tcPr>
            <w:tcW w:w="1458" w:type="dxa"/>
          </w:tcPr>
          <w:p>
            <w:pPr/>
            <w:r>
              <w:t xml:space="preserve">RF-61 a RF-66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api</w:t>
            </w:r>
          </w:p>
        </w:tc>
        <w:tc>
          <w:tcPr>
            <w:tcW w:w="2153" w:type="dxa"/>
          </w:tcPr>
          <w:p>
            <w:pPr/>
            <w:r>
              <w:t xml:space="preserve">FastAPI, SQLAlchemy 2, Pydantic, Alembic</w:t>
            </w:r>
          </w:p>
        </w:tc>
        <w:tc>
          <w:tcPr>
            <w:tcW w:w="3473" w:type="dxa"/>
          </w:tcPr>
          <w:p>
            <w:pPr/>
            <w:r>
              <w:t xml:space="preserve">Autenticación y autorización, auditoría, ciclo de vida de la solicitud, validación y emisión, curaduría, analítica y encolado de trabajos</w:t>
            </w:r>
          </w:p>
        </w:tc>
        <w:tc>
          <w:tcPr>
            <w:tcW w:w="1458" w:type="dxa"/>
          </w:tcPr>
          <w:p>
            <w:pPr/>
            <w:r>
              <w:t xml:space="preserve">RF-01 a RF-17, RF-27, RF-32, RF-33, RF-39, RF-41 a RF-60, RF-64, RF-65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worker-pipeline</w:t>
            </w:r>
          </w:p>
        </w:tc>
        <w:tc>
          <w:tcPr>
            <w:tcW w:w="2153" w:type="dxa"/>
          </w:tcPr>
          <w:p>
            <w:pPr/>
            <w:r>
              <w:t xml:space="preserve">Misma imagen que la API; Prodigal, Kaptive, Biopython, DIAMOND</w:t>
            </w:r>
          </w:p>
        </w:tc>
        <w:tc>
          <w:tcPr>
            <w:tcW w:w="3473" w:type="dxa"/>
          </w:tcPr>
          <w:p>
            <w:pPr/>
            <w:r>
              <w:t xml:space="preserve">Valida el FASTA, calidad, especie, locus K, genes, RBP y la ingesta del banco</w:t>
            </w:r>
          </w:p>
        </w:tc>
        <w:tc>
          <w:tcPr>
            <w:tcW w:w="1458" w:type="dxa"/>
          </w:tcPr>
          <w:p>
            <w:pPr/>
            <w:r>
              <w:t xml:space="preserve">RF-18 a RF-31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worker-prediction</w:t>
            </w:r>
          </w:p>
        </w:tc>
        <w:tc>
          <w:tcPr>
            <w:tcW w:w="2153" w:type="dxa"/>
          </w:tcPr>
          <w:p>
            <w:pPr/>
            <w:r>
              <w:t xml:space="preserve">Misma imagen; ESM-2 sobre PyTorch en CPU, XGBoost, SHAP</w:t>
            </w:r>
          </w:p>
        </w:tc>
        <w:tc>
          <w:tcPr>
            <w:tcW w:w="3473" w:type="dxa"/>
          </w:tcPr>
          <w:p>
            <w:pPr/>
            <w:r>
              <w:t xml:space="preserve">Embeddings, ranking, explicación y marca de baja confianza</w:t>
            </w:r>
          </w:p>
        </w:tc>
        <w:tc>
          <w:tcPr>
            <w:tcW w:w="1458" w:type="dxa"/>
          </w:tcPr>
          <w:p>
            <w:pPr/>
            <w:r>
              <w:t xml:space="preserve">RF-34 a RF-38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postgres</w:t>
            </w:r>
          </w:p>
        </w:tc>
        <w:tc>
          <w:tcPr>
            <w:tcW w:w="2153" w:type="dxa"/>
          </w:tcPr>
          <w:p>
            <w:pPr/>
            <w:r>
              <w:t xml:space="preserve">PostgreSQL, versión fijada en docker-compose</w:t>
            </w:r>
          </w:p>
        </w:tc>
        <w:tc>
          <w:tcPr>
            <w:tcW w:w="3473" w:type="dxa"/>
          </w:tcPr>
          <w:p>
            <w:pPr/>
            <w:r>
              <w:t xml:space="preserve">Dominio, cola de trabajos, ranking, auditoría y vistas analíticas</w:t>
            </w:r>
          </w:p>
        </w:tc>
        <w:tc>
          <w:tcPr>
            <w:tcW w:w="1458" w:type="dxa"/>
          </w:tcPr>
          <w:p>
            <w:pPr/>
            <w:r>
              <w:t xml:space="preserve">Datos de casi todos los RF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mongo</w:t>
            </w:r>
          </w:p>
        </w:tc>
        <w:tc>
          <w:tcPr>
            <w:tcW w:w="2153" w:type="dxa"/>
          </w:tcPr>
          <w:p>
            <w:pPr/>
            <w:r>
              <w:t xml:space="preserve">MongoDB, versión fijada en docker-compose</w:t>
            </w:r>
          </w:p>
        </w:tc>
        <w:tc>
          <w:tcPr>
            <w:tcW w:w="3473" w:type="dxa"/>
          </w:tcPr>
          <w:p>
            <w:pPr/>
            <w:r>
              <w:t xml:space="preserve">Salidas crudas, anotaciones, caché de embeddings y explicaciones</w:t>
            </w:r>
          </w:p>
        </w:tc>
        <w:tc>
          <w:tcPr>
            <w:tcW w:w="1458" w:type="dxa"/>
          </w:tcPr>
          <w:p>
            <w:pPr/>
            <w:r>
              <w:t xml:space="preserve">RF-23, RF-25, RF-30, RF-36</w:t>
            </w:r>
          </w:p>
        </w:tc>
      </w:tr>
    </w:tbl>
    <w:p>
      <w:pPr>
        <w:pStyle w:val="Heading3"/>
      </w:pPr>
      <w:r>
        <w:t xml:space="preserve">2.3 Flujo asíncrono de una solicitud</w:t>
      </w:r>
    </w:p>
    <w:p>
      <w:pPr/>
      <w:r>
        <w:t xml:space="preserve">La API nunca ejecuta herramientas bioinformáticas; solo encola trabajos y los workers los consumen.</w:t>
      </w:r>
    </w:p>
    <w:p>
      <w:pPr>
        <w:pStyle w:val="ListParagraph"/>
        <w:numPr>
          <w:ilvl w:val="0"/>
          <w:numId w:val="2"/>
        </w:numPr>
      </w:pPr>
      <w:r>
        <w:t xml:space="preserve">La API valida el FASTA (RF-10), guarda el archivo y, en una sola transacción, crea la solicitud en estado Registrada y una fila </w:t>
      </w:r>
      <w:r>
        <w:rPr>
          <w:rStyle w:val="CodeChar"/>
        </w:rPr>
        <w:t xml:space="preserve">trabajo</w:t>
      </w:r>
      <w:r>
        <w:t xml:space="preserve"> de tipo </w:t>
      </w:r>
      <w:r>
        <w:rPr>
          <w:rStyle w:val="CodeChar"/>
        </w:rPr>
        <w:t xml:space="preserve">pipeline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Style w:val="CodeChar"/>
        </w:rPr>
        <w:t xml:space="preserve">worker-pipeline</w:t>
      </w:r>
      <w:r>
        <w:t xml:space="preserve"> toma el trabajo, pasa la solicitud a En análisis y ejecuta calidad, especie, locus K, genes y proteínas, y embedding del hospedador. Escribe las salidas crudas en MongoDB y el resumen en PostgreSQL.</w:t>
      </w:r>
    </w:p>
    <w:p>
      <w:pPr>
        <w:pStyle w:val="ListParagraph"/>
        <w:numPr>
          <w:ilvl w:val="0"/>
          <w:numId w:val="2"/>
        </w:numPr>
      </w:pPr>
      <w:r>
        <w:t xml:space="preserve">Si la calidad o la especie no son válidas, la solicitud pasa a Rechazada. Si falla una herramienta, el trabajo se reintenta hasta 3 veces con espera creciente y después la solicitud pasa a Error.</w:t>
      </w:r>
    </w:p>
    <w:p>
      <w:pPr>
        <w:pStyle w:val="ListParagraph"/>
        <w:numPr>
          <w:ilvl w:val="0"/>
          <w:numId w:val="2"/>
        </w:numPr>
      </w:pPr>
      <w:r>
        <w:t xml:space="preserve">Al terminar, el worker encola un trabajo </w:t>
      </w:r>
      <w:r>
        <w:rPr>
          <w:rStyle w:val="CodeChar"/>
        </w:rPr>
        <w:t xml:space="preserve">prediccion</w:t>
      </w:r>
      <w:r>
        <w:t xml:space="preserve">. </w:t>
      </w:r>
      <w:r>
        <w:rPr>
          <w:rStyle w:val="CodeChar"/>
        </w:rPr>
        <w:t xml:space="preserve">worker-prediction</w:t>
      </w:r>
      <w:r>
        <w:t xml:space="preserve"> genera el ranking, las explicaciones y la marca de baja confianza, deja la solicitud en Predicción lista y crea una alerta para los microbiólogos.</w:t>
      </w:r>
    </w:p>
    <w:p>
      <w:pPr>
        <w:pStyle w:val="ListParagraph"/>
        <w:numPr>
          <w:ilvl w:val="0"/>
          <w:numId w:val="2"/>
        </w:numPr>
      </w:pPr>
      <w:r>
        <w:t xml:space="preserve">El microbiólogo toma, valida y emite desde la API. La emisión refresca las vistas analíticas y crea las alertas del técnico y del clínico.</w:t>
      </w:r>
    </w:p>
    <w:p>
      <w:pPr/>
      <w:r>
        <w:t xml:space="preserve">Los clientes consultan el estado y las alertas por sondeo cada 30 segundos; no se usan WebSockets en el MVP.</w:t>
      </w:r>
    </w:p>
    <w:p>
      <w:pPr>
        <w:pStyle w:val="Heading3"/>
      </w:pPr>
      <w:r>
        <w:t xml:space="preserve">2.4 Estructura del repositorio</w:t>
      </w:r>
    </w:p>
    <w:p>
      <w:pPr/>
      <w:r>
        <w:t xml:space="preserve">Sigue las carpetas ya creadas en el repositorio; </w:t>
      </w:r>
      <w:r>
        <w:rPr>
          <w:rStyle w:val="CodeChar"/>
        </w:rPr>
        <w:t xml:space="preserve">docker-compose.yml</w:t>
      </w:r>
      <w:r>
        <w:t xml:space="preserve"> se agrega en la Etapa 3.</w:t>
      </w:r>
    </w:p>
    <w:p>
      <w:pPr>
        <w:pStyle w:val="Code"/>
      </w:pPr>
      <w:r>
        <w:t xml:space="preserve">sirfa/</w:t>
        <w:br/>
        <w:t xml:space="preserve">├── backend/app/        API FastAPI: routers, servicios, repositorios y modelos</w:t>
        <w:br/>
        <w:t xml:space="preserve">├── backend/tests/      pruebas unitarias y de integración</w:t>
        <w:br/>
        <w:t xml:space="preserve">├── pipeline/           pipeline genómico e ingesta del banco (python -m pipeline.seed_phage_bank)</w:t>
        <w:br/>
        <w:t xml:space="preserve">├── ml/models/          artefactos versionados del modelo</w:t>
        <w:br/>
        <w:t xml:space="preserve">├── ml/notebooks/       entrenamiento y evaluación</w:t>
        <w:br/>
        <w:t xml:space="preserve">├── frontend/           Next.js</w:t>
        <w:br/>
        <w:t xml:space="preserve">├── mobile/             React Native (Expo)</w:t>
        <w:br/>
        <w:t xml:space="preserve">├── data/raw/           descargas de fuentes públicas, sin versionar</w:t>
        <w:br/>
        <w:t xml:space="preserve">├── docs/               requisitos, arquitectura, modelo de datos y UML</w:t>
        <w:br/>
        <w:t xml:space="preserve">├── docker-compose.yml  seis servicios</w:t>
        <w:br/>
        <w:t xml:space="preserve">└── .env.example        variables de entorno, sin secretos</w:t>
      </w:r>
    </w:p>
    <w:p>
      <w:pPr>
        <w:pStyle w:val="Heading3"/>
      </w:pPr>
      <w:r>
        <w:t xml:space="preserve">2.5 Diseño de la API REST</w:t>
      </w:r>
    </w:p>
    <w:p>
      <w:pPr/>
      <w:r>
        <w:t xml:space="preserve">Todas las rutas cuelgan de </w:t>
      </w:r>
      <w:r>
        <w:rPr>
          <w:rStyle w:val="CodeChar"/>
        </w:rPr>
        <w:t xml:space="preserve">/api/v1</w:t>
      </w:r>
      <w:r>
        <w:t xml:space="preserve"> y devuelven JSON; la documentación OpenAPI se genera sola. Un rol fuera de la columna recibe 403, y los datos fuera de su alcance, 404.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423"/>
        <w:gridCol w:w="4698"/>
        <w:gridCol w:w="1463"/>
        <w:gridCol w:w="1776"/>
      </w:tblGrid>
      <w:tr>
        <w:trPr>
          <w:tblHeader/>
        </w:trPr>
        <w:tc>
          <w:tcPr>
            <w:tcW w:w="1423" w:type="dxa"/>
            <w:shd w:val="clear" w:color="auto" w:fill="F2F2F2"/>
          </w:tcPr>
          <w:p>
            <w:pPr/>
            <w:r>
              <w:t xml:space="preserve">Módulo</w:t>
            </w:r>
          </w:p>
        </w:tc>
        <w:tc>
          <w:tcPr>
            <w:tcW w:w="4698" w:type="dxa"/>
            <w:shd w:val="clear" w:color="auto" w:fill="F2F2F2"/>
          </w:tcPr>
          <w:p>
            <w:pPr/>
            <w:r>
              <w:t xml:space="preserve">Endpoint</w:t>
            </w:r>
          </w:p>
        </w:tc>
        <w:tc>
          <w:tcPr>
            <w:tcW w:w="1463" w:type="dxa"/>
            <w:shd w:val="clear" w:color="auto" w:fill="F2F2F2"/>
          </w:tcPr>
          <w:p>
            <w:pPr/>
            <w:r>
              <w:t xml:space="preserve">Roles</w:t>
            </w:r>
          </w:p>
        </w:tc>
        <w:tc>
          <w:tcPr>
            <w:tcW w:w="1776" w:type="dxa"/>
            <w:shd w:val="clear" w:color="auto" w:fill="F2F2F2"/>
          </w:tcPr>
          <w:p>
            <w:pPr/>
            <w:r>
              <w:t xml:space="preserve">RF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Acceso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POST /auth/login</w:t>
            </w:r>
          </w:p>
        </w:tc>
        <w:tc>
          <w:tcPr>
            <w:tcW w:w="1463" w:type="dxa"/>
          </w:tcPr>
          <w:p>
            <w:pPr/>
            <w:r>
              <w:t xml:space="preserve">Público</w:t>
            </w:r>
          </w:p>
        </w:tc>
        <w:tc>
          <w:tcPr>
            <w:tcW w:w="1776" w:type="dxa"/>
          </w:tcPr>
          <w:p>
            <w:pPr/>
            <w:r>
              <w:t xml:space="preserve">RF-01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Acceso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POST /auth/refresh</w:t>
            </w:r>
            <w:r>
              <w:t xml:space="preserve">, </w:t>
            </w:r>
            <w:r>
              <w:rPr>
                <w:rStyle w:val="CodeChar"/>
              </w:rPr>
              <w:t xml:space="preserve">POST /auth/logout</w:t>
            </w:r>
          </w:p>
        </w:tc>
        <w:tc>
          <w:tcPr>
            <w:tcW w:w="1463" w:type="dxa"/>
          </w:tcPr>
          <w:p>
            <w:pPr/>
            <w:r>
              <w:t xml:space="preserve">Autenticado</w:t>
            </w:r>
          </w:p>
        </w:tc>
        <w:tc>
          <w:tcPr>
            <w:tcW w:w="1776" w:type="dxa"/>
          </w:tcPr>
          <w:p>
            <w:pPr/>
            <w:r>
              <w:t xml:space="preserve">RF-02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Acceso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POST /auth/cambiar-contrasena</w:t>
            </w:r>
          </w:p>
        </w:tc>
        <w:tc>
          <w:tcPr>
            <w:tcW w:w="1463" w:type="dxa"/>
          </w:tcPr>
          <w:p>
            <w:pPr/>
            <w:r>
              <w:t xml:space="preserve">Autenticado</w:t>
            </w:r>
          </w:p>
        </w:tc>
        <w:tc>
          <w:tcPr>
            <w:tcW w:w="1776" w:type="dxa"/>
          </w:tcPr>
          <w:p>
            <w:pPr/>
            <w:r>
              <w:t xml:space="preserve">RF-05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Usuarios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GET /usuarios</w:t>
            </w:r>
            <w:r>
              <w:t xml:space="preserve">, </w:t>
            </w:r>
            <w:r>
              <w:rPr>
                <w:rStyle w:val="CodeChar"/>
              </w:rPr>
              <w:t xml:space="preserve">POST /usuarios</w:t>
            </w:r>
            <w:r>
              <w:t xml:space="preserve">, </w:t>
            </w:r>
            <w:r>
              <w:rPr>
                <w:rStyle w:val="CodeChar"/>
              </w:rPr>
              <w:t xml:space="preserve">PATCH /usuarios/{id}</w:t>
            </w:r>
          </w:p>
        </w:tc>
        <w:tc>
          <w:tcPr>
            <w:tcW w:w="1463" w:type="dxa"/>
          </w:tcPr>
          <w:p>
            <w:pPr/>
            <w:r>
              <w:t xml:space="preserve">ADM</w:t>
            </w:r>
          </w:p>
        </w:tc>
        <w:tc>
          <w:tcPr>
            <w:tcW w:w="1776" w:type="dxa"/>
          </w:tcPr>
          <w:p>
            <w:pPr/>
            <w:r>
              <w:t xml:space="preserve">RF-03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Usuarios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POST /usuarios/{id}/restablecer-contrasena</w:t>
            </w:r>
          </w:p>
        </w:tc>
        <w:tc>
          <w:tcPr>
            <w:tcW w:w="1463" w:type="dxa"/>
          </w:tcPr>
          <w:p>
            <w:pPr/>
            <w:r>
              <w:t xml:space="preserve">ADM</w:t>
            </w:r>
          </w:p>
        </w:tc>
        <w:tc>
          <w:tcPr>
            <w:tcW w:w="1776" w:type="dxa"/>
          </w:tcPr>
          <w:p>
            <w:pPr/>
            <w:r>
              <w:t xml:space="preserve">RF-05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Solicitudes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POST /aislados</w:t>
            </w:r>
          </w:p>
        </w:tc>
        <w:tc>
          <w:tcPr>
            <w:tcW w:w="1463" w:type="dxa"/>
          </w:tcPr>
          <w:p>
            <w:pPr/>
            <w:r>
              <w:t xml:space="preserve">TEC</w:t>
            </w:r>
          </w:p>
        </w:tc>
        <w:tc>
          <w:tcPr>
            <w:tcW w:w="1776" w:type="dxa"/>
          </w:tcPr>
          <w:p>
            <w:pPr/>
            <w:r>
              <w:t xml:space="preserve">RF-07, RF-08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Solicitudes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POST /aislados/{id}/genoma</w:t>
            </w:r>
          </w:p>
        </w:tc>
        <w:tc>
          <w:tcPr>
            <w:tcW w:w="1463" w:type="dxa"/>
          </w:tcPr>
          <w:p>
            <w:pPr/>
            <w:r>
              <w:t xml:space="preserve">TEC</w:t>
            </w:r>
          </w:p>
        </w:tc>
        <w:tc>
          <w:tcPr>
            <w:tcW w:w="1776" w:type="dxa"/>
          </w:tcPr>
          <w:p>
            <w:pPr/>
            <w:r>
              <w:t xml:space="preserve">RF-09, RF-10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Solicitudes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POST /solicitudes</w:t>
            </w:r>
          </w:p>
        </w:tc>
        <w:tc>
          <w:tcPr>
            <w:tcW w:w="1463" w:type="dxa"/>
          </w:tcPr>
          <w:p>
            <w:pPr/>
            <w:r>
              <w:t xml:space="preserve">TEC</w:t>
            </w:r>
          </w:p>
        </w:tc>
        <w:tc>
          <w:tcPr>
            <w:tcW w:w="1776" w:type="dxa"/>
          </w:tcPr>
          <w:p>
            <w:pPr/>
            <w:r>
              <w:t xml:space="preserve">RF-11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Solicitudes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GET /solicitudes</w:t>
            </w:r>
          </w:p>
        </w:tc>
        <w:tc>
          <w:tcPr>
            <w:tcW w:w="1463" w:type="dxa"/>
          </w:tcPr>
          <w:p>
            <w:pPr/>
            <w:r>
              <w:t xml:space="preserve">TEC, MIC, CLI, ADM</w:t>
            </w:r>
          </w:p>
        </w:tc>
        <w:tc>
          <w:tcPr>
            <w:tcW w:w="1776" w:type="dxa"/>
          </w:tcPr>
          <w:p>
            <w:pPr/>
            <w:r>
              <w:t xml:space="preserve">RF-13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Solicitudes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GET /solicitudes/{id}</w:t>
            </w:r>
          </w:p>
        </w:tc>
        <w:tc>
          <w:tcPr>
            <w:tcW w:w="1463" w:type="dxa"/>
          </w:tcPr>
          <w:p>
            <w:pPr/>
            <w:r>
              <w:t xml:space="preserve">TEC, MIC, CLI, ADM</w:t>
            </w:r>
          </w:p>
        </w:tc>
        <w:tc>
          <w:tcPr>
            <w:tcW w:w="1776" w:type="dxa"/>
          </w:tcPr>
          <w:p>
            <w:pPr/>
            <w:r>
              <w:t xml:space="preserve">RF-14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Solicitudes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POST /solicitudes/{id}/anular</w:t>
            </w:r>
          </w:p>
        </w:tc>
        <w:tc>
          <w:tcPr>
            <w:tcW w:w="1463" w:type="dxa"/>
          </w:tcPr>
          <w:p>
            <w:pPr/>
            <w:r>
              <w:t xml:space="preserve">TEC, ADM</w:t>
            </w:r>
          </w:p>
        </w:tc>
        <w:tc>
          <w:tcPr>
            <w:tcW w:w="1776" w:type="dxa"/>
          </w:tcPr>
          <w:p>
            <w:pPr/>
            <w:r>
              <w:t xml:space="preserve">RF-15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Solicitudes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POST /solicitudes/{id}/reintentar</w:t>
            </w:r>
          </w:p>
        </w:tc>
        <w:tc>
          <w:tcPr>
            <w:tcW w:w="1463" w:type="dxa"/>
          </w:tcPr>
          <w:p>
            <w:pPr/>
            <w:r>
              <w:t xml:space="preserve">TEC, ADM</w:t>
            </w:r>
          </w:p>
        </w:tc>
        <w:tc>
          <w:tcPr>
            <w:tcW w:w="1776" w:type="dxa"/>
          </w:tcPr>
          <w:p>
            <w:pPr/>
            <w:r>
              <w:t xml:space="preserve">RF-16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Solicitudes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POST /solicitudes/{id}/seguimiento</w:t>
            </w:r>
          </w:p>
        </w:tc>
        <w:tc>
          <w:tcPr>
            <w:tcW w:w="1463" w:type="dxa"/>
          </w:tcPr>
          <w:p>
            <w:pPr/>
            <w:r>
              <w:t xml:space="preserve">MIC</w:t>
            </w:r>
          </w:p>
        </w:tc>
        <w:tc>
          <w:tcPr>
            <w:tcW w:w="1776" w:type="dxa"/>
          </w:tcPr>
          <w:p>
            <w:pPr/>
            <w:r>
              <w:t xml:space="preserve">RF-17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Validación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GET /validaciones/bandeja</w:t>
            </w:r>
          </w:p>
        </w:tc>
        <w:tc>
          <w:tcPr>
            <w:tcW w:w="1463" w:type="dxa"/>
          </w:tcPr>
          <w:p>
            <w:pPr/>
            <w:r>
              <w:t xml:space="preserve">MIC</w:t>
            </w:r>
          </w:p>
        </w:tc>
        <w:tc>
          <w:tcPr>
            <w:tcW w:w="1776" w:type="dxa"/>
          </w:tcPr>
          <w:p>
            <w:pPr/>
            <w:r>
              <w:t xml:space="preserve">RF-41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Validación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POST /solicitudes/{id}/tomar</w:t>
            </w:r>
          </w:p>
        </w:tc>
        <w:tc>
          <w:tcPr>
            <w:tcW w:w="1463" w:type="dxa"/>
          </w:tcPr>
          <w:p>
            <w:pPr/>
            <w:r>
              <w:t xml:space="preserve">MIC</w:t>
            </w:r>
          </w:p>
        </w:tc>
        <w:tc>
          <w:tcPr>
            <w:tcW w:w="1776" w:type="dxa"/>
          </w:tcPr>
          <w:p>
            <w:pPr/>
            <w:r>
              <w:t xml:space="preserve">RF-42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Validación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POST /solicitudes/{id}/reasignar</w:t>
            </w:r>
          </w:p>
        </w:tc>
        <w:tc>
          <w:tcPr>
            <w:tcW w:w="1463" w:type="dxa"/>
          </w:tcPr>
          <w:p>
            <w:pPr/>
            <w:r>
              <w:t xml:space="preserve">ADM</w:t>
            </w:r>
          </w:p>
        </w:tc>
        <w:tc>
          <w:tcPr>
            <w:tcW w:w="1776" w:type="dxa"/>
          </w:tcPr>
          <w:p>
            <w:pPr/>
            <w:r>
              <w:t xml:space="preserve">RF-42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Validación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POST /solicitudes/{id}/validacion</w:t>
            </w:r>
          </w:p>
        </w:tc>
        <w:tc>
          <w:tcPr>
            <w:tcW w:w="1463" w:type="dxa"/>
          </w:tcPr>
          <w:p>
            <w:pPr/>
            <w:r>
              <w:t xml:space="preserve">MIC</w:t>
            </w:r>
          </w:p>
        </w:tc>
        <w:tc>
          <w:tcPr>
            <w:tcW w:w="1776" w:type="dxa"/>
          </w:tcPr>
          <w:p>
            <w:pPr/>
            <w:r>
              <w:t xml:space="preserve">RF-43, RF-44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Validación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GET /solicitudes/{id}/recomendacion</w:t>
            </w:r>
          </w:p>
        </w:tc>
        <w:tc>
          <w:tcPr>
            <w:tcW w:w="1463" w:type="dxa"/>
          </w:tcPr>
          <w:p>
            <w:pPr/>
            <w:r>
              <w:t xml:space="preserve">TEC, MIC, CLI, ADM</w:t>
            </w:r>
          </w:p>
        </w:tc>
        <w:tc>
          <w:tcPr>
            <w:tcW w:w="1776" w:type="dxa"/>
          </w:tcPr>
          <w:p>
            <w:pPr/>
            <w:r>
              <w:t xml:space="preserve">RF-45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Validación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GET /solicitudes/{id}/recomendacion.pdf</w:t>
            </w:r>
          </w:p>
        </w:tc>
        <w:tc>
          <w:tcPr>
            <w:tcW w:w="1463" w:type="dxa"/>
          </w:tcPr>
          <w:p>
            <w:pPr/>
            <w:r>
              <w:t xml:space="preserve">MIC, CLI</w:t>
            </w:r>
          </w:p>
        </w:tc>
        <w:tc>
          <w:tcPr>
            <w:tcW w:w="1776" w:type="dxa"/>
          </w:tcPr>
          <w:p>
            <w:pPr/>
            <w:r>
              <w:t xml:space="preserve">RF-47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Banco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GET /fagos</w:t>
            </w:r>
            <w:r>
              <w:t xml:space="preserve">, </w:t>
            </w:r>
            <w:r>
              <w:rPr>
                <w:rStyle w:val="CodeChar"/>
              </w:rPr>
              <w:t xml:space="preserve">GET /fagos/{id}</w:t>
            </w:r>
          </w:p>
        </w:tc>
        <w:tc>
          <w:tcPr>
            <w:tcW w:w="1463" w:type="dxa"/>
          </w:tcPr>
          <w:p>
            <w:pPr/>
            <w:r>
              <w:t xml:space="preserve">MIC, ADM</w:t>
            </w:r>
          </w:p>
        </w:tc>
        <w:tc>
          <w:tcPr>
            <w:tcW w:w="1776" w:type="dxa"/>
          </w:tcPr>
          <w:p>
            <w:pPr/>
            <w:r>
              <w:t xml:space="preserve">RF-32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Banco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PATCH /fagos/{id}</w:t>
            </w:r>
            <w:r>
              <w:t xml:space="preserve">, </w:t>
            </w:r>
            <w:r>
              <w:rPr>
                <w:rStyle w:val="CodeChar"/>
              </w:rPr>
              <w:t xml:space="preserve">POST /fagos/{id}/aprobar</w:t>
            </w:r>
            <w:r>
              <w:t xml:space="preserve">, </w:t>
            </w:r>
            <w:r>
              <w:rPr>
                <w:rStyle w:val="CodeChar"/>
              </w:rPr>
              <w:t xml:space="preserve">POST /fagos/{id}/descartar</w:t>
            </w:r>
          </w:p>
        </w:tc>
        <w:tc>
          <w:tcPr>
            <w:tcW w:w="1463" w:type="dxa"/>
          </w:tcPr>
          <w:p>
            <w:pPr/>
            <w:r>
              <w:t xml:space="preserve">MIC</w:t>
            </w:r>
          </w:p>
        </w:tc>
        <w:tc>
          <w:tcPr>
            <w:tcW w:w="1776" w:type="dxa"/>
          </w:tcPr>
          <w:p>
            <w:pPr/>
            <w:r>
              <w:t xml:space="preserve">RF-33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Banco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POST /banco/ingesta</w:t>
            </w:r>
          </w:p>
        </w:tc>
        <w:tc>
          <w:tcPr>
            <w:tcW w:w="1463" w:type="dxa"/>
          </w:tcPr>
          <w:p>
            <w:pPr/>
            <w:r>
              <w:t xml:space="preserve">ADM</w:t>
            </w:r>
          </w:p>
        </w:tc>
        <w:tc>
          <w:tcPr>
            <w:tcW w:w="1776" w:type="dxa"/>
          </w:tcPr>
          <w:p>
            <w:pPr/>
            <w:r>
              <w:t xml:space="preserve">RF-27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Modelo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GET /modelo/vigente</w:t>
            </w:r>
          </w:p>
        </w:tc>
        <w:tc>
          <w:tcPr>
            <w:tcW w:w="1463" w:type="dxa"/>
          </w:tcPr>
          <w:p>
            <w:pPr/>
            <w:r>
              <w:t xml:space="preserve">MIC, ADM</w:t>
            </w:r>
          </w:p>
        </w:tc>
        <w:tc>
          <w:tcPr>
            <w:tcW w:w="1776" w:type="dxa"/>
          </w:tcPr>
          <w:p>
            <w:pPr/>
            <w:r>
              <w:t xml:space="preserve">RF-39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Tablero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GET /tablero/cobertura</w:t>
            </w:r>
          </w:p>
        </w:tc>
        <w:tc>
          <w:tcPr>
            <w:tcW w:w="1463" w:type="dxa"/>
          </w:tcPr>
          <w:p>
            <w:pPr/>
            <w:r>
              <w:t xml:space="preserve">EPI, ADM, MIC</w:t>
            </w:r>
          </w:p>
        </w:tc>
        <w:tc>
          <w:tcPr>
            <w:tcW w:w="1776" w:type="dxa"/>
          </w:tcPr>
          <w:p>
            <w:pPr/>
            <w:r>
              <w:t xml:space="preserve">RF-55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Tablero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GET /tablero/brechas</w:t>
            </w:r>
            <w:r>
              <w:t xml:space="preserve">, </w:t>
            </w:r>
            <w:r>
              <w:rPr>
                <w:rStyle w:val="CodeChar"/>
              </w:rPr>
              <w:t xml:space="preserve">GET /tablero/tendencias</w:t>
            </w:r>
          </w:p>
        </w:tc>
        <w:tc>
          <w:tcPr>
            <w:tcW w:w="1463" w:type="dxa"/>
          </w:tcPr>
          <w:p>
            <w:pPr/>
            <w:r>
              <w:t xml:space="preserve">EPI, ADM</w:t>
            </w:r>
          </w:p>
        </w:tc>
        <w:tc>
          <w:tcPr>
            <w:tcW w:w="1776" w:type="dxa"/>
          </w:tcPr>
          <w:p>
            <w:pPr/>
            <w:r>
              <w:t xml:space="preserve">RF-56 a RF-59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Tablero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GET /tablero/exportar.csv</w:t>
            </w:r>
          </w:p>
        </w:tc>
        <w:tc>
          <w:tcPr>
            <w:tcW w:w="1463" w:type="dxa"/>
          </w:tcPr>
          <w:p>
            <w:pPr/>
            <w:r>
              <w:t xml:space="preserve">EPI</w:t>
            </w:r>
          </w:p>
        </w:tc>
        <w:tc>
          <w:tcPr>
            <w:tcW w:w="1776" w:type="dxa"/>
          </w:tcPr>
          <w:p>
            <w:pPr/>
            <w:r>
              <w:t xml:space="preserve">RF-60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Auditoría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GET /auditoria</w:t>
            </w:r>
          </w:p>
        </w:tc>
        <w:tc>
          <w:tcPr>
            <w:tcW w:w="1463" w:type="dxa"/>
          </w:tcPr>
          <w:p>
            <w:pPr/>
            <w:r>
              <w:t xml:space="preserve">ADM</w:t>
            </w:r>
          </w:p>
        </w:tc>
        <w:tc>
          <w:tcPr>
            <w:tcW w:w="1776" w:type="dxa"/>
          </w:tcPr>
          <w:p>
            <w:pPr/>
            <w:r>
              <w:t xml:space="preserve">RF-52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Auditoría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GET /auditoria/exportar.csv</w:t>
            </w:r>
          </w:p>
        </w:tc>
        <w:tc>
          <w:tcPr>
            <w:tcW w:w="1463" w:type="dxa"/>
          </w:tcPr>
          <w:p>
            <w:pPr/>
            <w:r>
              <w:t xml:space="preserve">ADM</w:t>
            </w:r>
          </w:p>
        </w:tc>
        <w:tc>
          <w:tcPr>
            <w:tcW w:w="1776" w:type="dxa"/>
          </w:tcPr>
          <w:p>
            <w:pPr/>
            <w:r>
              <w:t xml:space="preserve">RF-54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Auditoría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GET /auditoria/verificacion</w:t>
            </w:r>
          </w:p>
        </w:tc>
        <w:tc>
          <w:tcPr>
            <w:tcW w:w="1463" w:type="dxa"/>
          </w:tcPr>
          <w:p>
            <w:pPr/>
            <w:r>
              <w:t xml:space="preserve">ADM</w:t>
            </w:r>
          </w:p>
        </w:tc>
        <w:tc>
          <w:tcPr>
            <w:tcW w:w="1776" w:type="dxa"/>
          </w:tcPr>
          <w:p>
            <w:pPr/>
            <w:r>
              <w:t xml:space="preserve">RF-51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Auditoría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GET /auditoria/recomendaciones/{id}</w:t>
            </w:r>
          </w:p>
        </w:tc>
        <w:tc>
          <w:tcPr>
            <w:tcW w:w="1463" w:type="dxa"/>
          </w:tcPr>
          <w:p>
            <w:pPr/>
            <w:r>
              <w:t xml:space="preserve">ADM</w:t>
            </w:r>
          </w:p>
        </w:tc>
        <w:tc>
          <w:tcPr>
            <w:tcW w:w="1776" w:type="dxa"/>
          </w:tcPr>
          <w:p>
            <w:pPr/>
            <w:r>
              <w:t xml:space="preserve">RF-53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Alertas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GET /alertas</w:t>
            </w:r>
            <w:r>
              <w:t xml:space="preserve">, </w:t>
            </w:r>
            <w:r>
              <w:rPr>
                <w:rStyle w:val="CodeChar"/>
              </w:rPr>
              <w:t xml:space="preserve">POST /alertas/{id}/leida</w:t>
            </w:r>
          </w:p>
        </w:tc>
        <w:tc>
          <w:tcPr>
            <w:tcW w:w="1463" w:type="dxa"/>
          </w:tcPr>
          <w:p>
            <w:pPr/>
            <w:r>
              <w:t xml:space="preserve">TEC, MIC, CLI</w:t>
            </w:r>
          </w:p>
        </w:tc>
        <w:tc>
          <w:tcPr>
            <w:tcW w:w="1776" w:type="dxa"/>
          </w:tcPr>
          <w:p>
            <w:pPr/>
            <w:r>
              <w:t xml:space="preserve">RF-64, RF-65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Alertas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POST /alertas/dispositivos</w:t>
            </w:r>
          </w:p>
        </w:tc>
        <w:tc>
          <w:tcPr>
            <w:tcW w:w="1463" w:type="dxa"/>
          </w:tcPr>
          <w:p>
            <w:pPr/>
            <w:r>
              <w:t xml:space="preserve">TEC, MIC, CLI</w:t>
            </w:r>
          </w:p>
        </w:tc>
        <w:tc>
          <w:tcPr>
            <w:tcW w:w="1776" w:type="dxa"/>
          </w:tcPr>
          <w:p>
            <w:pPr/>
            <w:r>
              <w:t xml:space="preserve">RF-66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Sistema</w:t>
            </w:r>
          </w:p>
        </w:tc>
        <w:tc>
          <w:tcPr>
            <w:tcW w:w="4698" w:type="dxa"/>
          </w:tcPr>
          <w:p>
            <w:pPr/>
            <w:r>
              <w:rPr>
                <w:rStyle w:val="CodeChar"/>
              </w:rPr>
              <w:t xml:space="preserve">GET /salud</w:t>
            </w:r>
          </w:p>
        </w:tc>
        <w:tc>
          <w:tcPr>
            <w:tcW w:w="1463" w:type="dxa"/>
          </w:tcPr>
          <w:p>
            <w:pPr/>
            <w:r>
              <w:t xml:space="preserve">Público</w:t>
            </w:r>
          </w:p>
        </w:tc>
        <w:tc>
          <w:tcPr>
            <w:tcW w:w="1776" w:type="dxa"/>
          </w:tcPr>
          <w:p>
            <w:pPr/>
            <w:r>
              <w:t xml:space="preserve">RNF-19</w:t>
            </w:r>
          </w:p>
        </w:tc>
      </w:tr>
    </w:tbl>
    <w:p>
      <w:pPr>
        <w:pStyle w:val="Heading2"/>
      </w:pPr>
      <w:r>
        <w:t xml:space="preserve">3. Modelo de datos relacional (PostgreSQL)</w:t>
      </w:r>
    </w:p>
    <w:p>
      <w:pPr/>
      <w:r>
        <w:t xml:space="preserve">El esquema tiene 24 tablas en cinco áreas: acceso, solicitudes, banco de fagos, predicción y emisión, y sistema. Ninguna contiene datos que identifiquen a un paciente.</w:t>
      </w:r>
    </w:p>
    <w:p>
      <w:pPr>
        <w:pStyle w:val="Heading3"/>
      </w:pPr>
      <w:r>
        <w:t xml:space="preserve">3.1 Convenciones</w:t>
      </w:r>
    </w:p>
    <w:p>
      <w:pPr>
        <w:pStyle w:val="ListParagraph"/>
        <w:numPr>
          <w:ilvl w:val="0"/>
          <w:numId w:val="3"/>
        </w:numPr>
      </w:pPr>
      <w:r>
        <w:t xml:space="preserve">Nombres en español, en </w:t>
      </w:r>
      <w:r>
        <w:rPr>
          <w:rStyle w:val="CodeChar"/>
        </w:rPr>
        <w:t xml:space="preserve">snake_case</w:t>
      </w:r>
      <w:r>
        <w:t xml:space="preserve"> y en singular. Claves primarias </w:t>
      </w:r>
      <w:r>
        <w:rPr>
          <w:rStyle w:val="CodeChar"/>
        </w:rPr>
        <w:t xml:space="preserve">uuid</w:t>
      </w:r>
      <w:r>
        <w:t xml:space="preserve">, salvo </w:t>
      </w:r>
      <w:r>
        <w:rPr>
          <w:rStyle w:val="CodeChar"/>
        </w:rPr>
        <w:t xml:space="preserve">evento_auditoria</w:t>
      </w:r>
      <w:r>
        <w:t xml:space="preserve">, que usa un entero creciente para ordenar la cadena de hashes.</w:t>
      </w:r>
    </w:p>
    <w:p>
      <w:pPr>
        <w:pStyle w:val="ListParagraph"/>
        <w:numPr>
          <w:ilvl w:val="0"/>
          <w:numId w:val="3"/>
        </w:numPr>
      </w:pPr>
      <w:r>
        <w:t xml:space="preserve">Fechas como </w:t>
      </w:r>
      <w:r>
        <w:rPr>
          <w:rStyle w:val="CodeChar"/>
        </w:rPr>
        <w:t xml:space="preserve">timestamptz</w:t>
      </w:r>
      <w:r>
        <w:t xml:space="preserve"> en UTC. Los valores cerrados se guardan como </w:t>
      </w:r>
      <w:r>
        <w:rPr>
          <w:rStyle w:val="CodeChar"/>
        </w:rPr>
        <w:t xml:space="preserve">text</w:t>
      </w:r>
      <w:r>
        <w:t xml:space="preserve"> con una restricción </w:t>
      </w:r>
      <w:r>
        <w:rPr>
          <w:rStyle w:val="CodeChar"/>
        </w:rPr>
        <w:t xml:space="preserve">CHECK</w:t>
      </w:r>
      <w:r>
        <w:t xml:space="preserve">, para poder evolucionarlos con migraciones simples.</w:t>
      </w:r>
    </w:p>
    <w:p>
      <w:pPr>
        <w:pStyle w:val="ListParagraph"/>
        <w:numPr>
          <w:ilvl w:val="0"/>
          <w:numId w:val="3"/>
        </w:numPr>
      </w:pPr>
      <w:r>
        <w:t xml:space="preserve">Las claves foráneas usan </w:t>
      </w:r>
      <w:r>
        <w:rPr>
          <w:rStyle w:val="CodeChar"/>
        </w:rPr>
        <w:t xml:space="preserve">ON DELETE RESTRICT</w:t>
      </w:r>
      <w:r>
        <w:t xml:space="preserve">: usuarios, solicitudes y fagos con historial se desactivan, no se borran.</w:t>
      </w:r>
    </w:p>
    <w:p>
      <w:pPr>
        <w:pStyle w:val="Heading3"/>
      </w:pPr>
      <w:r>
        <w:t xml:space="preserve">3.2 Núcleo de solicitudes</w:t>
      </w:r>
    </w:p>
    <w:p>
      <w:pPr/>
      <w:r>
        <w:drawing>
          <wp:inline distT="0" distB="0" distL="0" distR="0">
            <wp:extent cx="5486400" cy="3086100"/>
            <wp:docPr id="2" name="image2" descr="ER · 9 de 24 tablas, núcleo de solicitude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ER · 9 de 24 tablas, núcleo de solicitudes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ER · 9 de 24 tablas, núcleo de solicitudes</w:t>
      </w:r>
    </w:p>
    <w:p>
      <w:pPr/>
      <w:r>
        <w:rPr>
          <w:rStyle w:val="CodeChar"/>
        </w:rPr>
        <w:t xml:space="preserve">solicitud</w:t>
      </w:r>
      <w:r>
        <w:t xml:space="preserve"> referencia a </w:t>
      </w:r>
      <w:r>
        <w:rPr>
          <w:rStyle w:val="CodeChar"/>
        </w:rPr>
        <w:t xml:space="preserve">usuario</w:t>
      </w:r>
      <w:r>
        <w:t xml:space="preserve"> por tres columnas (</w:t>
      </w:r>
      <w:r>
        <w:rPr>
          <w:rStyle w:val="CodeChar"/>
        </w:rPr>
        <w:t xml:space="preserve">solicitante_id</w:t>
      </w:r>
      <w:r>
        <w:t xml:space="preserve">, </w:t>
      </w:r>
      <w:r>
        <w:rPr>
          <w:rStyle w:val="CodeChar"/>
        </w:rPr>
        <w:t xml:space="preserve">creada_por</w:t>
      </w:r>
      <w:r>
        <w:t xml:space="preserve"> y </w:t>
      </w:r>
      <w:r>
        <w:rPr>
          <w:rStyle w:val="CodeChar"/>
        </w:rPr>
        <w:t xml:space="preserve">asignada_a</w:t>
      </w:r>
      <w:r>
        <w:t xml:space="preserve">); el diagrama dibuja una sola flecha.</w:t>
      </w:r>
    </w:p>
    <w:p>
      <w:pPr>
        <w:pStyle w:val="Heading3"/>
      </w:pPr>
      <w:r>
        <w:t xml:space="preserve">3.3 Banco de fagos y predicción</w:t>
      </w:r>
    </w:p>
    <w:p>
      <w:pPr/>
      <w:r>
        <w:drawing>
          <wp:inline distT="0" distB="0" distL="0" distR="0">
            <wp:extent cx="5486400" cy="3445328"/>
            <wp:docPr id="3" name="image3" descr="ER · 7 de 24 tablas, banco de fagos y predicció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ER · 7 de 24 tablas, banco de fagos y predicción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5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ER · 7 de 24 tablas, banco de fagos y predicción</w:t>
      </w:r>
    </w:p>
    <w:p>
      <w:pPr/>
      <w:r>
        <w:t xml:space="preserve">El ranking se guarda como filas de </w:t>
      </w:r>
      <w:r>
        <w:rPr>
          <w:rStyle w:val="CodeChar"/>
        </w:rPr>
        <w:t xml:space="preserve">candidato</w:t>
      </w:r>
      <w:r>
        <w:t xml:space="preserve">, y solo los fagos con </w:t>
      </w:r>
      <w:r>
        <w:rPr>
          <w:rStyle w:val="CodeChar"/>
        </w:rPr>
        <w:t xml:space="preserve">estado_curaduria</w:t>
      </w:r>
      <w:r>
        <w:t xml:space="preserve"> aprobado pueden aparecer en él (RN-04).</w:t>
      </w:r>
    </w:p>
    <w:p>
      <w:pPr>
        <w:pStyle w:val="Heading3"/>
      </w:pPr>
      <w:r>
        <w:t xml:space="preserve">3.4 Diccionario de tablas</w:t>
      </w:r>
    </w:p>
    <w:p>
      <w:pPr/>
      <w:r>
        <w:rPr>
          <w:b/>
        </w:rPr>
        <w:t xml:space="preserve">Acceso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156"/>
        <w:gridCol w:w="4841"/>
        <w:gridCol w:w="2363"/>
      </w:tblGrid>
      <w:tr>
        <w:trPr>
          <w:tblHeader/>
        </w:trPr>
        <w:tc>
          <w:tcPr>
            <w:tcW w:w="2156" w:type="dxa"/>
            <w:shd w:val="clear" w:color="auto" w:fill="F2F2F2"/>
          </w:tcPr>
          <w:p>
            <w:pPr/>
            <w:r>
              <w:t xml:space="preserve">Tabla</w:t>
            </w:r>
          </w:p>
        </w:tc>
        <w:tc>
          <w:tcPr>
            <w:tcW w:w="4841" w:type="dxa"/>
            <w:shd w:val="clear" w:color="auto" w:fill="F2F2F2"/>
          </w:tcPr>
          <w:p>
            <w:pPr/>
            <w:r>
              <w:t xml:space="preserve">Columnas</w:t>
            </w:r>
          </w:p>
        </w:tc>
        <w:tc>
          <w:tcPr>
            <w:tcW w:w="2363" w:type="dxa"/>
            <w:shd w:val="clear" w:color="auto" w:fill="F2F2F2"/>
          </w:tcPr>
          <w:p>
            <w:pPr/>
            <w:r>
              <w:t xml:space="preserve">Restricciones</w:t>
            </w:r>
          </w:p>
        </w:tc>
      </w:tr>
      <w:tr>
        <w:tc>
          <w:tcPr>
            <w:tcW w:w="2156" w:type="dxa"/>
          </w:tcPr>
          <w:p>
            <w:pPr/>
            <w:r>
              <w:rPr>
                <w:rStyle w:val="CodeChar"/>
              </w:rPr>
              <w:t xml:space="preserve">centro</w:t>
            </w:r>
          </w:p>
        </w:tc>
        <w:tc>
          <w:tcPr>
            <w:tcW w:w="4841" w:type="dxa"/>
          </w:tcPr>
          <w:p>
            <w:pPr/>
            <w:r>
              <w:t xml:space="preserve">id, codigo, nombre, creado_en</w:t>
            </w:r>
          </w:p>
        </w:tc>
        <w:tc>
          <w:tcPr>
            <w:tcW w:w="2363" w:type="dxa"/>
          </w:tcPr>
          <w:p>
            <w:pPr/>
            <w:r>
              <w:rPr>
                <w:rStyle w:val="CodeChar"/>
              </w:rPr>
              <w:t xml:space="preserve">codigo</w:t>
            </w:r>
            <w:r>
              <w:t xml:space="preserve"> único</w:t>
            </w:r>
          </w:p>
        </w:tc>
      </w:tr>
      <w:tr>
        <w:tc>
          <w:tcPr>
            <w:tcW w:w="2156" w:type="dxa"/>
          </w:tcPr>
          <w:p>
            <w:pPr/>
            <w:r>
              <w:rPr>
                <w:rStyle w:val="CodeChar"/>
              </w:rPr>
              <w:t xml:space="preserve">usuario</w:t>
            </w:r>
          </w:p>
        </w:tc>
        <w:tc>
          <w:tcPr>
            <w:tcW w:w="4841" w:type="dxa"/>
          </w:tcPr>
          <w:p>
            <w:pPr/>
            <w:r>
              <w:t xml:space="preserve">id, correo, nombre, password_hash, rol, centro_id, activo, intentos_fallidos, bloqueado_hasta, creado_en</w:t>
            </w:r>
          </w:p>
        </w:tc>
        <w:tc>
          <w:tcPr>
            <w:tcW w:w="2363" w:type="dxa"/>
          </w:tcPr>
          <w:p>
            <w:pPr/>
            <w:r>
              <w:rPr>
                <w:rStyle w:val="CodeChar"/>
              </w:rPr>
              <w:t xml:space="preserve">correo</w:t>
            </w:r>
            <w:r>
              <w:t xml:space="preserve"> único; </w:t>
            </w:r>
            <w:r>
              <w:rPr>
                <w:rStyle w:val="CodeChar"/>
              </w:rPr>
              <w:t xml:space="preserve">rol</w:t>
            </w:r>
            <w:r>
              <w:t xml:space="preserve"> en TEC, MIC, CLI, EPI, ADM</w:t>
            </w:r>
          </w:p>
        </w:tc>
      </w:tr>
      <w:tr>
        <w:tc>
          <w:tcPr>
            <w:tcW w:w="2156" w:type="dxa"/>
          </w:tcPr>
          <w:p>
            <w:pPr/>
            <w:r>
              <w:rPr>
                <w:rStyle w:val="CodeChar"/>
              </w:rPr>
              <w:t xml:space="preserve">refresh_token</w:t>
            </w:r>
          </w:p>
        </w:tc>
        <w:tc>
          <w:tcPr>
            <w:tcW w:w="4841" w:type="dxa"/>
          </w:tcPr>
          <w:p>
            <w:pPr/>
            <w:r>
              <w:t xml:space="preserve">id, usuario_id, token_hash, expira_en, revocado_en</w:t>
            </w:r>
          </w:p>
        </w:tc>
        <w:tc>
          <w:tcPr>
            <w:tcW w:w="2363" w:type="dxa"/>
          </w:tcPr>
          <w:p>
            <w:pPr/>
            <w:r>
              <w:t xml:space="preserve">Índice por </w:t>
            </w:r>
            <w:r>
              <w:rPr>
                <w:rStyle w:val="CodeChar"/>
              </w:rPr>
              <w:t xml:space="preserve">token_hash</w:t>
            </w:r>
          </w:p>
        </w:tc>
      </w:tr>
      <w:tr>
        <w:tc>
          <w:tcPr>
            <w:tcW w:w="2156" w:type="dxa"/>
          </w:tcPr>
          <w:p>
            <w:pPr/>
            <w:r>
              <w:rPr>
                <w:rStyle w:val="CodeChar"/>
              </w:rPr>
              <w:t xml:space="preserve">dispositivo_push</w:t>
            </w:r>
          </w:p>
        </w:tc>
        <w:tc>
          <w:tcPr>
            <w:tcW w:w="4841" w:type="dxa"/>
          </w:tcPr>
          <w:p>
            <w:pPr/>
            <w:r>
              <w:t xml:space="preserve">id, usuario_id, token, plataforma, creado_en</w:t>
            </w:r>
          </w:p>
        </w:tc>
        <w:tc>
          <w:tcPr>
            <w:tcW w:w="2363" w:type="dxa"/>
          </w:tcPr>
          <w:p>
            <w:pPr/>
            <w:r>
              <w:rPr>
                <w:rStyle w:val="CodeChar"/>
              </w:rPr>
              <w:t xml:space="preserve">token</w:t>
            </w:r>
            <w:r>
              <w:t xml:space="preserve"> único</w:t>
            </w:r>
          </w:p>
        </w:tc>
      </w:tr>
    </w:tbl>
    <w:p>
      <w:pPr/>
      <w:r>
        <w:rPr>
          <w:b/>
        </w:rPr>
        <w:t xml:space="preserve">Solicitudes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16"/>
        <w:gridCol w:w="3768"/>
        <w:gridCol w:w="3076"/>
      </w:tblGrid>
      <w:tr>
        <w:trPr>
          <w:tblHeader/>
        </w:trPr>
        <w:tc>
          <w:tcPr>
            <w:tcW w:w="2516" w:type="dxa"/>
            <w:shd w:val="clear" w:color="auto" w:fill="F2F2F2"/>
          </w:tcPr>
          <w:p>
            <w:pPr/>
            <w:r>
              <w:t xml:space="preserve">Tabla</w:t>
            </w:r>
          </w:p>
        </w:tc>
        <w:tc>
          <w:tcPr>
            <w:tcW w:w="3768" w:type="dxa"/>
            <w:shd w:val="clear" w:color="auto" w:fill="F2F2F2"/>
          </w:tcPr>
          <w:p>
            <w:pPr/>
            <w:r>
              <w:t xml:space="preserve">Columnas</w:t>
            </w:r>
          </w:p>
        </w:tc>
        <w:tc>
          <w:tcPr>
            <w:tcW w:w="3076" w:type="dxa"/>
            <w:shd w:val="clear" w:color="auto" w:fill="F2F2F2"/>
          </w:tcPr>
          <w:p>
            <w:pPr/>
            <w:r>
              <w:t xml:space="preserve">Restricciones</w:t>
            </w:r>
          </w:p>
        </w:tc>
      </w:tr>
      <w:tr>
        <w:tc>
          <w:tcPr>
            <w:tcW w:w="2516" w:type="dxa"/>
          </w:tcPr>
          <w:p>
            <w:pPr/>
            <w:r>
              <w:rPr>
                <w:rStyle w:val="CodeChar"/>
              </w:rPr>
              <w:t xml:space="preserve">aislado</w:t>
            </w:r>
          </w:p>
        </w:tc>
        <w:tc>
          <w:tcPr>
            <w:tcW w:w="3768" w:type="dxa"/>
          </w:tcPr>
          <w:p>
            <w:pPr/>
            <w:r>
              <w:t xml:space="preserve">id, codigo_interno, centro_id, fecha_aislamiento, especie_declarada, tipo_muestra, mecanismo_resistencia, observaciones, creado_por, creado_en</w:t>
            </w:r>
          </w:p>
        </w:tc>
        <w:tc>
          <w:tcPr>
            <w:tcW w:w="3076" w:type="dxa"/>
          </w:tcPr>
          <w:p>
            <w:pPr/>
            <w:r>
              <w:t xml:space="preserve">(</w:t>
            </w:r>
            <w:r>
              <w:rPr>
                <w:rStyle w:val="CodeChar"/>
              </w:rPr>
              <w:t xml:space="preserve">centro_id</w:t>
            </w:r>
            <w:r>
              <w:t xml:space="preserve">, </w:t>
            </w:r>
            <w:r>
              <w:rPr>
                <w:rStyle w:val="CodeChar"/>
              </w:rPr>
              <w:t xml:space="preserve">codigo_interno</w:t>
            </w:r>
            <w:r>
              <w:t xml:space="preserve">) único; </w:t>
            </w:r>
            <w:r>
              <w:rPr>
                <w:rStyle w:val="CodeChar"/>
              </w:rPr>
              <w:t xml:space="preserve">tipo_muestra</w:t>
            </w:r>
            <w:r>
              <w:t xml:space="preserve"> en sangre, orina, respiratoria, herida u otra; </w:t>
            </w:r>
            <w:r>
              <w:rPr>
                <w:rStyle w:val="CodeChar"/>
              </w:rPr>
              <w:t xml:space="preserve">mecanismo_resistencia</w:t>
            </w:r>
            <w:r>
              <w:t xml:space="preserve"> en KPC, NDM, OXA-48, VIM, IMP, otro, ninguno o desconocido</w:t>
            </w:r>
          </w:p>
        </w:tc>
      </w:tr>
      <w:tr>
        <w:tc>
          <w:tcPr>
            <w:tcW w:w="2516" w:type="dxa"/>
          </w:tcPr>
          <w:p>
            <w:pPr/>
            <w:r>
              <w:rPr>
                <w:rStyle w:val="CodeChar"/>
              </w:rPr>
              <w:t xml:space="preserve">genoma</w:t>
            </w:r>
          </w:p>
        </w:tc>
        <w:tc>
          <w:tcPr>
            <w:tcW w:w="3768" w:type="dxa"/>
          </w:tcPr>
          <w:p>
            <w:pPr/>
            <w:r>
              <w:t xml:space="preserve">id, aislado_id, ruta_archivo, sha256, tamano_bytes, nombre_original, qc_longitud, qc_contigs, qc_n50, qc_gc, qc_prop_ambiguas, qc_resultado, cargado_en</w:t>
            </w:r>
          </w:p>
        </w:tc>
        <w:tc>
          <w:tcPr>
            <w:tcW w:w="3076" w:type="dxa"/>
          </w:tcPr>
          <w:p>
            <w:pPr/>
            <w:r>
              <w:t xml:space="preserve">(</w:t>
            </w:r>
            <w:r>
              <w:rPr>
                <w:rStyle w:val="CodeChar"/>
              </w:rPr>
              <w:t xml:space="preserve">aislado_id</w:t>
            </w:r>
            <w:r>
              <w:t xml:space="preserve">, </w:t>
            </w:r>
            <w:r>
              <w:rPr>
                <w:rStyle w:val="CodeChar"/>
              </w:rPr>
              <w:t xml:space="preserve">sha256</w:t>
            </w:r>
            <w:r>
              <w:t xml:space="preserve">) único; </w:t>
            </w:r>
            <w:r>
              <w:rPr>
                <w:rStyle w:val="CodeChar"/>
              </w:rPr>
              <w:t xml:space="preserve">qc_resultado</w:t>
            </w:r>
            <w:r>
              <w:t xml:space="preserve"> en aprobado, advertencia o rechazado</w:t>
            </w:r>
          </w:p>
        </w:tc>
      </w:tr>
      <w:tr>
        <w:tc>
          <w:tcPr>
            <w:tcW w:w="2516" w:type="dxa"/>
          </w:tcPr>
          <w:p>
            <w:pPr/>
            <w:r>
              <w:rPr>
                <w:rStyle w:val="CodeChar"/>
              </w:rPr>
              <w:t xml:space="preserve">solicitud</w:t>
            </w:r>
          </w:p>
        </w:tc>
        <w:tc>
          <w:tcPr>
            <w:tcW w:w="3768" w:type="dxa"/>
          </w:tcPr>
          <w:p>
            <w:pPr/>
            <w:r>
              <w:t xml:space="preserve">id, aislado_id, genoma_id, centro_id, solicitante_id, creada_por, asignada_a, estado, motivo_estado, creada_en, actualizada_en</w:t>
            </w:r>
          </w:p>
        </w:tc>
        <w:tc>
          <w:tcPr>
            <w:tcW w:w="3076" w:type="dxa"/>
          </w:tcPr>
          <w:p>
            <w:pPr/>
            <w:r>
              <w:rPr>
                <w:rStyle w:val="CodeChar"/>
              </w:rPr>
              <w:t xml:space="preserve">estado</w:t>
            </w:r>
            <w:r>
              <w:t xml:space="preserve"> en los 9 estados de la SRS; índices (</w:t>
            </w:r>
            <w:r>
              <w:rPr>
                <w:rStyle w:val="CodeChar"/>
              </w:rPr>
              <w:t xml:space="preserve">centro_id</w:t>
            </w:r>
            <w:r>
              <w:t xml:space="preserve">, </w:t>
            </w:r>
            <w:r>
              <w:rPr>
                <w:rStyle w:val="CodeChar"/>
              </w:rPr>
              <w:t xml:space="preserve">estado</w:t>
            </w:r>
            <w:r>
              <w:t xml:space="preserve">, </w:t>
            </w:r>
            <w:r>
              <w:rPr>
                <w:rStyle w:val="CodeChar"/>
              </w:rPr>
              <w:t xml:space="preserve">creada_en</w:t>
            </w:r>
            <w:r>
              <w:t xml:space="preserve">) y (</w:t>
            </w:r>
            <w:r>
              <w:rPr>
                <w:rStyle w:val="CodeChar"/>
              </w:rPr>
              <w:t xml:space="preserve">asignada_a</w:t>
            </w:r>
            <w:r>
              <w:t xml:space="preserve">, </w:t>
            </w:r>
            <w:r>
              <w:rPr>
                <w:rStyle w:val="CodeChar"/>
              </w:rPr>
              <w:t xml:space="preserve">estado</w:t>
            </w:r>
            <w:r>
              <w:t xml:space="preserve">)</w:t>
            </w:r>
          </w:p>
        </w:tc>
      </w:tr>
      <w:tr>
        <w:tc>
          <w:tcPr>
            <w:tcW w:w="2516" w:type="dxa"/>
          </w:tcPr>
          <w:p>
            <w:pPr/>
            <w:r>
              <w:rPr>
                <w:rStyle w:val="CodeChar"/>
              </w:rPr>
              <w:t xml:space="preserve">solicitud_historial</w:t>
            </w:r>
          </w:p>
        </w:tc>
        <w:tc>
          <w:tcPr>
            <w:tcW w:w="3768" w:type="dxa"/>
          </w:tcPr>
          <w:p>
            <w:pPr/>
            <w:r>
              <w:t xml:space="preserve">id, solicitud_id, estado_anterior, estado_nuevo, usuario_id, motivo, creado_en</w:t>
            </w:r>
          </w:p>
        </w:tc>
        <w:tc>
          <w:tcPr>
            <w:tcW w:w="3076" w:type="dxa"/>
          </w:tcPr>
          <w:p>
            <w:pPr/>
            <w:r>
              <w:rPr>
                <w:rStyle w:val="CodeChar"/>
              </w:rPr>
              <w:t xml:space="preserve">usuario_id</w:t>
            </w:r>
            <w:r>
              <w:t xml:space="preserve"> nulo significa que lo hizo el sistema</w:t>
            </w:r>
          </w:p>
        </w:tc>
      </w:tr>
      <w:tr>
        <w:tc>
          <w:tcPr>
            <w:tcW w:w="2516" w:type="dxa"/>
          </w:tcPr>
          <w:p>
            <w:pPr/>
            <w:r>
              <w:rPr>
                <w:rStyle w:val="CodeChar"/>
              </w:rPr>
              <w:t xml:space="preserve">trabajo</w:t>
            </w:r>
          </w:p>
        </w:tc>
        <w:tc>
          <w:tcPr>
            <w:tcW w:w="3768" w:type="dxa"/>
          </w:tcPr>
          <w:p>
            <w:pPr/>
            <w:r>
              <w:t xml:space="preserve">id, tipo, solicitud_id, estado, intentos, siguiente_intento_en, bloqueado_por, error, creado_en, terminado_en</w:t>
            </w:r>
          </w:p>
        </w:tc>
        <w:tc>
          <w:tcPr>
            <w:tcW w:w="3076" w:type="dxa"/>
          </w:tcPr>
          <w:p>
            <w:pPr/>
            <w:r>
              <w:rPr>
                <w:rStyle w:val="CodeChar"/>
              </w:rPr>
              <w:t xml:space="preserve">tipo</w:t>
            </w:r>
            <w:r>
              <w:t xml:space="preserve"> en pipeline, prediccion o ingesta; </w:t>
            </w:r>
            <w:r>
              <w:rPr>
                <w:rStyle w:val="CodeChar"/>
              </w:rPr>
              <w:t xml:space="preserve">estado</w:t>
            </w:r>
            <w:r>
              <w:t xml:space="preserve"> en pendiente, en_curso, ok o fallido; índice parcial sobre los pendientes</w:t>
            </w:r>
          </w:p>
        </w:tc>
      </w:tr>
      <w:tr>
        <w:tc>
          <w:tcPr>
            <w:tcW w:w="2516" w:type="dxa"/>
          </w:tcPr>
          <w:p>
            <w:pPr/>
            <w:r>
              <w:rPr>
                <w:rStyle w:val="CodeChar"/>
              </w:rPr>
              <w:t xml:space="preserve">analisis_genomico</w:t>
            </w:r>
          </w:p>
        </w:tc>
        <w:tc>
          <w:tcPr>
            <w:tcW w:w="3768" w:type="dxa"/>
          </w:tcPr>
          <w:p>
            <w:pPr/>
            <w:r>
              <w:t xml:space="preserve">id, solicitud_id, especie_detectada, distancia_especie, locus_k_tipo, locus_k_confianza, n_genes, n_proteinas, versiones_herramientas, parametros, mongo_id, creado_en</w:t>
            </w:r>
          </w:p>
        </w:tc>
        <w:tc>
          <w:tcPr>
            <w:tcW w:w="3076" w:type="dxa"/>
          </w:tcPr>
          <w:p>
            <w:pPr/>
            <w:r>
              <w:t xml:space="preserve">Una fila por ejecución; vale la última de cada solicitud</w:t>
            </w:r>
          </w:p>
        </w:tc>
      </w:tr>
      <w:tr>
        <w:tc>
          <w:tcPr>
            <w:tcW w:w="2516" w:type="dxa"/>
          </w:tcPr>
          <w:p>
            <w:pPr/>
            <w:r>
              <w:rPr>
                <w:rStyle w:val="CodeChar"/>
              </w:rPr>
              <w:t xml:space="preserve">alerta</w:t>
            </w:r>
          </w:p>
        </w:tc>
        <w:tc>
          <w:tcPr>
            <w:tcW w:w="3768" w:type="dxa"/>
          </w:tcPr>
          <w:p>
            <w:pPr/>
            <w:r>
              <w:t xml:space="preserve">id, usuario_id, tipo, solicitud_id, mensaje, creada_en, leida_en</w:t>
            </w:r>
          </w:p>
        </w:tc>
        <w:tc>
          <w:tcPr>
            <w:tcW w:w="3076" w:type="dxa"/>
          </w:tcPr>
          <w:p>
            <w:pPr/>
            <w:r>
              <w:rPr>
                <w:rStyle w:val="CodeChar"/>
              </w:rPr>
              <w:t xml:space="preserve">tipo</w:t>
            </w:r>
            <w:r>
              <w:t xml:space="preserve"> en emitida, rechazada, lista_para_validar o error; índice (</w:t>
            </w:r>
            <w:r>
              <w:rPr>
                <w:rStyle w:val="CodeChar"/>
              </w:rPr>
              <w:t xml:space="preserve">usuario_id</w:t>
            </w:r>
            <w:r>
              <w:t xml:space="preserve">, </w:t>
            </w:r>
            <w:r>
              <w:rPr>
                <w:rStyle w:val="CodeChar"/>
              </w:rPr>
              <w:t xml:space="preserve">leida_en</w:t>
            </w:r>
            <w:r>
              <w:t xml:space="preserve">)</w:t>
            </w:r>
          </w:p>
        </w:tc>
      </w:tr>
    </w:tbl>
    <w:p>
      <w:pPr/>
      <w:r>
        <w:rPr>
          <w:b/>
        </w:rPr>
        <w:t xml:space="preserve">Banco de fagos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636"/>
        <w:gridCol w:w="3446"/>
        <w:gridCol w:w="3278"/>
      </w:tblGrid>
      <w:tr>
        <w:trPr>
          <w:tblHeader/>
        </w:trPr>
        <w:tc>
          <w:tcPr>
            <w:tcW w:w="2636" w:type="dxa"/>
            <w:shd w:val="clear" w:color="auto" w:fill="F2F2F2"/>
          </w:tcPr>
          <w:p>
            <w:pPr/>
            <w:r>
              <w:t xml:space="preserve">Tabla</w:t>
            </w:r>
          </w:p>
        </w:tc>
        <w:tc>
          <w:tcPr>
            <w:tcW w:w="3446" w:type="dxa"/>
            <w:shd w:val="clear" w:color="auto" w:fill="F2F2F2"/>
          </w:tcPr>
          <w:p>
            <w:pPr/>
            <w:r>
              <w:t xml:space="preserve">Columnas</w:t>
            </w:r>
          </w:p>
        </w:tc>
        <w:tc>
          <w:tcPr>
            <w:tcW w:w="3278" w:type="dxa"/>
            <w:shd w:val="clear" w:color="auto" w:fill="F2F2F2"/>
          </w:tcPr>
          <w:p>
            <w:pPr/>
            <w:r>
              <w:t xml:space="preserve">Restricciones</w:t>
            </w:r>
          </w:p>
        </w:tc>
      </w:tr>
      <w:tr>
        <w:tc>
          <w:tcPr>
            <w:tcW w:w="2636" w:type="dxa"/>
          </w:tcPr>
          <w:p>
            <w:pPr/>
            <w:r>
              <w:rPr>
                <w:rStyle w:val="CodeChar"/>
              </w:rPr>
              <w:t xml:space="preserve">fuente_datos</w:t>
            </w:r>
          </w:p>
        </w:tc>
        <w:tc>
          <w:tcPr>
            <w:tcW w:w="3446" w:type="dxa"/>
          </w:tcPr>
          <w:p>
            <w:pPr/>
            <w:r>
              <w:t xml:space="preserve">id, nombre, version, url, descargado_en</w:t>
            </w:r>
          </w:p>
        </w:tc>
        <w:tc>
          <w:tcPr>
            <w:tcW w:w="3278" w:type="dxa"/>
          </w:tcPr>
          <w:p>
            <w:pPr/>
            <w:r>
              <w:t xml:space="preserve">(</w:t>
            </w:r>
            <w:r>
              <w:rPr>
                <w:rStyle w:val="CodeChar"/>
              </w:rPr>
              <w:t xml:space="preserve">nombre</w:t>
            </w:r>
            <w:r>
              <w:t xml:space="preserve">, </w:t>
            </w:r>
            <w:r>
              <w:rPr>
                <w:rStyle w:val="CodeChar"/>
              </w:rPr>
              <w:t xml:space="preserve">version</w:t>
            </w:r>
            <w:r>
              <w:t xml:space="preserve">) único</w:t>
            </w:r>
          </w:p>
        </w:tc>
      </w:tr>
      <w:tr>
        <w:tc>
          <w:tcPr>
            <w:tcW w:w="2636" w:type="dxa"/>
          </w:tcPr>
          <w:p>
            <w:pPr/>
            <w:r>
              <w:rPr>
                <w:rStyle w:val="CodeChar"/>
              </w:rPr>
              <w:t xml:space="preserve">fago</w:t>
            </w:r>
          </w:p>
        </w:tc>
        <w:tc>
          <w:tcPr>
            <w:tcW w:w="3446" w:type="dxa"/>
          </w:tcPr>
          <w:p>
            <w:pPr/>
            <w:r>
              <w:t xml:space="preserve">id, accesion, nombre, familia, genero, ciclo_vida, longitud_pb, completitud, hospedador_declarado, estado_curaduria, curado_por, curado_en, mongo_id, creado_en</w:t>
            </w:r>
          </w:p>
        </w:tc>
        <w:tc>
          <w:tcPr>
            <w:tcW w:w="3278" w:type="dxa"/>
          </w:tcPr>
          <w:p>
            <w:pPr/>
            <w:r>
              <w:rPr>
                <w:rStyle w:val="CodeChar"/>
              </w:rPr>
              <w:t xml:space="preserve">accesion</w:t>
            </w:r>
            <w:r>
              <w:t xml:space="preserve"> único; </w:t>
            </w:r>
            <w:r>
              <w:rPr>
                <w:rStyle w:val="CodeChar"/>
              </w:rPr>
              <w:t xml:space="preserve">ciclo_vida</w:t>
            </w:r>
            <w:r>
              <w:t xml:space="preserve"> en litico, templado o desconocido; </w:t>
            </w:r>
            <w:r>
              <w:rPr>
                <w:rStyle w:val="CodeChar"/>
              </w:rPr>
              <w:t xml:space="preserve">estado_curaduria</w:t>
            </w:r>
            <w:r>
              <w:t xml:space="preserve"> en pendiente, aprobado o descartado; índice </w:t>
            </w:r>
            <w:r>
              <w:rPr>
                <w:rStyle w:val="CodeChar"/>
              </w:rPr>
              <w:t xml:space="preserve">pg_trgm</w:t>
            </w:r>
            <w:r>
              <w:t xml:space="preserve"> sobre </w:t>
            </w:r>
            <w:r>
              <w:rPr>
                <w:rStyle w:val="CodeChar"/>
              </w:rPr>
              <w:t xml:space="preserve">nombre</w:t>
            </w:r>
            <w:r>
              <w:t xml:space="preserve"> y </w:t>
            </w:r>
            <w:r>
              <w:rPr>
                <w:rStyle w:val="CodeChar"/>
              </w:rPr>
              <w:t xml:space="preserve">accesion</w:t>
            </w:r>
          </w:p>
        </w:tc>
      </w:tr>
      <w:tr>
        <w:tc>
          <w:tcPr>
            <w:tcW w:w="2636" w:type="dxa"/>
          </w:tcPr>
          <w:p>
            <w:pPr/>
            <w:r>
              <w:rPr>
                <w:rStyle w:val="CodeChar"/>
              </w:rPr>
              <w:t xml:space="preserve">fago_origen</w:t>
            </w:r>
          </w:p>
        </w:tc>
        <w:tc>
          <w:tcPr>
            <w:tcW w:w="3446" w:type="dxa"/>
          </w:tcPr>
          <w:p>
            <w:pPr/>
            <w:r>
              <w:t xml:space="preserve">fago_id, fuente_id, id_externo, version_origen, descargado_en</w:t>
            </w:r>
          </w:p>
        </w:tc>
        <w:tc>
          <w:tcPr>
            <w:tcW w:w="3278" w:type="dxa"/>
          </w:tcPr>
          <w:p>
            <w:pPr/>
            <w:r>
              <w:t xml:space="preserve">Clave (</w:t>
            </w:r>
            <w:r>
              <w:rPr>
                <w:rStyle w:val="CodeChar"/>
              </w:rPr>
              <w:t xml:space="preserve">fago_id</w:t>
            </w:r>
            <w:r>
              <w:t xml:space="preserve">, </w:t>
            </w:r>
            <w:r>
              <w:rPr>
                <w:rStyle w:val="CodeChar"/>
              </w:rPr>
              <w:t xml:space="preserve">fuente_id</w:t>
            </w:r>
            <w:r>
              <w:t xml:space="preserve">); conserva todas las fuentes de un fago duplicado</w:t>
            </w:r>
          </w:p>
        </w:tc>
      </w:tr>
      <w:tr>
        <w:tc>
          <w:tcPr>
            <w:tcW w:w="2636" w:type="dxa"/>
          </w:tcPr>
          <w:p>
            <w:pPr/>
            <w:r>
              <w:rPr>
                <w:rStyle w:val="CodeChar"/>
              </w:rPr>
              <w:t xml:space="preserve">interaccion_conocida</w:t>
            </w:r>
          </w:p>
        </w:tc>
        <w:tc>
          <w:tcPr>
            <w:tcW w:w="3446" w:type="dxa"/>
          </w:tcPr>
          <w:p>
            <w:pPr/>
            <w:r>
              <w:t xml:space="preserve">id, fago_id, especie_hospedador, cepa, locus_k_tipo, resultado, fuente_id, referencia</w:t>
            </w:r>
          </w:p>
        </w:tc>
        <w:tc>
          <w:tcPr>
            <w:tcW w:w="3278" w:type="dxa"/>
          </w:tcPr>
          <w:p>
            <w:pPr/>
            <w:r>
              <w:rPr>
                <w:rStyle w:val="CodeChar"/>
              </w:rPr>
              <w:t xml:space="preserve">resultado</w:t>
            </w:r>
            <w:r>
              <w:t xml:space="preserve"> en infecta o no_infecta; índice sobre </w:t>
            </w:r>
            <w:r>
              <w:rPr>
                <w:rStyle w:val="CodeChar"/>
              </w:rPr>
              <w:t xml:space="preserve">locus_k_tipo</w:t>
            </w:r>
          </w:p>
        </w:tc>
      </w:tr>
    </w:tbl>
    <w:p>
      <w:pPr/>
      <w:r>
        <w:rPr>
          <w:b/>
        </w:rPr>
        <w:t xml:space="preserve">Predicción y emisión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996"/>
        <w:gridCol w:w="3507"/>
        <w:gridCol w:w="2857"/>
      </w:tblGrid>
      <w:tr>
        <w:trPr>
          <w:tblHeader/>
        </w:trPr>
        <w:tc>
          <w:tcPr>
            <w:tcW w:w="2996" w:type="dxa"/>
            <w:shd w:val="clear" w:color="auto" w:fill="F2F2F2"/>
          </w:tcPr>
          <w:p>
            <w:pPr/>
            <w:r>
              <w:t xml:space="preserve">Tabla</w:t>
            </w:r>
          </w:p>
        </w:tc>
        <w:tc>
          <w:tcPr>
            <w:tcW w:w="3507" w:type="dxa"/>
            <w:shd w:val="clear" w:color="auto" w:fill="F2F2F2"/>
          </w:tcPr>
          <w:p>
            <w:pPr/>
            <w:r>
              <w:t xml:space="preserve">Columnas</w:t>
            </w:r>
          </w:p>
        </w:tc>
        <w:tc>
          <w:tcPr>
            <w:tcW w:w="2857" w:type="dxa"/>
            <w:shd w:val="clear" w:color="auto" w:fill="F2F2F2"/>
          </w:tcPr>
          <w:p>
            <w:pPr/>
            <w:r>
              <w:t xml:space="preserve">Restricciones</w:t>
            </w:r>
          </w:p>
        </w:tc>
      </w:tr>
      <w:tr>
        <w:tc>
          <w:tcPr>
            <w:tcW w:w="2996" w:type="dxa"/>
          </w:tcPr>
          <w:p>
            <w:pPr/>
            <w:r>
              <w:rPr>
                <w:rStyle w:val="CodeChar"/>
              </w:rPr>
              <w:t xml:space="preserve">modelo</w:t>
            </w:r>
          </w:p>
        </w:tc>
        <w:tc>
          <w:tcPr>
            <w:tcW w:w="3507" w:type="dxa"/>
          </w:tcPr>
          <w:p>
            <w:pPr/>
            <w:r>
              <w:t xml:space="preserve">id, version, especie_objetivo, algoritmo, modelo_embedding, entrenado_en, hash_datos, parametros, semilla, metricas, vigente, ruta_artefacto</w:t>
            </w:r>
          </w:p>
        </w:tc>
        <w:tc>
          <w:tcPr>
            <w:tcW w:w="2857" w:type="dxa"/>
          </w:tcPr>
          <w:p>
            <w:pPr/>
            <w:r>
              <w:rPr>
                <w:rStyle w:val="CodeChar"/>
              </w:rPr>
              <w:t xml:space="preserve">version</w:t>
            </w:r>
            <w:r>
              <w:t xml:space="preserve"> única; índice único parcial donde </w:t>
            </w:r>
            <w:r>
              <w:rPr>
                <w:rStyle w:val="CodeChar"/>
              </w:rPr>
              <w:t xml:space="preserve">vigente</w:t>
            </w:r>
            <w:r>
              <w:t xml:space="preserve"> es verdadero</w:t>
            </w:r>
          </w:p>
        </w:tc>
      </w:tr>
      <w:tr>
        <w:tc>
          <w:tcPr>
            <w:tcW w:w="2996" w:type="dxa"/>
          </w:tcPr>
          <w:p>
            <w:pPr/>
            <w:r>
              <w:rPr>
                <w:rStyle w:val="CodeChar"/>
              </w:rPr>
              <w:t xml:space="preserve">prediccion</w:t>
            </w:r>
          </w:p>
        </w:tc>
        <w:tc>
          <w:tcPr>
            <w:tcW w:w="3507" w:type="dxa"/>
          </w:tcPr>
          <w:p>
            <w:pPr/>
            <w:r>
              <w:t xml:space="preserve">id, solicitud_id, modelo_id, generada_en, baja_confianza, motivo_baja_confianza</w:t>
            </w:r>
          </w:p>
        </w:tc>
        <w:tc>
          <w:tcPr>
            <w:tcW w:w="2857" w:type="dxa"/>
          </w:tcPr>
          <w:p>
            <w:pPr/>
            <w:r>
              <w:t xml:space="preserve">Índice sobre </w:t>
            </w:r>
            <w:r>
              <w:rPr>
                <w:rStyle w:val="CodeChar"/>
              </w:rPr>
              <w:t xml:space="preserve">solicitud_id</w:t>
            </w:r>
          </w:p>
        </w:tc>
      </w:tr>
      <w:tr>
        <w:tc>
          <w:tcPr>
            <w:tcW w:w="2996" w:type="dxa"/>
          </w:tcPr>
          <w:p>
            <w:pPr/>
            <w:r>
              <w:rPr>
                <w:rStyle w:val="CodeChar"/>
              </w:rPr>
              <w:t xml:space="preserve">candidato</w:t>
            </w:r>
          </w:p>
        </w:tc>
        <w:tc>
          <w:tcPr>
            <w:tcW w:w="3507" w:type="dxa"/>
          </w:tcPr>
          <w:p>
            <w:pPr/>
            <w:r>
              <w:t xml:space="preserve">id, prediccion_id, fago_id, posicion, puntaje, mongo_explicacion_id, estado, justificacion</w:t>
            </w:r>
          </w:p>
        </w:tc>
        <w:tc>
          <w:tcPr>
            <w:tcW w:w="2857" w:type="dxa"/>
          </w:tcPr>
          <w:p>
            <w:pPr/>
            <w:r>
              <w:t xml:space="preserve">(</w:t>
            </w:r>
            <w:r>
              <w:rPr>
                <w:rStyle w:val="CodeChar"/>
              </w:rPr>
              <w:t xml:space="preserve">prediccion_id</w:t>
            </w:r>
            <w:r>
              <w:t xml:space="preserve">, </w:t>
            </w:r>
            <w:r>
              <w:rPr>
                <w:rStyle w:val="CodeChar"/>
              </w:rPr>
              <w:t xml:space="preserve">posicion</w:t>
            </w:r>
            <w:r>
              <w:t xml:space="preserve">) y (</w:t>
            </w:r>
            <w:r>
              <w:rPr>
                <w:rStyle w:val="CodeChar"/>
              </w:rPr>
              <w:t xml:space="preserve">prediccion_id</w:t>
            </w:r>
            <w:r>
              <w:t xml:space="preserve">, </w:t>
            </w:r>
            <w:r>
              <w:rPr>
                <w:rStyle w:val="CodeChar"/>
              </w:rPr>
              <w:t xml:space="preserve">fago_id</w:t>
            </w:r>
            <w:r>
              <w:t xml:space="preserve">) únicos; </w:t>
            </w:r>
            <w:r>
              <w:rPr>
                <w:rStyle w:val="CodeChar"/>
              </w:rPr>
              <w:t xml:space="preserve">puntaje</w:t>
            </w:r>
            <w:r>
              <w:t xml:space="preserve"> entre 0 y 1; </w:t>
            </w:r>
            <w:r>
              <w:rPr>
                <w:rStyle w:val="CodeChar"/>
              </w:rPr>
              <w:t xml:space="preserve">estado</w:t>
            </w:r>
            <w:r>
              <w:t xml:space="preserve"> en propuesto, validado o descartado</w:t>
            </w:r>
          </w:p>
        </w:tc>
      </w:tr>
      <w:tr>
        <w:tc>
          <w:tcPr>
            <w:tcW w:w="2996" w:type="dxa"/>
          </w:tcPr>
          <w:p>
            <w:pPr/>
            <w:r>
              <w:rPr>
                <w:rStyle w:val="CodeChar"/>
              </w:rPr>
              <w:t xml:space="preserve">validacion</w:t>
            </w:r>
          </w:p>
        </w:tc>
        <w:tc>
          <w:tcPr>
            <w:tcW w:w="3507" w:type="dxa"/>
          </w:tcPr>
          <w:p>
            <w:pPr/>
            <w:r>
              <w:t xml:space="preserve">id, solicitud_id, prediccion_id, validador_id, decision, justificacion, creada_en</w:t>
            </w:r>
          </w:p>
        </w:tc>
        <w:tc>
          <w:tcPr>
            <w:tcW w:w="2857" w:type="dxa"/>
          </w:tcPr>
          <w:p>
            <w:pPr/>
            <w:r>
              <w:rPr>
                <w:rStyle w:val="CodeChar"/>
              </w:rPr>
              <w:t xml:space="preserve">decision</w:t>
            </w:r>
            <w:r>
              <w:t xml:space="preserve"> en aprobada o rechazada; la justificación es obligatoria si se rechaza</w:t>
            </w:r>
          </w:p>
        </w:tc>
      </w:tr>
      <w:tr>
        <w:tc>
          <w:tcPr>
            <w:tcW w:w="2996" w:type="dxa"/>
          </w:tcPr>
          <w:p>
            <w:pPr/>
            <w:r>
              <w:rPr>
                <w:rStyle w:val="CodeChar"/>
              </w:rPr>
              <w:t xml:space="preserve">recomendacion</w:t>
            </w:r>
          </w:p>
        </w:tc>
        <w:tc>
          <w:tcPr>
            <w:tcW w:w="3507" w:type="dxa"/>
          </w:tcPr>
          <w:p>
            <w:pPr/>
            <w:r>
              <w:t xml:space="preserve">id, solicitud_id, version, validacion_id, emitida_por, emitida_en, advertencia, reemplaza_a, vigente</w:t>
            </w:r>
          </w:p>
        </w:tc>
        <w:tc>
          <w:tcPr>
            <w:tcW w:w="2857" w:type="dxa"/>
          </w:tcPr>
          <w:p>
            <w:pPr/>
            <w:r>
              <w:t xml:space="preserve">(</w:t>
            </w:r>
            <w:r>
              <w:rPr>
                <w:rStyle w:val="CodeChar"/>
              </w:rPr>
              <w:t xml:space="preserve">solicitud_id</w:t>
            </w:r>
            <w:r>
              <w:t xml:space="preserve">, </w:t>
            </w:r>
            <w:r>
              <w:rPr>
                <w:rStyle w:val="CodeChar"/>
              </w:rPr>
              <w:t xml:space="preserve">version</w:t>
            </w:r>
            <w:r>
              <w:t xml:space="preserve">) único; una sola vigente por solicitud</w:t>
            </w:r>
          </w:p>
        </w:tc>
      </w:tr>
      <w:tr>
        <w:tc>
          <w:tcPr>
            <w:tcW w:w="2996" w:type="dxa"/>
          </w:tcPr>
          <w:p>
            <w:pPr/>
            <w:r>
              <w:rPr>
                <w:rStyle w:val="CodeChar"/>
              </w:rPr>
              <w:t xml:space="preserve">recomendacion_candidato</w:t>
            </w:r>
          </w:p>
        </w:tc>
        <w:tc>
          <w:tcPr>
            <w:tcW w:w="3507" w:type="dxa"/>
          </w:tcPr>
          <w:p>
            <w:pPr/>
            <w:r>
              <w:t xml:space="preserve">recomendacion_id, fago_id, posicion, puntaje</w:t>
            </w:r>
          </w:p>
        </w:tc>
        <w:tc>
          <w:tcPr>
            <w:tcW w:w="2857" w:type="dxa"/>
          </w:tcPr>
          <w:p>
            <w:pPr/>
            <w:r>
              <w:t xml:space="preserve">Copia inmutable de los candidatos validados al momento de emitir</w:t>
            </w:r>
          </w:p>
        </w:tc>
      </w:tr>
      <w:tr>
        <w:tc>
          <w:tcPr>
            <w:tcW w:w="2996" w:type="dxa"/>
          </w:tcPr>
          <w:p>
            <w:pPr/>
            <w:r>
              <w:rPr>
                <w:rStyle w:val="CodeChar"/>
              </w:rPr>
              <w:t xml:space="preserve">seguimiento_ensayo</w:t>
            </w:r>
          </w:p>
        </w:tc>
        <w:tc>
          <w:tcPr>
            <w:tcW w:w="3507" w:type="dxa"/>
          </w:tcPr>
          <w:p>
            <w:pPr/>
            <w:r>
              <w:t xml:space="preserve">id, solicitud_id, fago_id, resultado, registrado_por, registrado_en</w:t>
            </w:r>
          </w:p>
        </w:tc>
        <w:tc>
          <w:tcPr>
            <w:tcW w:w="2857" w:type="dxa"/>
          </w:tcPr>
          <w:p>
            <w:pPr/>
            <w:r>
              <w:rPr>
                <w:rStyle w:val="CodeChar"/>
              </w:rPr>
              <w:t xml:space="preserve">resultado</w:t>
            </w:r>
            <w:r>
              <w:t xml:space="preserve"> en infecta, no_infecta o no_ensayado</w:t>
            </w:r>
          </w:p>
        </w:tc>
      </w:tr>
    </w:tbl>
    <w:p>
      <w:pPr/>
      <w:r>
        <w:rPr>
          <w:b/>
        </w:rPr>
        <w:t xml:space="preserve">Sistema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76"/>
        <w:gridCol w:w="3974"/>
        <w:gridCol w:w="3110"/>
      </w:tblGrid>
      <w:tr>
        <w:trPr>
          <w:tblHeader/>
        </w:trPr>
        <w:tc>
          <w:tcPr>
            <w:tcW w:w="2276" w:type="dxa"/>
            <w:shd w:val="clear" w:color="auto" w:fill="F2F2F2"/>
          </w:tcPr>
          <w:p>
            <w:pPr/>
            <w:r>
              <w:t xml:space="preserve">Tabla</w:t>
            </w:r>
          </w:p>
        </w:tc>
        <w:tc>
          <w:tcPr>
            <w:tcW w:w="3974" w:type="dxa"/>
            <w:shd w:val="clear" w:color="auto" w:fill="F2F2F2"/>
          </w:tcPr>
          <w:p>
            <w:pPr/>
            <w:r>
              <w:t xml:space="preserve">Columnas</w:t>
            </w:r>
          </w:p>
        </w:tc>
        <w:tc>
          <w:tcPr>
            <w:tcW w:w="3110" w:type="dxa"/>
            <w:shd w:val="clear" w:color="auto" w:fill="F2F2F2"/>
          </w:tcPr>
          <w:p>
            <w:pPr/>
            <w:r>
              <w:t xml:space="preserve">Restricciones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evento_auditoria</w:t>
            </w:r>
          </w:p>
        </w:tc>
        <w:tc>
          <w:tcPr>
            <w:tcW w:w="3974" w:type="dxa"/>
          </w:tcPr>
          <w:p>
            <w:pPr/>
            <w:r>
              <w:t xml:space="preserve">id, ocurrido_en, usuario_id, rol, accion, entidad, entidad_id, resultado, origen_ip, detalle, modelo_version, hash_previo, hash</w:t>
            </w:r>
          </w:p>
        </w:tc>
        <w:tc>
          <w:tcPr>
            <w:tcW w:w="3110" w:type="dxa"/>
          </w:tcPr>
          <w:p>
            <w:pPr/>
            <w:r>
              <w:t xml:space="preserve">Solo adición (sección 6.2)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parametro_sistema</w:t>
            </w:r>
          </w:p>
        </w:tc>
        <w:tc>
          <w:tcPr>
            <w:tcW w:w="3974" w:type="dxa"/>
          </w:tcPr>
          <w:p>
            <w:pPr/>
            <w:r>
              <w:t xml:space="preserve">clave, valor, actualizado_en, actualizado_por</w:t>
            </w:r>
          </w:p>
        </w:tc>
        <w:tc>
          <w:tcPr>
            <w:tcW w:w="3110" w:type="dxa"/>
          </w:tcPr>
          <w:p>
            <w:pPr/>
            <w:r>
              <w:t xml:space="preserve">Guarda los umbrales de calidad, el mínimo de casos del tablero y el tamaño máximo del FASTA</w:t>
            </w:r>
          </w:p>
        </w:tc>
      </w:tr>
    </w:tbl>
    <w:p>
      <w:pPr>
        <w:pStyle w:val="Heading3"/>
      </w:pPr>
      <w:r>
        <w:t xml:space="preserve">3.5 Integridad y rendimiento</w:t>
      </w:r>
    </w:p>
    <w:p>
      <w:pPr>
        <w:pStyle w:val="ListParagraph"/>
        <w:numPr>
          <w:ilvl w:val="0"/>
          <w:numId w:val="4"/>
        </w:numPr>
      </w:pPr>
      <w:r>
        <w:t xml:space="preserve">Cada cambio de estado de la solicitud inserta su fila en </w:t>
      </w:r>
      <w:r>
        <w:rPr>
          <w:rStyle w:val="CodeChar"/>
        </w:rPr>
        <w:t xml:space="preserve">solicitud_historial</w:t>
      </w:r>
      <w:r>
        <w:t xml:space="preserve"> dentro de la misma transacción; el servicio valida que la transición esté permitida antes de escribir (RF-12, RNF-32).</w:t>
      </w:r>
    </w:p>
    <w:p>
      <w:pPr>
        <w:pStyle w:val="ListParagraph"/>
        <w:numPr>
          <w:ilvl w:val="0"/>
          <w:numId w:val="4"/>
        </w:numPr>
      </w:pPr>
      <w:r>
        <w:t xml:space="preserve">El código interno del aislado se valida en la API y se rechaza si tiene formato de RUT, como defensa adicional de RF-08.</w:t>
      </w:r>
    </w:p>
    <w:p>
      <w:pPr>
        <w:pStyle w:val="ListParagraph"/>
        <w:numPr>
          <w:ilvl w:val="0"/>
          <w:numId w:val="4"/>
        </w:numPr>
      </w:pPr>
      <w:r>
        <w:t xml:space="preserve">La analítica lee tres vistas materializadas: </w:t>
      </w:r>
      <w:r>
        <w:rPr>
          <w:rStyle w:val="CodeChar"/>
        </w:rPr>
        <w:t xml:space="preserve">mv_cobertura_banco</w:t>
      </w:r>
      <w:r>
        <w:t xml:space="preserve">, </w:t>
      </w:r>
      <w:r>
        <w:rPr>
          <w:rStyle w:val="CodeChar"/>
        </w:rPr>
        <w:t xml:space="preserve">mv_brechas</w:t>
      </w:r>
      <w:r>
        <w:t xml:space="preserve"> y </w:t>
      </w:r>
      <w:r>
        <w:rPr>
          <w:rStyle w:val="CodeChar"/>
        </w:rPr>
        <w:t xml:space="preserve">mv_tendencias_mensuales</w:t>
      </w:r>
      <w:r>
        <w:t xml:space="preserve">. Se refrescan al emitir una recomendación y bajo demanda (D-12).</w:t>
      </w:r>
    </w:p>
    <w:p>
      <w:pPr>
        <w:pStyle w:val="ListParagraph"/>
        <w:numPr>
          <w:ilvl w:val="0"/>
          <w:numId w:val="4"/>
        </w:numPr>
      </w:pPr>
      <w:r>
        <w:t xml:space="preserve">Los índices de </w:t>
      </w:r>
      <w:r>
        <w:rPr>
          <w:rStyle w:val="CodeChar"/>
        </w:rPr>
        <w:t xml:space="preserve">solicitud</w:t>
      </w:r>
      <w:r>
        <w:t xml:space="preserve"> y de </w:t>
      </w:r>
      <w:r>
        <w:rPr>
          <w:rStyle w:val="CodeChar"/>
        </w:rPr>
        <w:t xml:space="preserve">fago</w:t>
      </w:r>
      <w:r>
        <w:t xml:space="preserve"> apuntan a RNF-12: listados en 2 s o menos con 1.000 solicitudes y 25.000 fagos.</w:t>
      </w:r>
    </w:p>
    <w:p>
      <w:pPr>
        <w:pStyle w:val="Heading2"/>
      </w:pPr>
      <w:r>
        <w:t xml:space="preserve">4. Modelo documental (MongoDB)</w:t>
      </w:r>
    </w:p>
    <w:p>
      <w:pPr/>
      <w:r>
        <w:t xml:space="preserve">MongoDB guarda cuatro colecciones de datos voluminosos o de forma variable; cada documento apunta a su fila de PostgreSQL por un UUID guardado como texto.</w:t>
      </w:r>
    </w:p>
    <w:p>
      <w:pPr>
        <w:pStyle w:val="Heading3"/>
      </w:pPr>
      <w:r>
        <w:t xml:space="preserve">4.1 Colecciones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76"/>
        <w:gridCol w:w="2853"/>
        <w:gridCol w:w="1916"/>
        <w:gridCol w:w="2315"/>
      </w:tblGrid>
      <w:tr>
        <w:trPr>
          <w:tblHeader/>
        </w:trPr>
        <w:tc>
          <w:tcPr>
            <w:tcW w:w="2276" w:type="dxa"/>
            <w:shd w:val="clear" w:color="auto" w:fill="F2F2F2"/>
          </w:tcPr>
          <w:p>
            <w:pPr/>
            <w:r>
              <w:t xml:space="preserve">Colección</w:t>
            </w:r>
          </w:p>
        </w:tc>
        <w:tc>
          <w:tcPr>
            <w:tcW w:w="2853" w:type="dxa"/>
            <w:shd w:val="clear" w:color="auto" w:fill="F2F2F2"/>
          </w:tcPr>
          <w:p>
            <w:pPr/>
            <w:r>
              <w:t xml:space="preserve">Contenido</w:t>
            </w:r>
          </w:p>
        </w:tc>
        <w:tc>
          <w:tcPr>
            <w:tcW w:w="1916" w:type="dxa"/>
            <w:shd w:val="clear" w:color="auto" w:fill="F2F2F2"/>
          </w:tcPr>
          <w:p>
            <w:pPr/>
            <w:r>
              <w:t xml:space="preserve">Vínculo con PostgreSQL</w:t>
            </w:r>
          </w:p>
        </w:tc>
        <w:tc>
          <w:tcPr>
            <w:tcW w:w="2315" w:type="dxa"/>
            <w:shd w:val="clear" w:color="auto" w:fill="F2F2F2"/>
          </w:tcPr>
          <w:p>
            <w:pPr/>
            <w:r>
              <w:t xml:space="preserve">Índices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analisis_genomico</w:t>
            </w:r>
          </w:p>
        </w:tc>
        <w:tc>
          <w:tcPr>
            <w:tcW w:w="2853" w:type="dxa"/>
          </w:tcPr>
          <w:p>
            <w:pPr/>
            <w:r>
              <w:t xml:space="preserve">Salidas crudas de cada ejecución del pipeline sobre un aislado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solicitud_id</w:t>
            </w:r>
            <w:r>
              <w:t xml:space="preserve"> y </w:t>
            </w:r>
            <w:r>
              <w:rPr>
                <w:rStyle w:val="CodeChar"/>
              </w:rPr>
              <w:t xml:space="preserve">pg_analisis_id</w:t>
            </w:r>
          </w:p>
        </w:tc>
        <w:tc>
          <w:tcPr>
            <w:tcW w:w="2315" w:type="dxa"/>
          </w:tcPr>
          <w:p>
            <w:pPr/>
            <w:r>
              <w:t xml:space="preserve">Único (</w:t>
            </w:r>
            <w:r>
              <w:rPr>
                <w:rStyle w:val="CodeChar"/>
              </w:rPr>
              <w:t xml:space="preserve">solicitud_id</w:t>
            </w:r>
            <w:r>
              <w:t xml:space="preserve">, </w:t>
            </w:r>
            <w:r>
              <w:rPr>
                <w:rStyle w:val="CodeChar"/>
              </w:rPr>
              <w:t xml:space="preserve">ejecucion</w:t>
            </w:r>
            <w:r>
              <w:t xml:space="preserve">)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fago_anotacion</w:t>
            </w:r>
          </w:p>
        </w:tc>
        <w:tc>
          <w:tcPr>
            <w:tcW w:w="2853" w:type="dxa"/>
          </w:tcPr>
          <w:p>
            <w:pPr/>
            <w:r>
              <w:t xml:space="preserve">Anotación de cada fago y sus proteínas de unión al receptor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fago_id</w:t>
            </w:r>
          </w:p>
        </w:tc>
        <w:tc>
          <w:tcPr>
            <w:tcW w:w="2315" w:type="dxa"/>
          </w:tcPr>
          <w:p>
            <w:pPr/>
            <w:r>
              <w:t xml:space="preserve">Único </w:t>
            </w:r>
            <w:r>
              <w:rPr>
                <w:rStyle w:val="CodeChar"/>
              </w:rPr>
              <w:t xml:space="preserve">fago_id</w:t>
            </w:r>
            <w:r>
              <w:t xml:space="preserve">; </w:t>
            </w:r>
            <w:r>
              <w:rPr>
                <w:rStyle w:val="CodeChar"/>
              </w:rPr>
              <w:t xml:space="preserve">accesion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embedding_cache</w:t>
            </w:r>
          </w:p>
        </w:tc>
        <w:tc>
          <w:tcPr>
            <w:tcW w:w="2853" w:type="dxa"/>
          </w:tcPr>
          <w:p>
            <w:pPr/>
            <w:r>
              <w:t xml:space="preserve">Vectores ESM-2 de secuencias de fagos y de aislados</w:t>
            </w:r>
          </w:p>
        </w:tc>
        <w:tc>
          <w:tcPr>
            <w:tcW w:w="1916" w:type="dxa"/>
          </w:tcPr>
          <w:p>
            <w:pPr/>
            <w:r>
              <w:t xml:space="preserve">Ninguno; se busca por el hash de la secuencia</w:t>
            </w:r>
          </w:p>
        </w:tc>
        <w:tc>
          <w:tcPr>
            <w:tcW w:w="2315" w:type="dxa"/>
          </w:tcPr>
          <w:p>
            <w:pPr/>
            <w:r>
              <w:t xml:space="preserve">Único (</w:t>
            </w:r>
            <w:r>
              <w:rPr>
                <w:rStyle w:val="CodeChar"/>
              </w:rPr>
              <w:t xml:space="preserve">secuencia_sha256</w:t>
            </w:r>
            <w:r>
              <w:t xml:space="preserve">, </w:t>
            </w:r>
            <w:r>
              <w:rPr>
                <w:rStyle w:val="CodeChar"/>
              </w:rPr>
              <w:t xml:space="preserve">modelo_embedding</w:t>
            </w:r>
            <w:r>
              <w:t xml:space="preserve">)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explicacion_shap</w:t>
            </w:r>
          </w:p>
        </w:tc>
        <w:tc>
          <w:tcPr>
            <w:tcW w:w="2853" w:type="dxa"/>
          </w:tcPr>
          <w:p>
            <w:pPr/>
            <w:r>
              <w:t xml:space="preserve">Explicación de cada candidato de una predicción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candidato_id</w:t>
            </w:r>
            <w:r>
              <w:t xml:space="preserve"> y </w:t>
            </w:r>
            <w:r>
              <w:rPr>
                <w:rStyle w:val="CodeChar"/>
              </w:rPr>
              <w:t xml:space="preserve">prediccion_id</w:t>
            </w:r>
          </w:p>
        </w:tc>
        <w:tc>
          <w:tcPr>
            <w:tcW w:w="2315" w:type="dxa"/>
          </w:tcPr>
          <w:p>
            <w:pPr/>
            <w:r>
              <w:t xml:space="preserve">Único </w:t>
            </w:r>
            <w:r>
              <w:rPr>
                <w:rStyle w:val="CodeChar"/>
              </w:rPr>
              <w:t xml:space="preserve">candidato_id</w:t>
            </w:r>
          </w:p>
        </w:tc>
      </w:tr>
    </w:tbl>
    <w:p>
      <w:pPr>
        <w:pStyle w:val="Heading3"/>
      </w:pPr>
      <w:r>
        <w:t xml:space="preserve">4.2 Esquema de cada documento</w:t>
      </w:r>
    </w:p>
    <w:p>
      <w:pPr/>
      <w:r>
        <w:t xml:space="preserve">Los ejemplos usan valores ilustrativos; cada colección lleva un validador </w:t>
      </w:r>
      <w:r>
        <w:rPr>
          <w:rStyle w:val="CodeChar"/>
        </w:rPr>
        <w:t xml:space="preserve">$jsonschema</w:t>
      </w:r>
      <w:r>
        <w:t xml:space="preserve"> que exige los campos obligatorios.</w:t>
      </w:r>
    </w:p>
    <w:p>
      <w:pPr/>
      <w:r>
        <w:rPr>
          <w:rStyle w:val="CodeChar"/>
          <w:b/>
        </w:rPr>
        <w:t xml:space="preserve">analisis_genomico</w:t>
      </w:r>
      <w:r>
        <w:rPr>
          <w:b/>
        </w:rPr>
        <w:t xml:space="preserve">.</w:t>
      </w:r>
      <w:r>
        <w:t xml:space="preserve"> Solo guarda las proteínas del locus K; el resto de las proteínas predichas queda en un archivo anexo del volumen de genomas, para no acercarse al límite de 16 MB por documento.</w:t>
      </w:r>
    </w:p>
    <w:p>
      <w:pPr>
        <w:pStyle w:val="Code"/>
      </w:pPr>
      <w:bookmarkStart w:id="1" w:name="bongo_lang_json_1"/>
      <w:bookmarkEnd w:id="1"/>
      <w:r>
        <w:t xml:space="preserve">{</w:t>
        <w:br/>
        <w:t xml:space="preserve">  "solicitud_id": "uuid", "ejecucion": 1, "pg_analisis_id": "uuid",</w:t>
        <w:br/>
        <w:t xml:space="preserve">  "qc": { "longitud": 5480123, "contigs": 87, "n50": 210345, "gc": 57.3, "prop_ambiguas": 0.0002 },</w:t>
        <w:br/>
        <w:t xml:space="preserve">  "especie": { "detectada": "Klebsiella pneumoniae", "distancia": 0.012 },</w:t>
        <w:br/>
        <w:t xml:space="preserve">  "locus_k": { "tipo": "KL2", "confianza": "alta",</w:t>
        <w:br/>
        <w:t xml:space="preserve">               "proteinas": [ { "id": "p001", "gen": "wzi", "secuencia_aa": "MK..." } ] },</w:t>
        <w:br/>
        <w:t xml:space="preserve">  "proteinas_anexo": "proteinas/&lt;sha256&gt;.faa.gz",</w:t>
        <w:br/>
        <w:t xml:space="preserve">  "herramientas": [ { "nombre": "prodigal", "version": "...", "parametros": "..." } ],</w:t>
        <w:br/>
        <w:t xml:space="preserve">  "creado_en": "2026-10-27T15:04:05Z"</w:t>
        <w:br/>
        <w:t xml:space="preserve">}</w:t>
      </w:r>
    </w:p>
    <w:p>
      <w:pPr/>
      <w:r>
        <w:rPr>
          <w:rStyle w:val="CodeChar"/>
          <w:b/>
        </w:rPr>
        <w:t xml:space="preserve">fago_anotacion</w:t>
      </w:r>
      <w:r>
        <w:rPr>
          <w:b/>
        </w:rPr>
        <w:t xml:space="preserve">.</w:t>
      </w:r>
    </w:p>
    <w:p>
      <w:pPr>
        <w:pStyle w:val="Code"/>
      </w:pPr>
      <w:bookmarkStart w:id="2" w:name="bongo_lang_json_2"/>
      <w:bookmarkEnd w:id="2"/>
      <w:r>
        <w:t xml:space="preserve">{</w:t>
        <w:br/>
        <w:t xml:space="preserve">  "fago_id": "uuid", "accesion": "...",</w:t>
        <w:br/>
        <w:t xml:space="preserve">  "anotacion": { "fuente": "PhageScope", "ciclo_vida": "litico", "proteinas_totales": 112 },</w:t>
        <w:br/>
        <w:t xml:space="preserve">  "rbp": [ { "id": "r01", "secuencia_aa": "MA...", "metodo": "anotacion", "puntaje": 0.93,</w:t>
        <w:br/>
        <w:t xml:space="preserve">             "embedding_sha256": "..." } ],</w:t>
        <w:br/>
        <w:t xml:space="preserve">  "creado_en": "2026-10-27T15:04:05Z"</w:t>
        <w:br/>
        <w:t xml:space="preserve">}</w:t>
      </w:r>
    </w:p>
    <w:p>
      <w:pPr/>
      <w:r>
        <w:rPr>
          <w:rStyle w:val="CodeChar"/>
          <w:b/>
        </w:rPr>
        <w:t xml:space="preserve">embedding_cache</w:t>
      </w:r>
      <w:r>
        <w:rPr>
          <w:b/>
        </w:rPr>
        <w:t xml:space="preserve">.</w:t>
      </w:r>
      <w:r>
        <w:t xml:space="preserve"> El vector se guarda como </w:t>
      </w:r>
      <w:r>
        <w:rPr>
          <w:rStyle w:val="CodeChar"/>
        </w:rPr>
        <w:t xml:space="preserve">BinData</w:t>
      </w:r>
      <w:r>
        <w:t xml:space="preserve"> de </w:t>
      </w:r>
      <w:r>
        <w:rPr>
          <w:rStyle w:val="CodeChar"/>
        </w:rPr>
        <w:t xml:space="preserve">float32</w:t>
      </w:r>
      <w:r>
        <w:t xml:space="preserve">, de unos 2 KB para la variante de 35 millones de parámetros, la mitad que como arreglo de números.</w:t>
      </w:r>
    </w:p>
    <w:p>
      <w:pPr>
        <w:pStyle w:val="Code"/>
      </w:pPr>
      <w:bookmarkStart w:id="3" w:name="bongo_lang_json_3"/>
      <w:bookmarkEnd w:id="3"/>
      <w:r>
        <w:t xml:space="preserve">{</w:t>
        <w:br/>
        <w:t xml:space="preserve">  "secuencia_sha256": "...", "modelo_embedding": "esm2_t12_35M_UR50D", "dimension": 480,</w:t>
        <w:br/>
        <w:t xml:space="preserve">  "origen": "fago", "vector": "&lt;BinData float32&gt;", "creado_en": "2026-10-27T15:04:05Z"</w:t>
        <w:br/>
        <w:t xml:space="preserve">}</w:t>
      </w:r>
    </w:p>
    <w:p>
      <w:pPr/>
      <w:r>
        <w:rPr>
          <w:rStyle w:val="CodeChar"/>
          <w:b/>
        </w:rPr>
        <w:t xml:space="preserve">explicacion_shap</w:t>
      </w:r>
      <w:r>
        <w:rPr>
          <w:b/>
        </w:rPr>
        <w:t xml:space="preserve">.</w:t>
      </w:r>
      <w:r>
        <w:t xml:space="preserve"> Las dimensiones de un embedding no se pueden leer por sí solas, así que la explicación agrega la contribución por origen (proteínas del fago frente a proteínas del locus K del aislado) y añade las dimensiones más influyentes.</w:t>
      </w:r>
    </w:p>
    <w:p>
      <w:pPr>
        <w:pStyle w:val="Code"/>
      </w:pPr>
      <w:bookmarkStart w:id="4" w:name="bongo_lang_json_4"/>
      <w:bookmarkEnd w:id="4"/>
      <w:r>
        <w:t xml:space="preserve">{</w:t>
        <w:br/>
        <w:t xml:space="preserve">  "candidato_id": "uuid", "prediccion_id": "uuid", "modelo_version": "0.1.0",</w:t>
        <w:br/>
        <w:t xml:space="preserve">  "valor_base": 0.12, "puntaje": 0.91,</w:t>
        <w:br/>
        <w:t xml:space="preserve">  "por_origen": { "rbp_fago": 0.46, "locus_k_aislado": 0.33 },</w:t>
        <w:br/>
        <w:t xml:space="preserve">  "dimensiones_top": [ { "origen": "rbp_fago", "indice": 17, "contribucion": 0.08 } ],</w:t>
        <w:br/>
        <w:t xml:space="preserve">  "creado_en": "2026-10-27T15:04:05Z"</w:t>
        <w:br/>
        <w:t xml:space="preserve">}</w:t>
      </w:r>
    </w:p>
    <w:p>
      <w:pPr>
        <w:pStyle w:val="Heading3"/>
      </w:pPr>
      <w:r>
        <w:t xml:space="preserve">4.3 Consistencia entre las dos bases</w:t>
      </w:r>
    </w:p>
    <w:p>
      <w:pPr>
        <w:pStyle w:val="ListParagraph"/>
        <w:numPr>
          <w:ilvl w:val="0"/>
          <w:numId w:val="5"/>
        </w:numPr>
      </w:pPr>
      <w:r>
        <w:t xml:space="preserve">El worker escribe primero en MongoDB y después confirma la transacción de PostgreSQL con el identificador del documento.</w:t>
      </w:r>
    </w:p>
    <w:p>
      <w:pPr>
        <w:pStyle w:val="ListParagraph"/>
        <w:numPr>
          <w:ilvl w:val="0"/>
          <w:numId w:val="5"/>
        </w:numPr>
      </w:pPr>
      <w:r>
        <w:t xml:space="preserve">Si la confirmación falla, queda un documento huérfano. El comando </w:t>
      </w:r>
      <w:r>
        <w:rPr>
          <w:rStyle w:val="CodeChar"/>
        </w:rPr>
        <w:t xml:space="preserve">python -m pipeline.reconciliar</w:t>
      </w:r>
      <w:r>
        <w:t xml:space="preserve"> lista y borra los documentos sin fila en PostgreSQL, y una prueba de integración comprueba que no haya ninguno (RNF-33).</w:t>
      </w:r>
    </w:p>
    <w:p>
      <w:pPr>
        <w:pStyle w:val="Heading2"/>
      </w:pPr>
      <w:r>
        <w:t xml:space="preserve">5. Diagramas UML</w:t>
      </w:r>
    </w:p>
    <w:p>
      <w:pPr/>
      <w:r>
        <w:t xml:space="preserve">Cuatro diagramas UML muestran quién usa el sistema, qué conceptos maneja, cómo colaboran sus partes en el flujo principal y cómo se organizan sus componentes.</w:t>
      </w:r>
    </w:p>
    <w:p>
      <w:pPr>
        <w:pStyle w:val="Heading3"/>
      </w:pPr>
      <w:r>
        <w:t xml:space="preserve">5.1 Casos de uso</w:t>
      </w:r>
    </w:p>
    <w:p>
      <w:pPr/>
      <w:r>
        <w:drawing>
          <wp:inline distT="0" distB="0" distL="0" distR="0">
            <wp:extent cx="5486400" cy="4743450"/>
            <wp:docPr id="4" name="image4" descr="casos de uso · 5 actores y 14 caso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casos de uso · 5 actores y 14 casos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casos de uso · 5 actores y 14 casos</w:t>
      </w:r>
    </w:p>
    <w:p>
      <w:pPr/>
      <w:r>
        <w:t xml:space="preserve">Revisar la predicción forma parte de validar y emitir (relación de inclusión). Recibir alertas aplica también al técnico y al microbiólogo, y ver el modelo y sus métricas, también al microbiólogo.</w:t>
      </w:r>
    </w:p>
    <w:p>
      <w:pPr>
        <w:pStyle w:val="Heading3"/>
      </w:pPr>
      <w:r>
        <w:t xml:space="preserve">5.2 Clases del dominio</w:t>
      </w:r>
    </w:p>
    <w:p>
      <w:pPr/>
      <w:r>
        <w:drawing>
          <wp:inline distT="0" distB="0" distL="0" distR="0">
            <wp:extent cx="5486400" cy="3518807"/>
            <wp:docPr id="5" name="image5" descr="clases del dominio · 9 clases y 8 asociacione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clases del dominio · 9 clases y 8 asociaciones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clases del dominio · 9 clases y 8 asociaciones</w:t>
      </w:r>
    </w:p>
    <w:p>
      <w:pPr/>
      <w:r>
        <w:t xml:space="preserve">Las asociaciones se leen de uno a muchos: un aislado tiene muchas solicitudes y una predicción tiene muchos candidatos. Se omiten </w:t>
      </w:r>
      <w:r>
        <w:rPr>
          <w:rStyle w:val="CodeChar"/>
        </w:rPr>
        <w:t xml:space="preserve">Centro</w:t>
      </w:r>
      <w:r>
        <w:t xml:space="preserve">, </w:t>
      </w:r>
      <w:r>
        <w:rPr>
          <w:rStyle w:val="CodeChar"/>
        </w:rPr>
        <w:t xml:space="preserve">Genoma</w:t>
      </w:r>
      <w:r>
        <w:t xml:space="preserve"> y </w:t>
      </w:r>
      <w:r>
        <w:rPr>
          <w:rStyle w:val="CodeChar"/>
        </w:rPr>
        <w:t xml:space="preserve">Modelo</w:t>
      </w:r>
      <w:r>
        <w:t xml:space="preserve">, que solo aportan datos y están en el modelo relacional.</w:t>
      </w:r>
    </w:p>
    <w:p>
      <w:pPr>
        <w:pStyle w:val="Heading3"/>
      </w:pPr>
      <w:r>
        <w:t xml:space="preserve">5.3 Secuencia del flujo principal</w:t>
      </w:r>
    </w:p>
    <w:p>
      <w:pPr/>
      <w:r>
        <w:drawing>
          <wp:inline distT="0" distB="0" distL="0" distR="0">
            <wp:extent cx="5486400" cy="4163785"/>
            <wp:docPr id="6" name="image6" descr="secuencia · 6 participantes y 11 mensaje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secuencia · 6 participantes y 11 mensaje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secuencia · 6 participantes y 11 mensajes</w:t>
      </w:r>
    </w:p>
    <w:p>
      <w:pPr/>
      <w:r>
        <w:t xml:space="preserve">Las flechas hacia </w:t>
      </w:r>
      <w:r>
        <w:rPr>
          <w:rStyle w:val="CodeChar"/>
        </w:rPr>
        <w:t xml:space="preserve">postgres</w:t>
      </w:r>
      <w:r>
        <w:t xml:space="preserve"> escriben en la cola </w:t>
      </w:r>
      <w:r>
        <w:rPr>
          <w:rStyle w:val="CodeChar"/>
        </w:rPr>
        <w:t xml:space="preserve">trabajo</w:t>
      </w:r>
      <w:r>
        <w:t xml:space="preserve"> o leen de ella. Cada paso deja eventos de auditoría (RF-48), que el diagrama no repite.</w:t>
      </w:r>
    </w:p>
    <w:p>
      <w:pPr>
        <w:pStyle w:val="Heading3"/>
      </w:pPr>
      <w:r>
        <w:t xml:space="preserve">5.4 Componentes</w:t>
      </w:r>
    </w:p>
    <w:p>
      <w:pPr/>
      <w:r>
        <w:drawing>
          <wp:inline distT="0" distB="0" distL="0" distR="0">
            <wp:extent cx="5486400" cy="3747407"/>
            <wp:docPr id="7" name="image7" descr="componentes · 3 capas en la API y 2 paquetes de domini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componentes · 3 capas en la API y 2 paquetes de dominio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7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componentes · 3 capas en la API y 2 paquetes de dominio</w:t>
      </w:r>
    </w:p>
    <w:p>
      <w:pPr/>
      <w:r>
        <w:t xml:space="preserve">El worker reutiliza los repositorios de la API, de modo que las reglas de acceso a datos viven en un solo lugar. </w:t>
      </w:r>
      <w:r>
        <w:rPr>
          <w:rStyle w:val="CodeChar"/>
        </w:rPr>
        <w:t xml:space="preserve">pipeline</w:t>
      </w:r>
      <w:r>
        <w:t xml:space="preserve"> y </w:t>
      </w:r>
      <w:r>
        <w:rPr>
          <w:rStyle w:val="CodeChar"/>
        </w:rPr>
        <w:t xml:space="preserve">ml</w:t>
      </w:r>
      <w:r>
        <w:t xml:space="preserve"> son paquetes de Python que no dependen de FastAPI.</w:t>
      </w:r>
    </w:p>
    <w:p>
      <w:pPr>
        <w:pStyle w:val="Heading2"/>
      </w:pPr>
      <w:r>
        <w:t xml:space="preserve">6. Diseño de los requisitos no funcionales</w:t>
      </w:r>
    </w:p>
    <w:p>
      <w:pPr/>
      <w:r>
        <w:t xml:space="preserve">Cada uno de los 33 requisitos no funcionales de la SRS tiene un mecanismo de diseño concreto y un lugar donde se verifica.</w:t>
      </w:r>
    </w:p>
    <w:p>
      <w:pPr>
        <w:pStyle w:val="Heading3"/>
      </w:pPr>
      <w:r>
        <w:t xml:space="preserve">6.1 Seguridad y privacidad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613"/>
        <w:gridCol w:w="7746"/>
      </w:tblGrid>
      <w:tr>
        <w:trPr>
          <w:tblHeader/>
        </w:trPr>
        <w:tc>
          <w:tcPr>
            <w:tcW w:w="1613" w:type="dxa"/>
            <w:shd w:val="clear" w:color="auto" w:fill="F2F2F2"/>
          </w:tcPr>
          <w:p>
            <w:pPr/>
            <w:r>
              <w:t xml:space="preserve">RNF</w:t>
            </w:r>
          </w:p>
        </w:tc>
        <w:tc>
          <w:tcPr>
            <w:tcW w:w="7746" w:type="dxa"/>
            <w:shd w:val="clear" w:color="auto" w:fill="F2F2F2"/>
          </w:tcPr>
          <w:p>
            <w:pPr/>
            <w:r>
              <w:t xml:space="preserve">Mecanismo de diseño</w:t>
            </w:r>
          </w:p>
        </w:tc>
      </w:tr>
      <w:tr>
        <w:tc>
          <w:tcPr>
            <w:tcW w:w="1613" w:type="dxa"/>
          </w:tcPr>
          <w:p>
            <w:pPr/>
            <w:r>
              <w:t xml:space="preserve">RNF-01</w:t>
            </w:r>
          </w:p>
        </w:tc>
        <w:tc>
          <w:tcPr>
            <w:tcW w:w="7746" w:type="dxa"/>
          </w:tcPr>
          <w:p>
            <w:pPr/>
            <w:r>
              <w:t xml:space="preserve">Argon2id con sal por contraseña; los parámetros viven en la configuración y la contraseña nunca se registra.</w:t>
            </w:r>
          </w:p>
        </w:tc>
      </w:tr>
      <w:tr>
        <w:tc>
          <w:tcPr>
            <w:tcW w:w="1613" w:type="dxa"/>
          </w:tcPr>
          <w:p>
            <w:pPr/>
            <w:r>
              <w:t xml:space="preserve">RNF-02</w:t>
            </w:r>
          </w:p>
        </w:tc>
        <w:tc>
          <w:tcPr>
            <w:tcW w:w="7746" w:type="dxa"/>
          </w:tcPr>
          <w:p>
            <w:pPr/>
            <w:r>
              <w:t xml:space="preserve">En la demostración, </w:t>
            </w:r>
            <w:r>
              <w:rPr>
                <w:rStyle w:val="CodeChar"/>
              </w:rPr>
              <w:t xml:space="preserve">web</w:t>
            </w:r>
            <w:r>
              <w:t xml:space="preserve"> y </w:t>
            </w:r>
            <w:r>
              <w:rPr>
                <w:rStyle w:val="CodeChar"/>
              </w:rPr>
              <w:t xml:space="preserve">api</w:t>
            </w:r>
            <w:r>
              <w:t xml:space="preserve"> quedan detrás de un proxy inverso que termina TLS; el compose de desarrollo usa HTTP local.</w:t>
            </w:r>
          </w:p>
        </w:tc>
      </w:tr>
      <w:tr>
        <w:tc>
          <w:tcPr>
            <w:tcW w:w="1613" w:type="dxa"/>
          </w:tcPr>
          <w:p>
            <w:pPr/>
            <w:r>
              <w:t xml:space="preserve">RNF-03</w:t>
            </w:r>
          </w:p>
        </w:tc>
        <w:tc>
          <w:tcPr>
            <w:tcW w:w="7746" w:type="dxa"/>
          </w:tcPr>
          <w:p>
            <w:pPr/>
            <w:r>
              <w:t xml:space="preserve">Token de acceso de 15 minutos y refresh token de 8 horas, revocable (D-04), firmado con una clave de la variable </w:t>
            </w:r>
            <w:r>
              <w:rPr>
                <w:rStyle w:val="CodeChar"/>
              </w:rPr>
              <w:t xml:space="preserve">JWT_SECRET</w:t>
            </w:r>
            <w:r>
              <w:t xml:space="preserve">.</w:t>
            </w:r>
          </w:p>
        </w:tc>
      </w:tr>
      <w:tr>
        <w:tc>
          <w:tcPr>
            <w:tcW w:w="1613" w:type="dxa"/>
          </w:tcPr>
          <w:p>
            <w:pPr/>
            <w:r>
              <w:t xml:space="preserve">RNF-04</w:t>
            </w:r>
          </w:p>
        </w:tc>
        <w:tc>
          <w:tcPr>
            <w:tcW w:w="7746" w:type="dxa"/>
          </w:tcPr>
          <w:p>
            <w:pPr/>
            <w:r>
              <w:t xml:space="preserve">La dependencia </w:t>
            </w:r>
            <w:r>
              <w:rPr>
                <w:rStyle w:val="CodeChar"/>
              </w:rPr>
              <w:t xml:space="preserve">requiere_rol(...)</w:t>
            </w:r>
            <w:r>
              <w:t xml:space="preserve"> protege cada router, y los repositorios aplican el filtro de alcance (</w:t>
            </w:r>
            <w:r>
              <w:rPr>
                <w:rStyle w:val="CodeChar"/>
              </w:rPr>
              <w:t xml:space="preserve">centro_id</w:t>
            </w:r>
            <w:r>
              <w:t xml:space="preserve">, </w:t>
            </w:r>
            <w:r>
              <w:rPr>
                <w:rStyle w:val="CodeChar"/>
              </w:rPr>
              <w:t xml:space="preserve">creada_por</w:t>
            </w:r>
            <w:r>
              <w:t xml:space="preserve">). Un dato fuera de alcance responde 404.</w:t>
            </w:r>
          </w:p>
        </w:tc>
      </w:tr>
      <w:tr>
        <w:tc>
          <w:tcPr>
            <w:tcW w:w="1613" w:type="dxa"/>
          </w:tcPr>
          <w:p>
            <w:pPr/>
            <w:r>
              <w:t xml:space="preserve">RNF-05</w:t>
            </w:r>
          </w:p>
        </w:tc>
        <w:tc>
          <w:tcPr>
            <w:tcW w:w="7746" w:type="dxa"/>
          </w:tcPr>
          <w:p>
            <w:pPr/>
            <w:r>
              <w:t xml:space="preserve">Las columnas </w:t>
            </w:r>
            <w:r>
              <w:rPr>
                <w:rStyle w:val="CodeChar"/>
              </w:rPr>
              <w:t xml:space="preserve">intentos_fallidos</w:t>
            </w:r>
            <w:r>
              <w:t xml:space="preserve"> y </w:t>
            </w:r>
            <w:r>
              <w:rPr>
                <w:rStyle w:val="CodeChar"/>
              </w:rPr>
              <w:t xml:space="preserve">bloqueado_hasta</w:t>
            </w:r>
            <w:r>
              <w:t xml:space="preserve"> de </w:t>
            </w:r>
            <w:r>
              <w:rPr>
                <w:rStyle w:val="CodeChar"/>
              </w:rPr>
              <w:t xml:space="preserve">usuario</w:t>
            </w:r>
            <w:r>
              <w:t xml:space="preserve">: al quinto fallo, bloqueo de 15 minutos.</w:t>
            </w:r>
          </w:p>
        </w:tc>
      </w:tr>
      <w:tr>
        <w:tc>
          <w:tcPr>
            <w:tcW w:w="1613" w:type="dxa"/>
          </w:tcPr>
          <w:p>
            <w:pPr/>
            <w:r>
              <w:t xml:space="preserve">RNF-06</w:t>
            </w:r>
          </w:p>
        </w:tc>
        <w:tc>
          <w:tcPr>
            <w:tcW w:w="7746" w:type="dxa"/>
          </w:tcPr>
          <w:p>
            <w:pPr/>
            <w:r>
              <w:rPr>
                <w:rStyle w:val="CodeChar"/>
              </w:rPr>
              <w:t xml:space="preserve">.env</w:t>
            </w:r>
            <w:r>
              <w:t xml:space="preserve"> fuera de Git por </w:t>
            </w:r>
            <w:r>
              <w:rPr>
                <w:rStyle w:val="CodeChar"/>
              </w:rPr>
              <w:t xml:space="preserve">.gitignore</w:t>
            </w:r>
            <w:r>
              <w:t xml:space="preserve">, solo </w:t>
            </w:r>
            <w:r>
              <w:rPr>
                <w:rStyle w:val="CodeChar"/>
              </w:rPr>
              <w:t xml:space="preserve">.env.example</w:t>
            </w:r>
            <w:r>
              <w:t xml:space="preserve"> versionado y revisión de secretos con </w:t>
            </w:r>
            <w:r>
              <w:rPr>
                <w:rStyle w:val="CodeChar"/>
              </w:rPr>
              <w:t xml:space="preserve">gitleaks</w:t>
            </w:r>
            <w:r>
              <w:t xml:space="preserve"> en la integración continua.</w:t>
            </w:r>
          </w:p>
        </w:tc>
      </w:tr>
      <w:tr>
        <w:tc>
          <w:tcPr>
            <w:tcW w:w="1613" w:type="dxa"/>
          </w:tcPr>
          <w:p>
            <w:pPr/>
            <w:r>
              <w:t xml:space="preserve">RNF-07</w:t>
            </w:r>
          </w:p>
        </w:tc>
        <w:tc>
          <w:tcPr>
            <w:tcW w:w="7746" w:type="dxa"/>
          </w:tcPr>
          <w:p>
            <w:pPr/>
            <w:r>
              <w:t xml:space="preserve">Pydantic valida las entradas y SQLAlchemy liga los parámetros. El FASTA se lee en flujo, con tamaño máximo, extensiones permitidas y alfabeto de nucleótidos; el nombre del archivo nunca forma parte de una ruta. CORS se limita a los orígenes de los clientes.</w:t>
            </w:r>
          </w:p>
        </w:tc>
      </w:tr>
      <w:tr>
        <w:tc>
          <w:tcPr>
            <w:tcW w:w="1613" w:type="dxa"/>
          </w:tcPr>
          <w:p>
            <w:pPr/>
            <w:r>
              <w:t xml:space="preserve">RNF-08</w:t>
            </w:r>
          </w:p>
        </w:tc>
        <w:tc>
          <w:tcPr>
            <w:tcW w:w="7746" w:type="dxa"/>
          </w:tcPr>
          <w:p>
            <w:pPr/>
            <w:r>
              <w:t xml:space="preserve">El rol de base de datos </w:t>
            </w:r>
            <w:r>
              <w:rPr>
                <w:rStyle w:val="CodeChar"/>
              </w:rPr>
              <w:t xml:space="preserve">sirfa_app</w:t>
            </w:r>
            <w:r>
              <w:t xml:space="preserve"> solo tiene </w:t>
            </w:r>
            <w:r>
              <w:rPr>
                <w:rStyle w:val="CodeChar"/>
              </w:rPr>
              <w:t xml:space="preserve">INSERT</w:t>
            </w:r>
            <w:r>
              <w:t xml:space="preserve"> y </w:t>
            </w:r>
            <w:r>
              <w:rPr>
                <w:rStyle w:val="CodeChar"/>
              </w:rPr>
              <w:t xml:space="preserve">SELECT</w:t>
            </w:r>
            <w:r>
              <w:t xml:space="preserve"> sobre </w:t>
            </w:r>
            <w:r>
              <w:rPr>
                <w:rStyle w:val="CodeChar"/>
              </w:rPr>
              <w:t xml:space="preserve">evento_auditoria</w:t>
            </w:r>
            <w:r>
              <w:t xml:space="preserve">; un trigger rechaza </w:t>
            </w:r>
            <w:r>
              <w:rPr>
                <w:rStyle w:val="CodeChar"/>
              </w:rPr>
              <w:t xml:space="preserve">UPDATE</w:t>
            </w:r>
            <w:r>
              <w:t xml:space="preserve"> y </w:t>
            </w:r>
            <w:r>
              <w:rPr>
                <w:rStyle w:val="CodeChar"/>
              </w:rPr>
              <w:t xml:space="preserve">DELETE</w:t>
            </w:r>
            <w:r>
              <w:t xml:space="preserve">. Las migraciones usan otro rol.</w:t>
            </w:r>
          </w:p>
        </w:tc>
      </w:tr>
      <w:tr>
        <w:tc>
          <w:tcPr>
            <w:tcW w:w="1613" w:type="dxa"/>
          </w:tcPr>
          <w:p>
            <w:pPr/>
            <w:r>
              <w:t xml:space="preserve">RNF-09</w:t>
            </w:r>
          </w:p>
        </w:tc>
        <w:tc>
          <w:tcPr>
            <w:tcW w:w="7746" w:type="dxa"/>
          </w:tcPr>
          <w:p>
            <w:pPr/>
            <w:r>
              <w:t xml:space="preserve">El esquema no tiene columnas de identificación y la API rechaza códigos internos con formato de RUT.</w:t>
            </w:r>
          </w:p>
        </w:tc>
      </w:tr>
      <w:tr>
        <w:tc>
          <w:tcPr>
            <w:tcW w:w="1613" w:type="dxa"/>
          </w:tcPr>
          <w:p>
            <w:pPr/>
            <w:r>
              <w:t xml:space="preserve">RNF-10</w:t>
            </w:r>
          </w:p>
        </w:tc>
        <w:tc>
          <w:tcPr>
            <w:tcW w:w="7746" w:type="dxa"/>
          </w:tcPr>
          <w:p>
            <w:pPr/>
            <w:r>
              <w:t xml:space="preserve">El texto de la advertencia es una constante única del servidor, incluida en cada respuesta de recomendación y en el PDF; los clientes la muestran tal como llega.</w:t>
            </w:r>
          </w:p>
        </w:tc>
      </w:tr>
      <w:tr>
        <w:tc>
          <w:tcPr>
            <w:tcW w:w="1613" w:type="dxa"/>
          </w:tcPr>
          <w:p>
            <w:pPr/>
            <w:r>
              <w:t xml:space="preserve">RNF-11</w:t>
            </w:r>
          </w:p>
        </w:tc>
        <w:tc>
          <w:tcPr>
            <w:tcW w:w="7746" w:type="dxa"/>
          </w:tcPr>
          <w:p>
            <w:pPr/>
            <w:r>
              <w:t xml:space="preserve">La ficha del modelo guarda sus métricas y un campo </w:t>
            </w:r>
            <w:r>
              <w:rPr>
                <w:rStyle w:val="CodeChar"/>
              </w:rPr>
              <w:t xml:space="preserve">limites</w:t>
            </w:r>
            <w:r>
              <w:t xml:space="preserve"> que se muestra junto a ellas.</w:t>
            </w:r>
          </w:p>
        </w:tc>
      </w:tr>
    </w:tbl>
    <w:p>
      <w:pPr>
        <w:pStyle w:val="Heading3"/>
      </w:pPr>
      <w:r>
        <w:t xml:space="preserve">6.2 Auditoría</w:t>
      </w:r>
    </w:p>
    <w:p>
      <w:pPr/>
      <w:r>
        <w:t xml:space="preserve">El servicio </w:t>
      </w:r>
      <w:r>
        <w:rPr>
          <w:rStyle w:val="CodeChar"/>
        </w:rPr>
        <w:t xml:space="preserve">auditar()</w:t>
      </w:r>
      <w:r>
        <w:t xml:space="preserve"> se llama dentro de la misma transacción que el cambio, de modo que no existe un cambio sin su evento. Los intentos fallidos o denegados se registran por una conexión aparte, porque su transacción principal se revierte. Cada evento calcula su </w:t>
      </w:r>
      <w:r>
        <w:rPr>
          <w:rStyle w:val="CodeChar"/>
        </w:rPr>
        <w:t xml:space="preserve">hash</w:t>
      </w:r>
      <w:r>
        <w:t xml:space="preserve"> como SHA-256 del </w:t>
      </w:r>
      <w:r>
        <w:rPr>
          <w:rStyle w:val="CodeChar"/>
        </w:rPr>
        <w:t xml:space="preserve">hash_previo</w:t>
      </w:r>
      <w:r>
        <w:t xml:space="preserve"> y del JSON canónico del evento, bajo un </w:t>
      </w:r>
      <w:r>
        <w:rPr>
          <w:rStyle w:val="CodeChar"/>
        </w:rPr>
        <w:t xml:space="preserve">pg_advisory_xact_lock</w:t>
      </w:r>
      <w:r>
        <w:t xml:space="preserve"> que serializa la cadena. </w:t>
      </w:r>
      <w:r>
        <w:rPr>
          <w:rStyle w:val="CodeChar"/>
        </w:rPr>
        <w:t xml:space="preserve">GET /auditoria/verificacion</w:t>
      </w:r>
      <w:r>
        <w:t xml:space="preserve"> recalcula la cadena completa y avisa del primer evento que no coincide (RF-51). Las acciones registradas son las que enumera RF-48: inicio de sesión, cambios de usuario y rol, registro de aislado, carga de genoma, cambio de estado, predicción, validación, emisión, consulta de recomendación y cambios del banco.</w:t>
      </w:r>
    </w:p>
    <w:p>
      <w:pPr>
        <w:pStyle w:val="Heading3"/>
      </w:pPr>
      <w:r>
        <w:t xml:space="preserve">6.3 Rendimiento, escalabilidad, disponibilidad y portabilidad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678"/>
        <w:gridCol w:w="6681"/>
      </w:tblGrid>
      <w:tr>
        <w:trPr>
          <w:tblHeader/>
        </w:trPr>
        <w:tc>
          <w:tcPr>
            <w:tcW w:w="2678" w:type="dxa"/>
            <w:shd w:val="clear" w:color="auto" w:fill="F2F2F2"/>
          </w:tcPr>
          <w:p>
            <w:pPr/>
            <w:r>
              <w:t xml:space="preserve">RNF</w:t>
            </w:r>
          </w:p>
        </w:tc>
        <w:tc>
          <w:tcPr>
            <w:tcW w:w="6681" w:type="dxa"/>
            <w:shd w:val="clear" w:color="auto" w:fill="F2F2F2"/>
          </w:tcPr>
          <w:p>
            <w:pPr/>
            <w:r>
              <w:t xml:space="preserve">Mecanismo de diseño</w:t>
            </w:r>
          </w:p>
        </w:tc>
      </w:tr>
      <w:tr>
        <w:tc>
          <w:tcPr>
            <w:tcW w:w="2678" w:type="dxa"/>
          </w:tcPr>
          <w:p>
            <w:pPr/>
            <w:r>
              <w:t xml:space="preserve">RNF-12</w:t>
            </w:r>
          </w:p>
        </w:tc>
        <w:tc>
          <w:tcPr>
            <w:tcW w:w="6681" w:type="dxa"/>
          </w:tcPr>
          <w:p>
            <w:pPr/>
            <w:r>
              <w:t xml:space="preserve">Índices de la sección 3.5, paginación obligatoria de hasta 100 filas y uniones explícitas que evitan consultas repetidas por fila.</w:t>
            </w:r>
          </w:p>
        </w:tc>
      </w:tr>
      <w:tr>
        <w:tc>
          <w:tcPr>
            <w:tcW w:w="2678" w:type="dxa"/>
          </w:tcPr>
          <w:p>
            <w:pPr/>
            <w:r>
              <w:t xml:space="preserve">RNF-13</w:t>
            </w:r>
          </w:p>
        </w:tc>
        <w:tc>
          <w:tcPr>
            <w:tcW w:w="6681" w:type="dxa"/>
          </w:tcPr>
          <w:p>
            <w:pPr/>
            <w:r>
              <w:t xml:space="preserve">Solo las proteínas del locus K pasan por ESM-2; el proteoma completo no. Los vectores del banco se precomputan una vez (D-10).</w:t>
            </w:r>
          </w:p>
        </w:tc>
      </w:tr>
      <w:tr>
        <w:tc>
          <w:tcPr>
            <w:tcW w:w="2678" w:type="dxa"/>
          </w:tcPr>
          <w:p>
            <w:pPr/>
            <w:r>
              <w:t xml:space="preserve">RNF-14</w:t>
            </w:r>
          </w:p>
        </w:tc>
        <w:tc>
          <w:tcPr>
            <w:tcW w:w="6681" w:type="dxa"/>
          </w:tcPr>
          <w:p>
            <w:pPr/>
            <w:r>
              <w:t xml:space="preserve">Los puntajes se calculan en lote para todos los fagos aprobados, y SHAP se calcula solo para los candidatos que se muestran.</w:t>
            </w:r>
          </w:p>
        </w:tc>
      </w:tr>
      <w:tr>
        <w:tc>
          <w:tcPr>
            <w:tcW w:w="2678" w:type="dxa"/>
          </w:tcPr>
          <w:p>
            <w:pPr/>
            <w:r>
              <w:t xml:space="preserve">RNF-15</w:t>
            </w:r>
          </w:p>
        </w:tc>
        <w:tc>
          <w:tcPr>
            <w:tcW w:w="6681" w:type="dxa"/>
          </w:tcPr>
          <w:p>
            <w:pPr/>
            <w:r>
              <w:t xml:space="preserve">Vistas materializadas (D-12) y caché HTTP de 60 segundos en los endpoints del tablero.</w:t>
            </w:r>
          </w:p>
        </w:tc>
      </w:tr>
      <w:tr>
        <w:tc>
          <w:tcPr>
            <w:tcW w:w="2678" w:type="dxa"/>
          </w:tcPr>
          <w:p>
            <w:pPr/>
            <w:r>
              <w:t xml:space="preserve">RNF-16, RNF-17</w:t>
            </w:r>
          </w:p>
        </w:tc>
        <w:tc>
          <w:tcPr>
            <w:tcW w:w="6681" w:type="dxa"/>
          </w:tcPr>
          <w:p>
            <w:pPr/>
            <w:r>
              <w:t xml:space="preserve">Un contenedor por servicio; </w:t>
            </w:r>
            <w:r>
              <w:rPr>
                <w:rStyle w:val="CodeChar"/>
              </w:rPr>
              <w:t xml:space="preserve">docker compose up --scale worker-pipeline=3</w:t>
            </w:r>
            <w:r>
              <w:t xml:space="preserve"> funciona gracias a </w:t>
            </w:r>
            <w:r>
              <w:rPr>
                <w:rStyle w:val="CodeChar"/>
              </w:rPr>
              <w:t xml:space="preserve">SKIP LOCKED</w:t>
            </w:r>
            <w:r>
              <w:t xml:space="preserve">. Las inserciones masivas del banco usan </w:t>
            </w:r>
            <w:r>
              <w:rPr>
                <w:rStyle w:val="CodeChar"/>
              </w:rPr>
              <w:t xml:space="preserve">COPY</w:t>
            </w:r>
            <w:r>
              <w:t xml:space="preserve">.</w:t>
            </w:r>
          </w:p>
        </w:tc>
      </w:tr>
      <w:tr>
        <w:tc>
          <w:tcPr>
            <w:tcW w:w="2678" w:type="dxa"/>
          </w:tcPr>
          <w:p>
            <w:pPr/>
            <w:r>
              <w:t xml:space="preserve">RNF-18</w:t>
            </w:r>
          </w:p>
        </w:tc>
        <w:tc>
          <w:tcPr>
            <w:tcW w:w="6681" w:type="dxa"/>
          </w:tcPr>
          <w:p>
            <w:pPr/>
            <w:r>
              <w:t xml:space="preserve">La especie es un atributo (</w:t>
            </w:r>
            <w:r>
              <w:rPr>
                <w:rStyle w:val="CodeChar"/>
              </w:rPr>
              <w:t xml:space="preserve">especie_declarada</w:t>
            </w:r>
            <w:r>
              <w:t xml:space="preserve">, </w:t>
            </w:r>
            <w:r>
              <w:rPr>
                <w:rStyle w:val="CodeChar"/>
              </w:rPr>
              <w:t xml:space="preserve">especie_detectada</w:t>
            </w:r>
            <w:r>
              <w:t xml:space="preserve">, </w:t>
            </w:r>
            <w:r>
              <w:rPr>
                <w:rStyle w:val="CodeChar"/>
              </w:rPr>
              <w:t xml:space="preserve">especie_hospedador</w:t>
            </w:r>
            <w:r>
              <w:t xml:space="preserve">) y cada </w:t>
            </w:r>
            <w:r>
              <w:rPr>
                <w:rStyle w:val="CodeChar"/>
              </w:rPr>
              <w:t xml:space="preserve">modelo</w:t>
            </w:r>
            <w:r>
              <w:t xml:space="preserve"> declara su </w:t>
            </w:r>
            <w:r>
              <w:rPr>
                <w:rStyle w:val="CodeChar"/>
              </w:rPr>
              <w:t xml:space="preserve">especie_objetivo</w:t>
            </w:r>
            <w:r>
              <w:t xml:space="preserve">; agregar </w:t>
            </w:r>
            <w:r>
              <w:rPr>
                <w:i/>
              </w:rPr>
              <w:t xml:space="preserve">Pseudomonas aeruginosa</w:t>
            </w:r>
            <w:r>
              <w:t xml:space="preserve"> no cambia el esquema.</w:t>
            </w:r>
          </w:p>
        </w:tc>
      </w:tr>
      <w:tr>
        <w:tc>
          <w:tcPr>
            <w:tcW w:w="2678" w:type="dxa"/>
          </w:tcPr>
          <w:p>
            <w:pPr/>
            <w:r>
              <w:t xml:space="preserve">RNF-19</w:t>
            </w:r>
          </w:p>
        </w:tc>
        <w:tc>
          <w:tcPr>
            <w:tcW w:w="6681" w:type="dxa"/>
          </w:tcPr>
          <w:p>
            <w:pPr/>
            <w:r>
              <w:rPr>
                <w:rStyle w:val="CodeChar"/>
              </w:rPr>
              <w:t xml:space="preserve">restart: unless-stopped</w:t>
            </w:r>
            <w:r>
              <w:t xml:space="preserve"> y </w:t>
            </w:r>
            <w:r>
              <w:rPr>
                <w:rStyle w:val="CodeChar"/>
              </w:rPr>
              <w:t xml:space="preserve">healthcheck</w:t>
            </w:r>
            <w:r>
              <w:t xml:space="preserve"> en cada servicio; </w:t>
            </w:r>
            <w:r>
              <w:rPr>
                <w:rStyle w:val="CodeChar"/>
              </w:rPr>
              <w:t xml:space="preserve">GET /salud</w:t>
            </w:r>
            <w:r>
              <w:t xml:space="preserve"> consulta PostgreSQL y MongoDB.</w:t>
            </w:r>
          </w:p>
        </w:tc>
      </w:tr>
      <w:tr>
        <w:tc>
          <w:tcPr>
            <w:tcW w:w="2678" w:type="dxa"/>
          </w:tcPr>
          <w:p>
            <w:pPr/>
            <w:r>
              <w:t xml:space="preserve">RNF-20, RNF-21</w:t>
            </w:r>
          </w:p>
        </w:tc>
        <w:tc>
          <w:tcPr>
            <w:tcW w:w="6681" w:type="dxa"/>
          </w:tcPr>
          <w:p>
            <w:pPr/>
            <w:r>
              <w:t xml:space="preserve">Sin alta disponibilidad. </w:t>
            </w:r>
            <w:r>
              <w:rPr>
                <w:rStyle w:val="CodeChar"/>
              </w:rPr>
              <w:t xml:space="preserve">scripts/respaldo.sh</w:t>
            </w:r>
            <w:r>
              <w:t xml:space="preserve"> ejecuta </w:t>
            </w:r>
            <w:r>
              <w:rPr>
                <w:rStyle w:val="CodeChar"/>
              </w:rPr>
              <w:t xml:space="preserve">pg_dump</w:t>
            </w:r>
            <w:r>
              <w:t xml:space="preserve"> y </w:t>
            </w:r>
            <w:r>
              <w:rPr>
                <w:rStyle w:val="CodeChar"/>
              </w:rPr>
              <w:t xml:space="preserve">mongodump</w:t>
            </w:r>
            <w:r>
              <w:t xml:space="preserve">, y </w:t>
            </w:r>
            <w:r>
              <w:rPr>
                <w:rStyle w:val="CodeChar"/>
              </w:rPr>
              <w:t xml:space="preserve">scripts/restaurar.sh</w:t>
            </w:r>
            <w:r>
              <w:t xml:space="preserve"> los restaura; la prueba de restauración queda documentada.</w:t>
            </w:r>
          </w:p>
        </w:tc>
      </w:tr>
      <w:tr>
        <w:tc>
          <w:tcPr>
            <w:tcW w:w="2678" w:type="dxa"/>
          </w:tcPr>
          <w:p>
            <w:pPr/>
            <w:r>
              <w:t xml:space="preserve">RNF-22, RNF-23</w:t>
            </w:r>
          </w:p>
        </w:tc>
        <w:tc>
          <w:tcPr>
            <w:tcW w:w="6681" w:type="dxa"/>
          </w:tcPr>
          <w:p>
            <w:pPr/>
            <w:r>
              <w:rPr>
                <w:rStyle w:val="CodeChar"/>
              </w:rPr>
              <w:t xml:space="preserve">docker compose up --build</w:t>
            </w:r>
            <w:r>
              <w:t xml:space="preserve">, con </w:t>
            </w:r>
            <w:r>
              <w:rPr>
                <w:rStyle w:val="CodeChar"/>
              </w:rPr>
              <w:t xml:space="preserve">alembic upgrade head</w:t>
            </w:r>
            <w:r>
              <w:t xml:space="preserve"> al iniciar la API, imágenes </w:t>
            </w:r>
            <w:r>
              <w:rPr>
                <w:rStyle w:val="CodeChar"/>
              </w:rPr>
              <w:t xml:space="preserve">linux/amd64</w:t>
            </w:r>
            <w:r>
              <w:t xml:space="preserve"> y Docker Desktop en Windows y macOS. La app móvil se prueba en Android con Expo.</w:t>
            </w:r>
          </w:p>
        </w:tc>
      </w:tr>
    </w:tbl>
    <w:p>
      <w:pPr>
        <w:pStyle w:val="Heading3"/>
      </w:pPr>
      <w:r>
        <w:t xml:space="preserve">6.4 Usabilidad, calidad y reproducibilidad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791"/>
        <w:gridCol w:w="6568"/>
      </w:tblGrid>
      <w:tr>
        <w:trPr>
          <w:tblHeader/>
        </w:trPr>
        <w:tc>
          <w:tcPr>
            <w:tcW w:w="2791" w:type="dxa"/>
            <w:shd w:val="clear" w:color="auto" w:fill="F2F2F2"/>
          </w:tcPr>
          <w:p>
            <w:pPr/>
            <w:r>
              <w:t xml:space="preserve">RNF</w:t>
            </w:r>
          </w:p>
        </w:tc>
        <w:tc>
          <w:tcPr>
            <w:tcW w:w="6568" w:type="dxa"/>
            <w:shd w:val="clear" w:color="auto" w:fill="F2F2F2"/>
          </w:tcPr>
          <w:p>
            <w:pPr/>
            <w:r>
              <w:t xml:space="preserve">Mecanismo de diseño</w:t>
            </w:r>
          </w:p>
        </w:tc>
      </w:tr>
      <w:tr>
        <w:tc>
          <w:tcPr>
            <w:tcW w:w="2791" w:type="dxa"/>
          </w:tcPr>
          <w:p>
            <w:pPr/>
            <w:r>
              <w:t xml:space="preserve">RNF-24 a RNF-26</w:t>
            </w:r>
          </w:p>
        </w:tc>
        <w:tc>
          <w:tcPr>
            <w:tcW w:w="6568" w:type="dxa"/>
          </w:tcPr>
          <w:p>
            <w:pPr/>
            <w:r>
              <w:t xml:space="preserve">Textos en un archivo de mensajes en español, errores con causa y acción, formularios con </w:t>
            </w:r>
            <w:r>
              <w:rPr>
                <w:rStyle w:val="CodeChar"/>
              </w:rPr>
              <w:t xml:space="preserve">label</w:t>
            </w:r>
            <w:r>
              <w:t xml:space="preserve"> y revisión de contraste y teclado con Lighthouse en la etapa 4. El registro de un aislado cabe en tres pantallas: datos, genoma y confirmación.</w:t>
            </w:r>
          </w:p>
        </w:tc>
      </w:tr>
      <w:tr>
        <w:tc>
          <w:tcPr>
            <w:tcW w:w="2791" w:type="dxa"/>
          </w:tcPr>
          <w:p>
            <w:pPr/>
            <w:r>
              <w:t xml:space="preserve">RNF-27 a RNF-29</w:t>
            </w:r>
          </w:p>
        </w:tc>
        <w:tc>
          <w:tcPr>
            <w:tcW w:w="6568" w:type="dxa"/>
          </w:tcPr>
          <w:p>
            <w:pPr/>
            <w:r>
              <w:rPr>
                <w:rStyle w:val="CodeChar"/>
              </w:rPr>
              <w:t xml:space="preserve">pytest-cov</w:t>
            </w:r>
            <w:r>
              <w:t xml:space="preserve"> con umbral de 70 % sobre </w:t>
            </w:r>
            <w:r>
              <w:rPr>
                <w:rStyle w:val="CodeChar"/>
              </w:rPr>
              <w:t xml:space="preserve">backend/app/servicios</w:t>
            </w:r>
            <w:r>
              <w:t xml:space="preserve"> y </w:t>
            </w:r>
            <w:r>
              <w:rPr>
                <w:rStyle w:val="CodeChar"/>
              </w:rPr>
              <w:t xml:space="preserve">pipeline</w:t>
            </w:r>
            <w:r>
              <w:t xml:space="preserve">; GitHub Actions ejecuta lint, pruebas y construcción de imágenes en cada push; OpenAPI se genera sola y el README documenta la ejecución.</w:t>
            </w:r>
          </w:p>
        </w:tc>
      </w:tr>
      <w:tr>
        <w:tc>
          <w:tcPr>
            <w:tcW w:w="2791" w:type="dxa"/>
          </w:tcPr>
          <w:p>
            <w:pPr/>
            <w:r>
              <w:t xml:space="preserve">RNF-30, RNF-31</w:t>
            </w:r>
          </w:p>
        </w:tc>
        <w:tc>
          <w:tcPr>
            <w:tcW w:w="6568" w:type="dxa"/>
          </w:tcPr>
          <w:p>
            <w:pPr/>
            <w:r>
              <w:t xml:space="preserve">Semilla fija en el entrenamiento y en XGBoost; la tabla </w:t>
            </w:r>
            <w:r>
              <w:rPr>
                <w:rStyle w:val="CodeChar"/>
              </w:rPr>
              <w:t xml:space="preserve">modelo</w:t>
            </w:r>
            <w:r>
              <w:t xml:space="preserve"> guarda semilla, parámetros y </w:t>
            </w:r>
            <w:r>
              <w:rPr>
                <w:rStyle w:val="CodeChar"/>
              </w:rPr>
              <w:t xml:space="preserve">hash_datos</w:t>
            </w:r>
            <w:r>
              <w:t xml:space="preserve">, y una prueba verifica que la misma entrada dé el mismo ranking.</w:t>
            </w:r>
          </w:p>
        </w:tc>
      </w:tr>
      <w:tr>
        <w:tc>
          <w:tcPr>
            <w:tcW w:w="2791" w:type="dxa"/>
          </w:tcPr>
          <w:p>
            <w:pPr/>
            <w:r>
              <w:t xml:space="preserve">RNF-32, RNF-33</w:t>
            </w:r>
          </w:p>
        </w:tc>
        <w:tc>
          <w:tcPr>
            <w:tcW w:w="6568" w:type="dxa"/>
          </w:tcPr>
          <w:p>
            <w:pPr/>
            <w:r>
              <w:t xml:space="preserve">Claves foráneas, transacciones por cambio de estado y el comando de reconciliación de la sección 4.3.</w:t>
            </w:r>
          </w:p>
        </w:tc>
      </w:tr>
    </w:tbl>
    <w:p>
      <w:pPr>
        <w:pStyle w:val="Heading2"/>
      </w:pPr>
      <w:r>
        <w:t xml:space="preserve">7. Plan de pruebas</w:t>
      </w:r>
    </w:p>
    <w:p>
      <w:pPr/>
      <w:r>
        <w:t xml:space="preserve">El plan verifica los 66 requisitos funcionales y los 33 no funcionales con el método asignado en la SRS, automatizando todo lo que se pueda y reservando la demostración y la inspección para el resto.</w:t>
      </w:r>
    </w:p>
    <w:p>
      <w:pPr>
        <w:pStyle w:val="Heading3"/>
      </w:pPr>
      <w:r>
        <w:t xml:space="preserve">7.1 Estrategia por nivel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29"/>
        <w:gridCol w:w="4257"/>
        <w:gridCol w:w="1681"/>
        <w:gridCol w:w="1193"/>
      </w:tblGrid>
      <w:tr>
        <w:trPr>
          <w:tblHeader/>
        </w:trPr>
        <w:tc>
          <w:tcPr>
            <w:tcW w:w="2229" w:type="dxa"/>
            <w:shd w:val="clear" w:color="auto" w:fill="F2F2F2"/>
          </w:tcPr>
          <w:p>
            <w:pPr/>
            <w:r>
              <w:t xml:space="preserve">Nivel</w:t>
            </w:r>
          </w:p>
        </w:tc>
        <w:tc>
          <w:tcPr>
            <w:tcW w:w="4257" w:type="dxa"/>
            <w:shd w:val="clear" w:color="auto" w:fill="F2F2F2"/>
          </w:tcPr>
          <w:p>
            <w:pPr/>
            <w:r>
              <w:t xml:space="preserve">Qué verifica</w:t>
            </w:r>
          </w:p>
        </w:tc>
        <w:tc>
          <w:tcPr>
            <w:tcW w:w="1681" w:type="dxa"/>
            <w:shd w:val="clear" w:color="auto" w:fill="F2F2F2"/>
          </w:tcPr>
          <w:p>
            <w:pPr/>
            <w:r>
              <w:t xml:space="preserve">Herramienta</w:t>
            </w:r>
          </w:p>
        </w:tc>
        <w:tc>
          <w:tcPr>
            <w:tcW w:w="1193" w:type="dxa"/>
            <w:shd w:val="clear" w:color="auto" w:fill="F2F2F2"/>
          </w:tcPr>
          <w:p>
            <w:pPr/>
            <w:r>
              <w:t xml:space="preserve">Cuándo corre</w:t>
            </w:r>
          </w:p>
        </w:tc>
      </w:tr>
      <w:tr>
        <w:tc>
          <w:tcPr>
            <w:tcW w:w="2229" w:type="dxa"/>
          </w:tcPr>
          <w:p>
            <w:pPr/>
            <w:r>
              <w:t xml:space="preserve">Unitaria</w:t>
            </w:r>
          </w:p>
        </w:tc>
        <w:tc>
          <w:tcPr>
            <w:tcW w:w="4257" w:type="dxa"/>
          </w:tcPr>
          <w:p>
            <w:pPr/>
            <w:r>
              <w:t xml:space="preserve">Lectura y validación de FASTA, métricas de calidad, N50, tabla de transiciones de estado, filtros de alcance, hash de la auditoría, normalización del banco, supresión de grupos pequeños</w:t>
            </w:r>
          </w:p>
        </w:tc>
        <w:tc>
          <w:tcPr>
            <w:tcW w:w="1681" w:type="dxa"/>
          </w:tcPr>
          <w:p>
            <w:pPr/>
            <w:r>
              <w:t xml:space="preserve">pytest</w:t>
            </w:r>
          </w:p>
        </w:tc>
        <w:tc>
          <w:tcPr>
            <w:tcW w:w="1193" w:type="dxa"/>
          </w:tcPr>
          <w:p>
            <w:pPr/>
            <w:r>
              <w:t xml:space="preserve">En cada push</w:t>
            </w:r>
          </w:p>
        </w:tc>
      </w:tr>
      <w:tr>
        <w:tc>
          <w:tcPr>
            <w:tcW w:w="2229" w:type="dxa"/>
          </w:tcPr>
          <w:p>
            <w:pPr/>
            <w:r>
              <w:t xml:space="preserve">Integración</w:t>
            </w:r>
          </w:p>
        </w:tc>
        <w:tc>
          <w:tcPr>
            <w:tcW w:w="4257" w:type="dxa"/>
          </w:tcPr>
          <w:p>
            <w:pPr/>
            <w:r>
              <w:t xml:space="preserve">API con PostgreSQL y MongoDB reales en contenedores desechables: flujo ingesta, predicción y recomendación; transacciones; reconciliación</w:t>
            </w:r>
          </w:p>
        </w:tc>
        <w:tc>
          <w:tcPr>
            <w:tcW w:w="1681" w:type="dxa"/>
          </w:tcPr>
          <w:p>
            <w:pPr/>
            <w:r>
              <w:t xml:space="preserve">pytest y httpx</w:t>
            </w:r>
          </w:p>
        </w:tc>
        <w:tc>
          <w:tcPr>
            <w:tcW w:w="1193" w:type="dxa"/>
          </w:tcPr>
          <w:p>
            <w:pPr/>
            <w:r>
              <w:t xml:space="preserve">En cada pull request</w:t>
            </w:r>
          </w:p>
        </w:tc>
      </w:tr>
      <w:tr>
        <w:tc>
          <w:tcPr>
            <w:tcW w:w="2229" w:type="dxa"/>
          </w:tcPr>
          <w:p>
            <w:pPr/>
            <w:r>
              <w:t xml:space="preserve">Extremo a extremo</w:t>
            </w:r>
          </w:p>
        </w:tc>
        <w:tc>
          <w:tcPr>
            <w:tcW w:w="4257" w:type="dxa"/>
          </w:tcPr>
          <w:p>
            <w:pPr/>
            <w:r>
              <w:t xml:space="preserve">Los flujos principales de cada rol en el navegador</w:t>
            </w:r>
          </w:p>
        </w:tc>
        <w:tc>
          <w:tcPr>
            <w:tcW w:w="1681" w:type="dxa"/>
          </w:tcPr>
          <w:p>
            <w:pPr/>
            <w:r>
              <w:t xml:space="preserve">Playwright</w:t>
            </w:r>
          </w:p>
        </w:tc>
        <w:tc>
          <w:tcPr>
            <w:tcW w:w="1193" w:type="dxa"/>
          </w:tcPr>
          <w:p>
            <w:pPr/>
            <w:r>
              <w:t xml:space="preserve">Antes de cada hito</w:t>
            </w:r>
          </w:p>
        </w:tc>
      </w:tr>
      <w:tr>
        <w:tc>
          <w:tcPr>
            <w:tcW w:w="2229" w:type="dxa"/>
          </w:tcPr>
          <w:p>
            <w:pPr/>
            <w:r>
              <w:t xml:space="preserve">Rendimiento</w:t>
            </w:r>
          </w:p>
        </w:tc>
        <w:tc>
          <w:tcPr>
            <w:tcW w:w="4257" w:type="dxa"/>
          </w:tcPr>
          <w:p>
            <w:pPr/>
            <w:r>
              <w:t xml:space="preserve">Tiempos de listados, del pipeline, del ranking y del tablero</w:t>
            </w:r>
          </w:p>
        </w:tc>
        <w:tc>
          <w:tcPr>
            <w:tcW w:w="1681" w:type="dxa"/>
          </w:tcPr>
          <w:p>
            <w:pPr/>
            <w:r>
              <w:t xml:space="preserve">Locust y scripts de medición</w:t>
            </w:r>
          </w:p>
        </w:tc>
        <w:tc>
          <w:tcPr>
            <w:tcW w:w="1193" w:type="dxa"/>
          </w:tcPr>
          <w:p>
            <w:pPr/>
            <w:r>
              <w:t xml:space="preserve">Semana 15, con el banco completo</w:t>
            </w:r>
          </w:p>
        </w:tc>
      </w:tr>
      <w:tr>
        <w:tc>
          <w:tcPr>
            <w:tcW w:w="2229" w:type="dxa"/>
          </w:tcPr>
          <w:p>
            <w:pPr/>
            <w:r>
              <w:t xml:space="preserve">Seguridad</w:t>
            </w:r>
          </w:p>
        </w:tc>
        <w:tc>
          <w:tcPr>
            <w:tcW w:w="4257" w:type="dxa"/>
          </w:tcPr>
          <w:p>
            <w:pPr/>
            <w:r>
              <w:t xml:space="preserve">Matriz rol por endpoint, bloqueo de cuenta, inmutabilidad y completitud de la auditoría, escaneo ZAP baseline de la API</w:t>
            </w:r>
          </w:p>
        </w:tc>
        <w:tc>
          <w:tcPr>
            <w:tcW w:w="1681" w:type="dxa"/>
          </w:tcPr>
          <w:p>
            <w:pPr/>
            <w:r>
              <w:t xml:space="preserve">pytest y OWASP ZAP</w:t>
            </w:r>
          </w:p>
        </w:tc>
        <w:tc>
          <w:tcPr>
            <w:tcW w:w="1193" w:type="dxa"/>
          </w:tcPr>
          <w:p>
            <w:pPr/>
            <w:r>
              <w:t xml:space="preserve">En cada pull request y en la semana 15</w:t>
            </w:r>
          </w:p>
        </w:tc>
      </w:tr>
      <w:tr>
        <w:tc>
          <w:tcPr>
            <w:tcW w:w="2229" w:type="dxa"/>
          </w:tcPr>
          <w:p>
            <w:pPr/>
            <w:r>
              <w:t xml:space="preserve">Modelo</w:t>
            </w:r>
          </w:p>
        </w:tc>
        <w:tc>
          <w:tcPr>
            <w:tcW w:w="4257" w:type="dxa"/>
          </w:tcPr>
          <w:p>
            <w:pPr/>
            <w:r>
              <w:t xml:space="preserve">Validación cruzada, métricas contra la literatura y reproducibilidad</w:t>
            </w:r>
          </w:p>
        </w:tc>
        <w:tc>
          <w:tcPr>
            <w:tcW w:w="1681" w:type="dxa"/>
          </w:tcPr>
          <w:p>
            <w:pPr/>
            <w:r>
              <w:t xml:space="preserve">Scripts de </w:t>
            </w:r>
            <w:r>
              <w:rPr>
                <w:rStyle w:val="CodeChar"/>
              </w:rPr>
              <w:t xml:space="preserve">ml/</w:t>
            </w:r>
            <w:r>
              <w:t xml:space="preserve"> y pytest</w:t>
            </w:r>
          </w:p>
        </w:tc>
        <w:tc>
          <w:tcPr>
            <w:tcW w:w="1193" w:type="dxa"/>
          </w:tcPr>
          <w:p>
            <w:pPr/>
            <w:r>
              <w:t xml:space="preserve">Semanas 11 y 12</w:t>
            </w:r>
          </w:p>
        </w:tc>
      </w:tr>
      <w:tr>
        <w:tc>
          <w:tcPr>
            <w:tcW w:w="2229" w:type="dxa"/>
          </w:tcPr>
          <w:p>
            <w:pPr/>
            <w:r>
              <w:t xml:space="preserve">Móvil</w:t>
            </w:r>
          </w:p>
        </w:tc>
        <w:tc>
          <w:tcPr>
            <w:tcW w:w="4257" w:type="dxa"/>
          </w:tcPr>
          <w:p>
            <w:pPr/>
            <w:r>
              <w:t xml:space="preserve">Lógica de la app y demostración en un dispositivo Android</w:t>
            </w:r>
          </w:p>
        </w:tc>
        <w:tc>
          <w:tcPr>
            <w:tcW w:w="1681" w:type="dxa"/>
          </w:tcPr>
          <w:p>
            <w:pPr/>
            <w:r>
              <w:t xml:space="preserve">Jest y prueba guiada</w:t>
            </w:r>
          </w:p>
        </w:tc>
        <w:tc>
          <w:tcPr>
            <w:tcW w:w="1193" w:type="dxa"/>
          </w:tcPr>
          <w:p>
            <w:pPr/>
            <w:r>
              <w:t xml:space="preserve">Semana 14</w:t>
            </w:r>
          </w:p>
        </w:tc>
      </w:tr>
      <w:tr>
        <w:tc>
          <w:tcPr>
            <w:tcW w:w="2229" w:type="dxa"/>
          </w:tcPr>
          <w:p>
            <w:pPr/>
            <w:r>
              <w:t xml:space="preserve">Aceptación</w:t>
            </w:r>
          </w:p>
        </w:tc>
        <w:tc>
          <w:tcPr>
            <w:tcW w:w="4257" w:type="dxa"/>
          </w:tcPr>
          <w:p>
            <w:pPr/>
            <w:r>
              <w:t xml:space="preserve">Los criterios de las 18 historias de la SRS, con datos de demostración</w:t>
            </w:r>
          </w:p>
        </w:tc>
        <w:tc>
          <w:tcPr>
            <w:tcW w:w="1681" w:type="dxa"/>
          </w:tcPr>
          <w:p>
            <w:pPr/>
            <w:r>
              <w:t xml:space="preserve">Demostración guiada</w:t>
            </w:r>
          </w:p>
        </w:tc>
        <w:tc>
          <w:tcPr>
            <w:tcW w:w="1193" w:type="dxa"/>
          </w:tcPr>
          <w:p>
            <w:pPr/>
            <w:r>
              <w:t xml:space="preserve">Semana 15</w:t>
            </w:r>
          </w:p>
        </w:tc>
      </w:tr>
    </w:tbl>
    <w:p>
      <w:pPr>
        <w:pStyle w:val="Heading3"/>
      </w:pPr>
      <w:r>
        <w:t xml:space="preserve">7.2 Entorno y datos de prueba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Entorno.</w:t>
      </w:r>
      <w:r>
        <w:t xml:space="preserve"> Un </w:t>
      </w:r>
      <w:r>
        <w:rPr>
          <w:rStyle w:val="CodeChar"/>
        </w:rPr>
        <w:t xml:space="preserve">docker-compose.test.yml</w:t>
      </w:r>
      <w:r>
        <w:t xml:space="preserve"> con bases desechables, ejecutado en local y en GitHub Actions.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Usuarios.</w:t>
      </w:r>
      <w:r>
        <w:t xml:space="preserve"> Cinco cuentas de demostración, una por rol, repartidas en dos centros para probar el alcance de los datos.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Genomas.</w:t>
      </w:r>
      <w:r>
        <w:t xml:space="preserve"> Unos 20 genomas públicos de </w:t>
      </w:r>
      <w:r>
        <w:rPr>
          <w:i/>
        </w:rPr>
        <w:t xml:space="preserve">K. pneumoniae</w:t>
      </w:r>
      <w:r>
        <w:t xml:space="preserve"> con locus K variados, uno de otra especie para probar el rechazo, un archivo corrupto y uno muy fragmentado para probar la advertencia de calidad. No se versionan en Git; un script los descarga a </w:t>
      </w:r>
      <w:r>
        <w:rPr>
          <w:rStyle w:val="CodeChar"/>
        </w:rPr>
        <w:t xml:space="preserve">data/raw/</w:t>
      </w:r>
      <w:r>
        <w:t xml:space="preserve">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Banco.</w:t>
      </w:r>
      <w:r>
        <w:t xml:space="preserve"> Un banco reducido de 200 fagos aprobados para integración y el banco completo, de unos 25.000, solo para rendimiento.</w:t>
      </w:r>
    </w:p>
    <w:p>
      <w:pPr>
        <w:pStyle w:val="ListParagraph"/>
        <w:numPr>
          <w:ilvl w:val="0"/>
          <w:numId w:val="6"/>
        </w:numPr>
      </w:pPr>
      <w:r>
        <w:t xml:space="preserve">Las cantidades son propuestas y se ajustan al armar el prototipo.</w:t>
      </w:r>
    </w:p>
    <w:p>
      <w:pPr>
        <w:pStyle w:val="Heading3"/>
      </w:pPr>
      <w:r>
        <w:t xml:space="preserve">7.3 Casos de prueba</w:t>
      </w:r>
    </w:p>
    <w:p>
      <w:pPr/>
      <w:r>
        <w:t xml:space="preserve">Sesenta casos cubren los 48 requisitos de prioridad Alta, los 12 de prioridad Media y el RF-51 de prioridad Baja; los otros de prioridad Baja se agregan si se implementan.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868"/>
        <w:gridCol w:w="1900"/>
        <w:gridCol w:w="995"/>
        <w:gridCol w:w="1681"/>
        <w:gridCol w:w="3916"/>
      </w:tblGrid>
      <w:tr>
        <w:trPr>
          <w:tblHeader/>
        </w:trPr>
        <w:tc>
          <w:tcPr>
            <w:tcW w:w="868" w:type="dxa"/>
            <w:shd w:val="clear" w:color="auto" w:fill="F2F2F2"/>
          </w:tcPr>
          <w:p>
            <w:pPr/>
            <w:r>
              <w:t xml:space="preserve">ID</w:t>
            </w:r>
          </w:p>
        </w:tc>
        <w:tc>
          <w:tcPr>
            <w:tcW w:w="1900" w:type="dxa"/>
            <w:shd w:val="clear" w:color="auto" w:fill="F2F2F2"/>
          </w:tcPr>
          <w:p>
            <w:pPr/>
            <w:r>
              <w:t xml:space="preserve">Caso</w:t>
            </w:r>
          </w:p>
        </w:tc>
        <w:tc>
          <w:tcPr>
            <w:tcW w:w="995" w:type="dxa"/>
            <w:shd w:val="clear" w:color="auto" w:fill="F2F2F2"/>
          </w:tcPr>
          <w:p>
            <w:pPr/>
            <w:r>
              <w:t xml:space="preserve">RF / RNF</w:t>
            </w:r>
          </w:p>
        </w:tc>
        <w:tc>
          <w:tcPr>
            <w:tcW w:w="1681" w:type="dxa"/>
            <w:shd w:val="clear" w:color="auto" w:fill="F2F2F2"/>
          </w:tcPr>
          <w:p>
            <w:pPr/>
            <w:r>
              <w:t xml:space="preserve">Nivel</w:t>
            </w:r>
          </w:p>
        </w:tc>
        <w:tc>
          <w:tcPr>
            <w:tcW w:w="3916" w:type="dxa"/>
            <w:shd w:val="clear" w:color="auto" w:fill="F2F2F2"/>
          </w:tcPr>
          <w:p>
            <w:pPr/>
            <w:r>
              <w:t xml:space="preserve">Resultado esperado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CP-01</w:t>
            </w:r>
          </w:p>
        </w:tc>
        <w:tc>
          <w:tcPr>
            <w:tcW w:w="1900" w:type="dxa"/>
          </w:tcPr>
          <w:p>
            <w:pPr/>
            <w:r>
              <w:t xml:space="preserve">Inicio de sesión correcto</w:t>
            </w:r>
          </w:p>
        </w:tc>
        <w:tc>
          <w:tcPr>
            <w:tcW w:w="995" w:type="dxa"/>
          </w:tcPr>
          <w:p>
            <w:pPr/>
            <w:r>
              <w:t xml:space="preserve">RF-01, RNF-03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200 y token que expira en 15 minutos o menos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CP-02</w:t>
            </w:r>
          </w:p>
        </w:tc>
        <w:tc>
          <w:tcPr>
            <w:tcW w:w="1900" w:type="dxa"/>
          </w:tcPr>
          <w:p>
            <w:pPr/>
            <w:r>
              <w:t xml:space="preserve">Cinco contraseñas erróneas seguidas</w:t>
            </w:r>
          </w:p>
        </w:tc>
        <w:tc>
          <w:tcPr>
            <w:tcW w:w="995" w:type="dxa"/>
          </w:tcPr>
          <w:p>
            <w:pPr/>
            <w:r>
              <w:t xml:space="preserve">RF-01, RNF-05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El quinto intento bloquea la cuenta 15 minutos y queda auditado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CP-03</w:t>
            </w:r>
          </w:p>
        </w:tc>
        <w:tc>
          <w:tcPr>
            <w:tcW w:w="1900" w:type="dxa"/>
          </w:tcPr>
          <w:p>
            <w:pPr/>
            <w:r>
              <w:t xml:space="preserve">Cierre de sesión y token expirado</w:t>
            </w:r>
          </w:p>
        </w:tc>
        <w:tc>
          <w:tcPr>
            <w:tcW w:w="995" w:type="dxa"/>
          </w:tcPr>
          <w:p>
            <w:pPr/>
            <w:r>
              <w:t xml:space="preserve">RF-02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El refresh token revocado y el token vencido responden 401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CP-04</w:t>
            </w:r>
          </w:p>
        </w:tc>
        <w:tc>
          <w:tcPr>
            <w:tcW w:w="1900" w:type="dxa"/>
          </w:tcPr>
          <w:p>
            <w:pPr/>
            <w:r>
              <w:t xml:space="preserve">Gestión de usuarios</w:t>
            </w:r>
          </w:p>
        </w:tc>
        <w:tc>
          <w:tcPr>
            <w:tcW w:w="995" w:type="dxa"/>
          </w:tcPr>
          <w:p>
            <w:pPr/>
            <w:r>
              <w:t xml:space="preserve">RF-03, RN-11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Solo ADM la usa; el usuario desactivado no inicia sesión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CP-05</w:t>
            </w:r>
          </w:p>
        </w:tc>
        <w:tc>
          <w:tcPr>
            <w:tcW w:w="1900" w:type="dxa"/>
          </w:tcPr>
          <w:p>
            <w:pPr/>
            <w:r>
              <w:t xml:space="preserve">Matriz de roles por endpoint</w:t>
            </w:r>
          </w:p>
        </w:tc>
        <w:tc>
          <w:tcPr>
            <w:tcW w:w="995" w:type="dxa"/>
          </w:tcPr>
          <w:p>
            <w:pPr/>
            <w:r>
              <w:t xml:space="preserve">RF-04, RNF-04</w:t>
            </w:r>
          </w:p>
        </w:tc>
        <w:tc>
          <w:tcPr>
            <w:tcW w:w="1681" w:type="dxa"/>
          </w:tcPr>
          <w:p>
            <w:pPr/>
            <w:r>
              <w:t xml:space="preserve">Seguridad</w:t>
            </w:r>
          </w:p>
        </w:tc>
        <w:tc>
          <w:tcPr>
            <w:tcW w:w="3916" w:type="dxa"/>
          </w:tcPr>
          <w:p>
            <w:pPr/>
            <w:r>
              <w:t xml:space="preserve">Toda combinación no permitida de la tabla 2.5 responde 403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CP-06</w:t>
            </w:r>
          </w:p>
        </w:tc>
        <w:tc>
          <w:tcPr>
            <w:tcW w:w="1900" w:type="dxa"/>
          </w:tcPr>
          <w:p>
            <w:pPr/>
            <w:r>
              <w:t xml:space="preserve">Alcance de los datos</w:t>
            </w:r>
          </w:p>
        </w:tc>
        <w:tc>
          <w:tcPr>
            <w:tcW w:w="995" w:type="dxa"/>
          </w:tcPr>
          <w:p>
            <w:pPr/>
            <w:r>
              <w:t xml:space="preserve">RF-06, RN-07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TEC solo ve lo propio y CLI lo de su centro; lo ajeno responde 404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CP-07</w:t>
            </w:r>
          </w:p>
        </w:tc>
        <w:tc>
          <w:tcPr>
            <w:tcW w:w="1900" w:type="dxa"/>
          </w:tcPr>
          <w:p>
            <w:pPr/>
            <w:r>
              <w:t xml:space="preserve">Cambio y restablecimiento de contraseña</w:t>
            </w:r>
          </w:p>
        </w:tc>
        <w:tc>
          <w:tcPr>
            <w:tcW w:w="995" w:type="dxa"/>
          </w:tcPr>
          <w:p>
            <w:pPr/>
            <w:r>
              <w:t xml:space="preserve">RF-05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La contraseña nueva funciona y la anterior deja de funcionar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CP-08</w:t>
            </w:r>
          </w:p>
        </w:tc>
        <w:tc>
          <w:tcPr>
            <w:tcW w:w="1900" w:type="dxa"/>
          </w:tcPr>
          <w:p>
            <w:pPr/>
            <w:r>
              <w:t xml:space="preserve">Registro de aislado</w:t>
            </w:r>
          </w:p>
        </w:tc>
        <w:tc>
          <w:tcPr>
            <w:tcW w:w="995" w:type="dxa"/>
          </w:tcPr>
          <w:p>
            <w:pPr/>
            <w:r>
              <w:t xml:space="preserve">RF-07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Se guarda con el centro del usuario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CP-09</w:t>
            </w:r>
          </w:p>
        </w:tc>
        <w:tc>
          <w:tcPr>
            <w:tcW w:w="1900" w:type="dxa"/>
          </w:tcPr>
          <w:p>
            <w:pPr/>
            <w:r>
              <w:t xml:space="preserve">Código interno con formato de RUT</w:t>
            </w:r>
          </w:p>
        </w:tc>
        <w:tc>
          <w:tcPr>
            <w:tcW w:w="995" w:type="dxa"/>
          </w:tcPr>
          <w:p>
            <w:pPr/>
            <w:r>
              <w:t xml:space="preserve">RF-08, RNF-09</w:t>
            </w:r>
          </w:p>
        </w:tc>
        <w:tc>
          <w:tcPr>
            <w:tcW w:w="1681" w:type="dxa"/>
          </w:tcPr>
          <w:p>
            <w:pPr/>
            <w:r>
              <w:t xml:space="preserve">Unitaria</w:t>
            </w:r>
          </w:p>
        </w:tc>
        <w:tc>
          <w:tcPr>
            <w:tcW w:w="3916" w:type="dxa"/>
          </w:tcPr>
          <w:p>
            <w:pPr/>
            <w:r>
              <w:t xml:space="preserve">Se rechaza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CP-10</w:t>
            </w:r>
          </w:p>
        </w:tc>
        <w:tc>
          <w:tcPr>
            <w:tcW w:w="1900" w:type="dxa"/>
          </w:tcPr>
          <w:p>
            <w:pPr/>
            <w:r>
              <w:t xml:space="preserve">Carga de FASTA válido y comprimido</w:t>
            </w:r>
          </w:p>
        </w:tc>
        <w:tc>
          <w:tcPr>
            <w:tcW w:w="995" w:type="dxa"/>
          </w:tcPr>
          <w:p>
            <w:pPr/>
            <w:r>
              <w:t xml:space="preserve">RF-09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Se guarda con su SHA-256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CP-11</w:t>
            </w:r>
          </w:p>
        </w:tc>
        <w:tc>
          <w:tcPr>
            <w:tcW w:w="1900" w:type="dxa"/>
          </w:tcPr>
          <w:p>
            <w:pPr/>
            <w:r>
              <w:t xml:space="preserve">Carga de texto, aminoácidos o archivo vacío</w:t>
            </w:r>
          </w:p>
        </w:tc>
        <w:tc>
          <w:tcPr>
            <w:tcW w:w="995" w:type="dxa"/>
          </w:tcPr>
          <w:p>
            <w:pPr/>
            <w:r>
              <w:t xml:space="preserve">RF-10</w:t>
            </w:r>
          </w:p>
        </w:tc>
        <w:tc>
          <w:tcPr>
            <w:tcW w:w="1681" w:type="dxa"/>
          </w:tcPr>
          <w:p>
            <w:pPr/>
            <w:r>
              <w:t xml:space="preserve">Unitaria</w:t>
            </w:r>
          </w:p>
        </w:tc>
        <w:tc>
          <w:tcPr>
            <w:tcW w:w="3916" w:type="dxa"/>
          </w:tcPr>
          <w:p>
            <w:pPr/>
            <w:r>
              <w:t xml:space="preserve">Se rechaza e indica la causa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CP-12</w:t>
            </w:r>
          </w:p>
        </w:tc>
        <w:tc>
          <w:tcPr>
            <w:tcW w:w="1900" w:type="dxa"/>
          </w:tcPr>
          <w:p>
            <w:pPr/>
            <w:r>
              <w:t xml:space="preserve">Creación de solicitud</w:t>
            </w:r>
          </w:p>
        </w:tc>
        <w:tc>
          <w:tcPr>
            <w:tcW w:w="995" w:type="dxa"/>
          </w:tcPr>
          <w:p>
            <w:pPr/>
            <w:r>
              <w:t xml:space="preserve">RF-11, RF-24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Queda Registrada y con un trabajo encolado en la misma transacción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CP-13</w:t>
            </w:r>
          </w:p>
        </w:tc>
        <w:tc>
          <w:tcPr>
            <w:tcW w:w="1900" w:type="dxa"/>
          </w:tcPr>
          <w:p>
            <w:pPr/>
            <w:r>
              <w:t xml:space="preserve">Transiciones de estado</w:t>
            </w:r>
          </w:p>
        </w:tc>
        <w:tc>
          <w:tcPr>
            <w:tcW w:w="995" w:type="dxa"/>
          </w:tcPr>
          <w:p>
            <w:pPr/>
            <w:r>
              <w:t xml:space="preserve">RF-12</w:t>
            </w:r>
          </w:p>
        </w:tc>
        <w:tc>
          <w:tcPr>
            <w:tcW w:w="1681" w:type="dxa"/>
          </w:tcPr>
          <w:p>
            <w:pPr/>
            <w:r>
              <w:t xml:space="preserve">Unitaria</w:t>
            </w:r>
          </w:p>
        </w:tc>
        <w:tc>
          <w:tcPr>
            <w:tcW w:w="3916" w:type="dxa"/>
          </w:tcPr>
          <w:p>
            <w:pPr/>
            <w:r>
              <w:t xml:space="preserve">Toda transición que no está en el diagrama de estados de la SRS (7.2) se rechaza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CP-14</w:t>
            </w:r>
          </w:p>
        </w:tc>
        <w:tc>
          <w:tcPr>
            <w:tcW w:w="1900" w:type="dxa"/>
          </w:tcPr>
          <w:p>
            <w:pPr/>
            <w:r>
              <w:t xml:space="preserve">Listado y detalle de solicitudes</w:t>
            </w:r>
          </w:p>
        </w:tc>
        <w:tc>
          <w:tcPr>
            <w:tcW w:w="995" w:type="dxa"/>
          </w:tcPr>
          <w:p>
            <w:pPr/>
            <w:r>
              <w:t xml:space="preserve">RF-13, RF-14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Filtros y paginación correctos; el detalle trae el historial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CP-15</w:t>
            </w:r>
          </w:p>
        </w:tc>
        <w:tc>
          <w:tcPr>
            <w:tcW w:w="1900" w:type="dxa"/>
          </w:tcPr>
          <w:p>
            <w:pPr/>
            <w:r>
              <w:t xml:space="preserve">Anular y reintentar</w:t>
            </w:r>
          </w:p>
        </w:tc>
        <w:tc>
          <w:tcPr>
            <w:tcW w:w="995" w:type="dxa"/>
          </w:tcPr>
          <w:p>
            <w:pPr/>
            <w:r>
              <w:t xml:space="preserve">RF-15, RF-16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Anula con motivo; el reintento vuelve a En análisis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CP-16</w:t>
            </w:r>
          </w:p>
        </w:tc>
        <w:tc>
          <w:tcPr>
            <w:tcW w:w="1900" w:type="dxa"/>
          </w:tcPr>
          <w:p>
            <w:pPr/>
            <w:r>
              <w:t xml:space="preserve">Métricas de calidad del genoma</w:t>
            </w:r>
          </w:p>
        </w:tc>
        <w:tc>
          <w:tcPr>
            <w:tcW w:w="995" w:type="dxa"/>
          </w:tcPr>
          <w:p>
            <w:pPr/>
            <w:r>
              <w:t xml:space="preserve">RF-18</w:t>
            </w:r>
          </w:p>
        </w:tc>
        <w:tc>
          <w:tcPr>
            <w:tcW w:w="1681" w:type="dxa"/>
          </w:tcPr>
          <w:p>
            <w:pPr/>
            <w:r>
              <w:t xml:space="preserve">Unitaria</w:t>
            </w:r>
          </w:p>
        </w:tc>
        <w:tc>
          <w:tcPr>
            <w:tcW w:w="3916" w:type="dxa"/>
          </w:tcPr>
          <w:p>
            <w:pPr/>
            <w:r>
              <w:t xml:space="preserve">Coinciden con los valores calculados de referencia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CP-17</w:t>
            </w:r>
          </w:p>
        </w:tc>
        <w:tc>
          <w:tcPr>
            <w:tcW w:w="1900" w:type="dxa"/>
          </w:tcPr>
          <w:p>
            <w:pPr/>
            <w:r>
              <w:t xml:space="preserve">Clasificación de calidad por umbral</w:t>
            </w:r>
          </w:p>
        </w:tc>
        <w:tc>
          <w:tcPr>
            <w:tcW w:w="995" w:type="dxa"/>
          </w:tcPr>
          <w:p>
            <w:pPr/>
            <w:r>
              <w:t xml:space="preserve">RF-19</w:t>
            </w:r>
          </w:p>
        </w:tc>
        <w:tc>
          <w:tcPr>
            <w:tcW w:w="1681" w:type="dxa"/>
          </w:tcPr>
          <w:p>
            <w:pPr/>
            <w:r>
              <w:t xml:space="preserve">Unitaria</w:t>
            </w:r>
          </w:p>
        </w:tc>
        <w:tc>
          <w:tcPr>
            <w:tcW w:w="3916" w:type="dxa"/>
          </w:tcPr>
          <w:p>
            <w:pPr/>
            <w:r>
              <w:t xml:space="preserve">Aprobado, advertencia o rechazado según los umbrales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CP-18</w:t>
            </w:r>
          </w:p>
        </w:tc>
        <w:tc>
          <w:tcPr>
            <w:tcW w:w="1900" w:type="dxa"/>
          </w:tcPr>
          <w:p>
            <w:pPr/>
            <w:r>
              <w:t xml:space="preserve">Genoma de otra especie</w:t>
            </w:r>
          </w:p>
        </w:tc>
        <w:tc>
          <w:tcPr>
            <w:tcW w:w="995" w:type="dxa"/>
          </w:tcPr>
          <w:p>
            <w:pPr/>
            <w:r>
              <w:t xml:space="preserve">RF-20, RN-03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La solicitud pasa a Rechazada e informa la especie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CP-19</w:t>
            </w:r>
          </w:p>
        </w:tc>
        <w:tc>
          <w:tcPr>
            <w:tcW w:w="1900" w:type="dxa"/>
          </w:tcPr>
          <w:p>
            <w:pPr/>
            <w:r>
              <w:t xml:space="preserve">Tipificación del locus K</w:t>
            </w:r>
          </w:p>
        </w:tc>
        <w:tc>
          <w:tcPr>
            <w:tcW w:w="995" w:type="dxa"/>
          </w:tcPr>
          <w:p>
            <w:pPr/>
            <w:r>
              <w:t xml:space="preserve">RF-21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El tipo coincide con el esperado en los genomas de referencia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CP-20</w:t>
            </w:r>
          </w:p>
        </w:tc>
        <w:tc>
          <w:tcPr>
            <w:tcW w:w="1900" w:type="dxa"/>
          </w:tcPr>
          <w:p>
            <w:pPr/>
            <w:r>
              <w:t xml:space="preserve">Genes y proteínas</w:t>
            </w:r>
          </w:p>
        </w:tc>
        <w:tc>
          <w:tcPr>
            <w:tcW w:w="995" w:type="dxa"/>
          </w:tcPr>
          <w:p>
            <w:pPr/>
            <w:r>
              <w:t xml:space="preserve">RF-22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La cantidad de genes cae en el rango esperado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CP-21</w:t>
            </w:r>
          </w:p>
        </w:tc>
        <w:tc>
          <w:tcPr>
            <w:tcW w:w="1900" w:type="dxa"/>
          </w:tcPr>
          <w:p>
            <w:pPr/>
            <w:r>
              <w:t xml:space="preserve">Caché de embeddings</w:t>
            </w:r>
          </w:p>
        </w:tc>
        <w:tc>
          <w:tcPr>
            <w:tcW w:w="995" w:type="dxa"/>
          </w:tcPr>
          <w:p>
            <w:pPr/>
            <w:r>
              <w:t xml:space="preserve">RF-23, RNF-13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La segunda ejecución no recalcula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CP-22</w:t>
            </w:r>
          </w:p>
        </w:tc>
        <w:tc>
          <w:tcPr>
            <w:tcW w:w="1900" w:type="dxa"/>
          </w:tcPr>
          <w:p>
            <w:pPr/>
            <w:r>
              <w:t xml:space="preserve">Falla de una herramienta</w:t>
            </w:r>
          </w:p>
        </w:tc>
        <w:tc>
          <w:tcPr>
            <w:tcW w:w="995" w:type="dxa"/>
          </w:tcPr>
          <w:p>
            <w:pPr/>
            <w:r>
              <w:t xml:space="preserve">RF-16, RF-24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Tres reintentos y luego Error, con la causa guardada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CP-23</w:t>
            </w:r>
          </w:p>
        </w:tc>
        <w:tc>
          <w:tcPr>
            <w:tcW w:w="1900" w:type="dxa"/>
          </w:tcPr>
          <w:p>
            <w:pPr/>
            <w:r>
              <w:t xml:space="preserve">Salidas del análisis</w:t>
            </w:r>
          </w:p>
        </w:tc>
        <w:tc>
          <w:tcPr>
            <w:tcW w:w="995" w:type="dxa"/>
          </w:tcPr>
          <w:p>
            <w:pPr/>
            <w:r>
              <w:t xml:space="preserve">RF-25, RF-26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Crudas en MongoDB, resumen en PostgreSQL, con versión de herramientas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CP-24</w:t>
            </w:r>
          </w:p>
        </w:tc>
        <w:tc>
          <w:tcPr>
            <w:tcW w:w="1900" w:type="dxa"/>
          </w:tcPr>
          <w:p>
            <w:pPr/>
            <w:r>
              <w:t xml:space="preserve">Ingesta de 200 fagos</w:t>
            </w:r>
          </w:p>
        </w:tc>
        <w:tc>
          <w:tcPr>
            <w:tcW w:w="995" w:type="dxa"/>
          </w:tcPr>
          <w:p>
            <w:pPr/>
            <w:r>
              <w:t xml:space="preserve">RF-27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Carga la cantidad esperada y una segunda corrida no duplica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CP-25</w:t>
            </w:r>
          </w:p>
        </w:tc>
        <w:tc>
          <w:tcPr>
            <w:tcW w:w="1900" w:type="dxa"/>
          </w:tcPr>
          <w:p>
            <w:pPr/>
            <w:r>
              <w:t xml:space="preserve">Normalización y duplicados</w:t>
            </w:r>
          </w:p>
        </w:tc>
        <w:tc>
          <w:tcPr>
            <w:tcW w:w="995" w:type="dxa"/>
          </w:tcPr>
          <w:p>
            <w:pPr/>
            <w:r>
              <w:t xml:space="preserve">RF-28</w:t>
            </w:r>
          </w:p>
        </w:tc>
        <w:tc>
          <w:tcPr>
            <w:tcW w:w="1681" w:type="dxa"/>
          </w:tcPr>
          <w:p>
            <w:pPr/>
            <w:r>
              <w:t xml:space="preserve">Unitaria</w:t>
            </w:r>
          </w:p>
        </w:tc>
        <w:tc>
          <w:tcPr>
            <w:tcW w:w="3916" w:type="dxa"/>
          </w:tcPr>
          <w:p>
            <w:pPr/>
            <w:r>
              <w:t xml:space="preserve">Un fago en dos fuentes queda una vez, con sus dos orígenes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CP-26</w:t>
            </w:r>
          </w:p>
        </w:tc>
        <w:tc>
          <w:tcPr>
            <w:tcW w:w="1900" w:type="dxa"/>
          </w:tcPr>
          <w:p>
            <w:pPr/>
            <w:r>
              <w:t xml:space="preserve">Filtros de calidad de fagos</w:t>
            </w:r>
          </w:p>
        </w:tc>
        <w:tc>
          <w:tcPr>
            <w:tcW w:w="995" w:type="dxa"/>
          </w:tcPr>
          <w:p>
            <w:pPr/>
            <w:r>
              <w:t xml:space="preserve">RF-29</w:t>
            </w:r>
          </w:p>
        </w:tc>
        <w:tc>
          <w:tcPr>
            <w:tcW w:w="1681" w:type="dxa"/>
          </w:tcPr>
          <w:p>
            <w:pPr/>
            <w:r>
              <w:t xml:space="preserve">Unitaria</w:t>
            </w:r>
          </w:p>
        </w:tc>
        <w:tc>
          <w:tcPr>
            <w:tcW w:w="3916" w:type="dxa"/>
          </w:tcPr>
          <w:p>
            <w:pPr/>
            <w:r>
              <w:t xml:space="preserve">Se descartan los incompletos o fuera de rango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CP-27</w:t>
            </w:r>
          </w:p>
        </w:tc>
        <w:tc>
          <w:tcPr>
            <w:tcW w:w="1900" w:type="dxa"/>
          </w:tcPr>
          <w:p>
            <w:pPr/>
            <w:r>
              <w:t xml:space="preserve">Proteínas de unión al receptor</w:t>
            </w:r>
          </w:p>
        </w:tc>
        <w:tc>
          <w:tcPr>
            <w:tcW w:w="995" w:type="dxa"/>
          </w:tcPr>
          <w:p>
            <w:pPr/>
            <w:r>
              <w:t xml:space="preserve">RF-30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Se detectan en los fagos de prueba y se guardan con su embedding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CP-28</w:t>
            </w:r>
          </w:p>
        </w:tc>
        <w:tc>
          <w:tcPr>
            <w:tcW w:w="1900" w:type="dxa"/>
          </w:tcPr>
          <w:p>
            <w:pPr/>
            <w:r>
              <w:t xml:space="preserve">Interacciones conocidas</w:t>
            </w:r>
          </w:p>
        </w:tc>
        <w:tc>
          <w:tcPr>
            <w:tcW w:w="995" w:type="dxa"/>
          </w:tcPr>
          <w:p>
            <w:pPr/>
            <w:r>
              <w:t xml:space="preserve">RF-31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Quedan vinculadas a los fagos del banco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CP-29</w:t>
            </w:r>
          </w:p>
        </w:tc>
        <w:tc>
          <w:tcPr>
            <w:tcW w:w="1900" w:type="dxa"/>
          </w:tcPr>
          <w:p>
            <w:pPr/>
            <w:r>
              <w:t xml:space="preserve">Búsqueda y curaduría</w:t>
            </w:r>
          </w:p>
        </w:tc>
        <w:tc>
          <w:tcPr>
            <w:tcW w:w="995" w:type="dxa"/>
          </w:tcPr>
          <w:p>
            <w:pPr/>
            <w:r>
              <w:t xml:space="preserve">RF-32, RF-33, RN-04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Solo los fagos aprobados participan en la predicción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CP-30</w:t>
            </w:r>
          </w:p>
        </w:tc>
        <w:tc>
          <w:tcPr>
            <w:tcW w:w="1900" w:type="dxa"/>
          </w:tcPr>
          <w:p>
            <w:pPr/>
            <w:r>
              <w:t xml:space="preserve">Ranking</w:t>
            </w:r>
          </w:p>
        </w:tc>
        <w:tc>
          <w:tcPr>
            <w:tcW w:w="995" w:type="dxa"/>
          </w:tcPr>
          <w:p>
            <w:pPr/>
            <w:r>
              <w:t xml:space="preserve">RF-34, RF-35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Ordenado, con puntajes entre 0 y 1 y versión del modelo guardada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CP-31</w:t>
            </w:r>
          </w:p>
        </w:tc>
        <w:tc>
          <w:tcPr>
            <w:tcW w:w="1900" w:type="dxa"/>
          </w:tcPr>
          <w:p>
            <w:pPr/>
            <w:r>
              <w:t xml:space="preserve">Explicación por candidato</w:t>
            </w:r>
          </w:p>
        </w:tc>
        <w:tc>
          <w:tcPr>
            <w:tcW w:w="995" w:type="dxa"/>
          </w:tcPr>
          <w:p>
            <w:pPr/>
            <w:r>
              <w:t xml:space="preserve">RF-36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Cada candidato mostrado trae su explicación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CP-32</w:t>
            </w:r>
          </w:p>
        </w:tc>
        <w:tc>
          <w:tcPr>
            <w:tcW w:w="1900" w:type="dxa"/>
          </w:tcPr>
          <w:p>
            <w:pPr/>
            <w:r>
              <w:t xml:space="preserve">Evidencia de apoyo</w:t>
            </w:r>
          </w:p>
        </w:tc>
        <w:tc>
          <w:tcPr>
            <w:tcW w:w="995" w:type="dxa"/>
          </w:tcPr>
          <w:p>
            <w:pPr/>
            <w:r>
              <w:t xml:space="preserve">RF-37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Muestra las interacciones conocidas del fago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CP-33</w:t>
            </w:r>
          </w:p>
        </w:tc>
        <w:tc>
          <w:tcPr>
            <w:tcW w:w="1900" w:type="dxa"/>
          </w:tcPr>
          <w:p>
            <w:pPr/>
            <w:r>
              <w:t xml:space="preserve">Baja confianza</w:t>
            </w:r>
          </w:p>
        </w:tc>
        <w:tc>
          <w:tcPr>
            <w:tcW w:w="995" w:type="dxa"/>
          </w:tcPr>
          <w:p>
            <w:pPr/>
            <w:r>
              <w:t xml:space="preserve">RF-38</w:t>
            </w:r>
          </w:p>
        </w:tc>
        <w:tc>
          <w:tcPr>
            <w:tcW w:w="1681" w:type="dxa"/>
          </w:tcPr>
          <w:p>
            <w:pPr/>
            <w:r>
              <w:t xml:space="preserve">Unitaria</w:t>
            </w:r>
          </w:p>
        </w:tc>
        <w:tc>
          <w:tcPr>
            <w:tcW w:w="3916" w:type="dxa"/>
          </w:tcPr>
          <w:p>
            <w:pPr/>
            <w:r>
              <w:t xml:space="preserve">Un locus K ausente del entrenamiento marca el resultado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CP-34</w:t>
            </w:r>
          </w:p>
        </w:tc>
        <w:tc>
          <w:tcPr>
            <w:tcW w:w="1900" w:type="dxa"/>
          </w:tcPr>
          <w:p>
            <w:pPr/>
            <w:r>
              <w:t xml:space="preserve">Reproducibilidad</w:t>
            </w:r>
          </w:p>
        </w:tc>
        <w:tc>
          <w:tcPr>
            <w:tcW w:w="995" w:type="dxa"/>
          </w:tcPr>
          <w:p>
            <w:pPr/>
            <w:r>
              <w:t xml:space="preserve">RNF-30</w:t>
            </w:r>
          </w:p>
        </w:tc>
        <w:tc>
          <w:tcPr>
            <w:tcW w:w="1681" w:type="dxa"/>
          </w:tcPr>
          <w:p>
            <w:pPr/>
            <w:r>
              <w:t xml:space="preserve">Unitaria</w:t>
            </w:r>
          </w:p>
        </w:tc>
        <w:tc>
          <w:tcPr>
            <w:tcW w:w="3916" w:type="dxa"/>
          </w:tcPr>
          <w:p>
            <w:pPr/>
            <w:r>
              <w:t xml:space="preserve">La misma entrada y versión dan el mismo ranking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CP-35</w:t>
            </w:r>
          </w:p>
        </w:tc>
        <w:tc>
          <w:tcPr>
            <w:tcW w:w="1900" w:type="dxa"/>
          </w:tcPr>
          <w:p>
            <w:pPr/>
            <w:r>
              <w:t xml:space="preserve">Evaluación del modelo</w:t>
            </w:r>
          </w:p>
        </w:tc>
        <w:tc>
          <w:tcPr>
            <w:tcW w:w="995" w:type="dxa"/>
          </w:tcPr>
          <w:p>
            <w:pPr/>
            <w:r>
              <w:t xml:space="preserve">RF-39, RF-40, RNF-31</w:t>
            </w:r>
          </w:p>
        </w:tc>
        <w:tc>
          <w:tcPr>
            <w:tcW w:w="1681" w:type="dxa"/>
          </w:tcPr>
          <w:p>
            <w:pPr/>
            <w:r>
              <w:t xml:space="preserve">Análisis</w:t>
            </w:r>
          </w:p>
        </w:tc>
        <w:tc>
          <w:tcPr>
            <w:tcW w:w="3916" w:type="dxa"/>
          </w:tcPr>
          <w:p>
            <w:pPr/>
            <w:r>
              <w:t xml:space="preserve">Métricas registradas en </w:t>
            </w:r>
            <w:r>
              <w:rPr>
                <w:rStyle w:val="CodeChar"/>
              </w:rPr>
              <w:t xml:space="preserve">modelo</w:t>
            </w:r>
            <w:r>
              <w:t xml:space="preserve"> y comparadas con la literatura (93,8 % en top-5)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CP-36</w:t>
            </w:r>
          </w:p>
        </w:tc>
        <w:tc>
          <w:tcPr>
            <w:tcW w:w="1900" w:type="dxa"/>
          </w:tcPr>
          <w:p>
            <w:pPr/>
            <w:r>
              <w:t xml:space="preserve">Bandeja y toma de solicitud</w:t>
            </w:r>
          </w:p>
        </w:tc>
        <w:tc>
          <w:tcPr>
            <w:tcW w:w="995" w:type="dxa"/>
          </w:tcPr>
          <w:p>
            <w:pPr/>
            <w:r>
              <w:t xml:space="preserve">RF-41, RF-42</w:t>
            </w:r>
          </w:p>
        </w:tc>
        <w:tc>
          <w:tcPr>
            <w:tcW w:w="1681" w:type="dxa"/>
          </w:tcPr>
          <w:p>
            <w:pPr/>
            <w:r>
              <w:t xml:space="preserve">Extremo a extremo</w:t>
            </w:r>
          </w:p>
        </w:tc>
        <w:tc>
          <w:tcPr>
            <w:tcW w:w="3916" w:type="dxa"/>
          </w:tcPr>
          <w:p>
            <w:pPr/>
            <w:r>
              <w:t xml:space="preserve">El MIC ve la bandeja y toma una solicitud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CP-37</w:t>
            </w:r>
          </w:p>
        </w:tc>
        <w:tc>
          <w:tcPr>
            <w:tcW w:w="1900" w:type="dxa"/>
          </w:tcPr>
          <w:p>
            <w:pPr/>
            <w:r>
              <w:t xml:space="preserve">Decisión del microbiólogo</w:t>
            </w:r>
          </w:p>
        </w:tc>
        <w:tc>
          <w:tcPr>
            <w:tcW w:w="995" w:type="dxa"/>
          </w:tcPr>
          <w:p>
            <w:pPr/>
            <w:r>
              <w:t xml:space="preserve">RF-43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Aprueba, descarta candidatos o rechaza; sin justificación no deja rechazar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CP-38</w:t>
            </w:r>
          </w:p>
        </w:tc>
        <w:tc>
          <w:tcPr>
            <w:tcW w:w="1900" w:type="dxa"/>
          </w:tcPr>
          <w:p>
            <w:pPr/>
            <w:r>
              <w:t xml:space="preserve">Emisión</w:t>
            </w:r>
          </w:p>
        </w:tc>
        <w:tc>
          <w:tcPr>
            <w:tcW w:w="995" w:type="dxa"/>
          </w:tcPr>
          <w:p>
            <w:pPr/>
            <w:r>
              <w:t xml:space="preserve">RF-44, RF-45, RN-05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Lleva modelo, validador, fecha y advertencia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CP-39</w:t>
            </w:r>
          </w:p>
        </w:tc>
        <w:tc>
          <w:tcPr>
            <w:tcW w:w="1900" w:type="dxa"/>
          </w:tcPr>
          <w:p>
            <w:pPr/>
            <w:r>
              <w:t xml:space="preserve">Recomendación emitida</w:t>
            </w:r>
          </w:p>
        </w:tc>
        <w:tc>
          <w:tcPr>
            <w:tcW w:w="995" w:type="dxa"/>
          </w:tcPr>
          <w:p>
            <w:pPr/>
            <w:r>
              <w:t xml:space="preserve">RF-46, RN-06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No se modifica; una corrección crea otra versión y conserva la anterior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CP-40</w:t>
            </w:r>
          </w:p>
        </w:tc>
        <w:tc>
          <w:tcPr>
            <w:tcW w:w="1900" w:type="dxa"/>
          </w:tcPr>
          <w:p>
            <w:pPr/>
            <w:r>
              <w:t xml:space="preserve">Separación de funciones</w:t>
            </w:r>
          </w:p>
        </w:tc>
        <w:tc>
          <w:tcPr>
            <w:tcW w:w="995" w:type="dxa"/>
          </w:tcPr>
          <w:p>
            <w:pPr/>
            <w:r>
              <w:t xml:space="preserve">RN-01, RN-02</w:t>
            </w:r>
          </w:p>
        </w:tc>
        <w:tc>
          <w:tcPr>
            <w:tcW w:w="1681" w:type="dxa"/>
          </w:tcPr>
          <w:p>
            <w:pPr/>
            <w:r>
              <w:t xml:space="preserve">Seguridad</w:t>
            </w:r>
          </w:p>
        </w:tc>
        <w:tc>
          <w:tcPr>
            <w:tcW w:w="3916" w:type="dxa"/>
          </w:tcPr>
          <w:p>
            <w:pPr/>
            <w:r>
              <w:t xml:space="preserve">TEC y ADM no pueden validar ni emitir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CP-41</w:t>
            </w:r>
          </w:p>
        </w:tc>
        <w:tc>
          <w:tcPr>
            <w:tcW w:w="1900" w:type="dxa"/>
          </w:tcPr>
          <w:p>
            <w:pPr/>
            <w:r>
              <w:t xml:space="preserve">Eventos de auditoría</w:t>
            </w:r>
          </w:p>
        </w:tc>
        <w:tc>
          <w:tcPr>
            <w:tcW w:w="995" w:type="dxa"/>
          </w:tcPr>
          <w:p>
            <w:pPr/>
            <w:r>
              <w:t xml:space="preserve">RF-48, RF-49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Cada acción de RF-48 genera un evento con todos sus campos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CP-42</w:t>
            </w:r>
          </w:p>
        </w:tc>
        <w:tc>
          <w:tcPr>
            <w:tcW w:w="1900" w:type="dxa"/>
          </w:tcPr>
          <w:p>
            <w:pPr/>
            <w:r>
              <w:t xml:space="preserve">Inmutabilidad de la auditoría</w:t>
            </w:r>
          </w:p>
        </w:tc>
        <w:tc>
          <w:tcPr>
            <w:tcW w:w="995" w:type="dxa"/>
          </w:tcPr>
          <w:p>
            <w:pPr/>
            <w:r>
              <w:t xml:space="preserve">RF-50, RNF-08</w:t>
            </w:r>
          </w:p>
        </w:tc>
        <w:tc>
          <w:tcPr>
            <w:tcW w:w="1681" w:type="dxa"/>
          </w:tcPr>
          <w:p>
            <w:pPr/>
            <w:r>
              <w:t xml:space="preserve">Seguridad</w:t>
            </w:r>
          </w:p>
        </w:tc>
        <w:tc>
          <w:tcPr>
            <w:tcW w:w="3916" w:type="dxa"/>
          </w:tcPr>
          <w:p>
            <w:pPr/>
            <w:r>
              <w:rPr>
                <w:rStyle w:val="CodeChar"/>
              </w:rPr>
              <w:t xml:space="preserve">UPDATE</w:t>
            </w:r>
            <w:r>
              <w:t xml:space="preserve"> y </w:t>
            </w:r>
            <w:r>
              <w:rPr>
                <w:rStyle w:val="CodeChar"/>
              </w:rPr>
              <w:t xml:space="preserve">DELETE</w:t>
            </w:r>
            <w:r>
              <w:t xml:space="preserve"> fallan con el rol de la aplicación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CP-43</w:t>
            </w:r>
          </w:p>
        </w:tc>
        <w:tc>
          <w:tcPr>
            <w:tcW w:w="1900" w:type="dxa"/>
          </w:tcPr>
          <w:p>
            <w:pPr/>
            <w:r>
              <w:t xml:space="preserve">Cadena de hashes</w:t>
            </w:r>
          </w:p>
        </w:tc>
        <w:tc>
          <w:tcPr>
            <w:tcW w:w="995" w:type="dxa"/>
          </w:tcPr>
          <w:p>
            <w:pPr/>
            <w:r>
              <w:t xml:space="preserve">RF-51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La verificación detecta un evento alterado con un rol superusuario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CP-44</w:t>
            </w:r>
          </w:p>
        </w:tc>
        <w:tc>
          <w:tcPr>
            <w:tcW w:w="1900" w:type="dxa"/>
          </w:tcPr>
          <w:p>
            <w:pPr/>
            <w:r>
              <w:t xml:space="preserve">Consulta y reconstrucción</w:t>
            </w:r>
          </w:p>
        </w:tc>
        <w:tc>
          <w:tcPr>
            <w:tcW w:w="995" w:type="dxa"/>
          </w:tcPr>
          <w:p>
            <w:pPr/>
            <w:r>
              <w:t xml:space="preserve">RF-52, RF-53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Los filtros funcionan y la reconstrucción muestra solicitante, datos, modelo y validador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CP-45</w:t>
            </w:r>
          </w:p>
        </w:tc>
        <w:tc>
          <w:tcPr>
            <w:tcW w:w="1900" w:type="dxa"/>
          </w:tcPr>
          <w:p>
            <w:pPr/>
            <w:r>
              <w:t xml:space="preserve">Cobertura del banco</w:t>
            </w:r>
          </w:p>
        </w:tc>
        <w:tc>
          <w:tcPr>
            <w:tcW w:w="995" w:type="dxa"/>
          </w:tcPr>
          <w:p>
            <w:pPr/>
            <w:r>
              <w:t xml:space="preserve">RF-55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El total coincide con los fagos aprobados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CP-46</w:t>
            </w:r>
          </w:p>
        </w:tc>
        <w:tc>
          <w:tcPr>
            <w:tcW w:w="1900" w:type="dxa"/>
          </w:tcPr>
          <w:p>
            <w:pPr/>
            <w:r>
              <w:t xml:space="preserve">Brechas terapéuticas</w:t>
            </w:r>
          </w:p>
        </w:tc>
        <w:tc>
          <w:tcPr>
            <w:tcW w:w="995" w:type="dxa"/>
          </w:tcPr>
          <w:p>
            <w:pPr/>
            <w:r>
              <w:t xml:space="preserve">RF-56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Lista los locus K sin fagos ni candidatos sobre el umbral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CP-47</w:t>
            </w:r>
          </w:p>
        </w:tc>
        <w:tc>
          <w:tcPr>
            <w:tcW w:w="1900" w:type="dxa"/>
          </w:tcPr>
          <w:p>
            <w:pPr/>
            <w:r>
              <w:t xml:space="preserve">Tendencias y filtros</w:t>
            </w:r>
          </w:p>
        </w:tc>
        <w:tc>
          <w:tcPr>
            <w:tcW w:w="995" w:type="dxa"/>
          </w:tcPr>
          <w:p>
            <w:pPr/>
            <w:r>
              <w:t xml:space="preserve">RF-57, RF-58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Cuadran con los datos sembrados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CP-48</w:t>
            </w:r>
          </w:p>
        </w:tc>
        <w:tc>
          <w:tcPr>
            <w:tcW w:w="1900" w:type="dxa"/>
          </w:tcPr>
          <w:p>
            <w:pPr/>
            <w:r>
              <w:t xml:space="preserve">Supresión de grupos pequeños</w:t>
            </w:r>
          </w:p>
        </w:tc>
        <w:tc>
          <w:tcPr>
            <w:tcW w:w="995" w:type="dxa"/>
          </w:tcPr>
          <w:p>
            <w:pPr/>
            <w:r>
              <w:t xml:space="preserve">RF-59</w:t>
            </w:r>
          </w:p>
        </w:tc>
        <w:tc>
          <w:tcPr>
            <w:tcW w:w="1681" w:type="dxa"/>
          </w:tcPr>
          <w:p>
            <w:pPr/>
            <w:r>
              <w:t xml:space="preserve">Unitaria</w:t>
            </w:r>
          </w:p>
        </w:tc>
        <w:tc>
          <w:tcPr>
            <w:tcW w:w="3916" w:type="dxa"/>
          </w:tcPr>
          <w:p>
            <w:pPr/>
            <w:r>
              <w:t xml:space="preserve">Un grupo con menos de 5 casos no aparece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CP-49</w:t>
            </w:r>
          </w:p>
        </w:tc>
        <w:tc>
          <w:tcPr>
            <w:tcW w:w="1900" w:type="dxa"/>
          </w:tcPr>
          <w:p>
            <w:pPr/>
            <w:r>
              <w:t xml:space="preserve">Alertas</w:t>
            </w:r>
          </w:p>
        </w:tc>
        <w:tc>
          <w:tcPr>
            <w:tcW w:w="995" w:type="dxa"/>
          </w:tcPr>
          <w:p>
            <w:pPr/>
            <w:r>
              <w:t xml:space="preserve">RF-64, RF-65</w:t>
            </w:r>
          </w:p>
        </w:tc>
        <w:tc>
          <w:tcPr>
            <w:tcW w:w="1681" w:type="dxa"/>
          </w:tcPr>
          <w:p>
            <w:pPr/>
            <w:r>
              <w:t xml:space="preserve">Integración</w:t>
            </w:r>
          </w:p>
        </w:tc>
        <w:tc>
          <w:tcPr>
            <w:tcW w:w="3916" w:type="dxa"/>
          </w:tcPr>
          <w:p>
            <w:pPr/>
            <w:r>
              <w:t xml:space="preserve">Se generan al emitir, rechazar y dejar lista la predicción, con marca de leída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CP-50</w:t>
            </w:r>
          </w:p>
        </w:tc>
        <w:tc>
          <w:tcPr>
            <w:tcW w:w="1900" w:type="dxa"/>
          </w:tcPr>
          <w:p>
            <w:pPr/>
            <w:r>
              <w:t xml:space="preserve">App móvil</w:t>
            </w:r>
          </w:p>
        </w:tc>
        <w:tc>
          <w:tcPr>
            <w:tcW w:w="995" w:type="dxa"/>
          </w:tcPr>
          <w:p>
            <w:pPr/>
            <w:r>
              <w:t xml:space="preserve">RF-61 a RF-63</w:t>
            </w:r>
          </w:p>
        </w:tc>
        <w:tc>
          <w:tcPr>
            <w:tcW w:w="1681" w:type="dxa"/>
          </w:tcPr>
          <w:p>
            <w:pPr/>
            <w:r>
              <w:t xml:space="preserve">Demostración</w:t>
            </w:r>
          </w:p>
        </w:tc>
        <w:tc>
          <w:tcPr>
            <w:tcW w:w="3916" w:type="dxa"/>
          </w:tcPr>
          <w:p>
            <w:pPr/>
            <w:r>
              <w:t xml:space="preserve">Inicio de sesión, lista y recomendación en solo lectura en Android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CP-51</w:t>
            </w:r>
          </w:p>
        </w:tc>
        <w:tc>
          <w:tcPr>
            <w:tcW w:w="1900" w:type="dxa"/>
          </w:tcPr>
          <w:p>
            <w:pPr/>
            <w:r>
              <w:t xml:space="preserve">Advertencia visible</w:t>
            </w:r>
          </w:p>
        </w:tc>
        <w:tc>
          <w:tcPr>
            <w:tcW w:w="995" w:type="dxa"/>
          </w:tcPr>
          <w:p>
            <w:pPr/>
            <w:r>
              <w:t xml:space="preserve">RF-45, RNF-10</w:t>
            </w:r>
          </w:p>
        </w:tc>
        <w:tc>
          <w:tcPr>
            <w:tcW w:w="1681" w:type="dxa"/>
          </w:tcPr>
          <w:p>
            <w:pPr/>
            <w:r>
              <w:t xml:space="preserve">Extremo a extremo</w:t>
            </w:r>
          </w:p>
        </w:tc>
        <w:tc>
          <w:tcPr>
            <w:tcW w:w="3916" w:type="dxa"/>
          </w:tcPr>
          <w:p>
            <w:pPr/>
            <w:r>
              <w:t xml:space="preserve">Aparece en web, móvil y PDF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CP-52</w:t>
            </w:r>
          </w:p>
        </w:tc>
        <w:tc>
          <w:tcPr>
            <w:tcW w:w="1900" w:type="dxa"/>
          </w:tcPr>
          <w:p>
            <w:pPr/>
            <w:r>
              <w:t xml:space="preserve">Rendimiento de listados</w:t>
            </w:r>
          </w:p>
        </w:tc>
        <w:tc>
          <w:tcPr>
            <w:tcW w:w="995" w:type="dxa"/>
          </w:tcPr>
          <w:p>
            <w:pPr/>
            <w:r>
              <w:t xml:space="preserve">RNF-12</w:t>
            </w:r>
          </w:p>
        </w:tc>
        <w:tc>
          <w:tcPr>
            <w:tcW w:w="1681" w:type="dxa"/>
          </w:tcPr>
          <w:p>
            <w:pPr/>
            <w:r>
              <w:t xml:space="preserve">Rendimiento</w:t>
            </w:r>
          </w:p>
        </w:tc>
        <w:tc>
          <w:tcPr>
            <w:tcW w:w="3916" w:type="dxa"/>
          </w:tcPr>
          <w:p>
            <w:pPr/>
            <w:r>
              <w:t xml:space="preserve">Percentil 95 de 2 s o menos con 1.000 solicitudes y 25.000 fagos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CP-53</w:t>
            </w:r>
          </w:p>
        </w:tc>
        <w:tc>
          <w:tcPr>
            <w:tcW w:w="1900" w:type="dxa"/>
          </w:tcPr>
          <w:p>
            <w:pPr/>
            <w:r>
              <w:t xml:space="preserve">Pipeline completo</w:t>
            </w:r>
          </w:p>
        </w:tc>
        <w:tc>
          <w:tcPr>
            <w:tcW w:w="995" w:type="dxa"/>
          </w:tcPr>
          <w:p>
            <w:pPr/>
            <w:r>
              <w:t xml:space="preserve">RNF-13</w:t>
            </w:r>
          </w:p>
        </w:tc>
        <w:tc>
          <w:tcPr>
            <w:tcW w:w="1681" w:type="dxa"/>
          </w:tcPr>
          <w:p>
            <w:pPr/>
            <w:r>
              <w:t xml:space="preserve">Rendimiento</w:t>
            </w:r>
          </w:p>
        </w:tc>
        <w:tc>
          <w:tcPr>
            <w:tcW w:w="3916" w:type="dxa"/>
          </w:tcPr>
          <w:p>
            <w:pPr/>
            <w:r>
              <w:t xml:space="preserve">10 minutos o menos en 4 vCPU y 16 GB, sin GPU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CP-54</w:t>
            </w:r>
          </w:p>
        </w:tc>
        <w:tc>
          <w:tcPr>
            <w:tcW w:w="1900" w:type="dxa"/>
          </w:tcPr>
          <w:p>
            <w:pPr/>
            <w:r>
              <w:t xml:space="preserve">Ranking con el banco completo</w:t>
            </w:r>
          </w:p>
        </w:tc>
        <w:tc>
          <w:tcPr>
            <w:tcW w:w="995" w:type="dxa"/>
          </w:tcPr>
          <w:p>
            <w:pPr/>
            <w:r>
              <w:t xml:space="preserve">RNF-14</w:t>
            </w:r>
          </w:p>
        </w:tc>
        <w:tc>
          <w:tcPr>
            <w:tcW w:w="1681" w:type="dxa"/>
          </w:tcPr>
          <w:p>
            <w:pPr/>
            <w:r>
              <w:t xml:space="preserve">Rendimiento</w:t>
            </w:r>
          </w:p>
        </w:tc>
        <w:tc>
          <w:tcPr>
            <w:tcW w:w="3916" w:type="dxa"/>
          </w:tcPr>
          <w:p>
            <w:pPr/>
            <w:r>
              <w:t xml:space="preserve">60 s o menos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CP-55</w:t>
            </w:r>
          </w:p>
        </w:tc>
        <w:tc>
          <w:tcPr>
            <w:tcW w:w="1900" w:type="dxa"/>
          </w:tcPr>
          <w:p>
            <w:pPr/>
            <w:r>
              <w:t xml:space="preserve">Tablero</w:t>
            </w:r>
          </w:p>
        </w:tc>
        <w:tc>
          <w:tcPr>
            <w:tcW w:w="995" w:type="dxa"/>
          </w:tcPr>
          <w:p>
            <w:pPr/>
            <w:r>
              <w:t xml:space="preserve">RNF-15</w:t>
            </w:r>
          </w:p>
        </w:tc>
        <w:tc>
          <w:tcPr>
            <w:tcW w:w="1681" w:type="dxa"/>
          </w:tcPr>
          <w:p>
            <w:pPr/>
            <w:r>
              <w:t xml:space="preserve">Rendimiento</w:t>
            </w:r>
          </w:p>
        </w:tc>
        <w:tc>
          <w:tcPr>
            <w:tcW w:w="3916" w:type="dxa"/>
          </w:tcPr>
          <w:p>
            <w:pPr/>
            <w:r>
              <w:t xml:space="preserve">3 s o menos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CP-56</w:t>
            </w:r>
          </w:p>
        </w:tc>
        <w:tc>
          <w:tcPr>
            <w:tcW w:w="1900" w:type="dxa"/>
          </w:tcPr>
          <w:p>
            <w:pPr/>
            <w:r>
              <w:t xml:space="preserve">Levantamiento desde cero</w:t>
            </w:r>
          </w:p>
        </w:tc>
        <w:tc>
          <w:tcPr>
            <w:tcW w:w="995" w:type="dxa"/>
          </w:tcPr>
          <w:p>
            <w:pPr/>
            <w:r>
              <w:t xml:space="preserve">RNF-16, RNF-22</w:t>
            </w:r>
          </w:p>
        </w:tc>
        <w:tc>
          <w:tcPr>
            <w:tcW w:w="1681" w:type="dxa"/>
          </w:tcPr>
          <w:p>
            <w:pPr/>
            <w:r>
              <w:t xml:space="preserve">Demostración</w:t>
            </w:r>
          </w:p>
        </w:tc>
        <w:tc>
          <w:tcPr>
            <w:tcW w:w="3916" w:type="dxa"/>
          </w:tcPr>
          <w:p>
            <w:pPr/>
            <w:r>
              <w:rPr>
                <w:rStyle w:val="CodeChar"/>
              </w:rPr>
              <w:t xml:space="preserve">docker compose up --build</w:t>
            </w:r>
            <w:r>
              <w:t xml:space="preserve"> deja los 6 servicios sanos sin pasos manuales; </w:t>
            </w:r>
            <w:r>
              <w:rPr>
                <w:rStyle w:val="CodeChar"/>
              </w:rPr>
              <w:t xml:space="preserve">--scale worker-pipeline=3</w:t>
            </w:r>
            <w:r>
              <w:t xml:space="preserve"> funciona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CP-57</w:t>
            </w:r>
          </w:p>
        </w:tc>
        <w:tc>
          <w:tcPr>
            <w:tcW w:w="1900" w:type="dxa"/>
          </w:tcPr>
          <w:p>
            <w:pPr/>
            <w:r>
              <w:t xml:space="preserve">Reinicio y estado</w:t>
            </w:r>
          </w:p>
        </w:tc>
        <w:tc>
          <w:tcPr>
            <w:tcW w:w="995" w:type="dxa"/>
          </w:tcPr>
          <w:p>
            <w:pPr/>
            <w:r>
              <w:t xml:space="preserve">RNF-19</w:t>
            </w:r>
          </w:p>
        </w:tc>
        <w:tc>
          <w:tcPr>
            <w:tcW w:w="1681" w:type="dxa"/>
          </w:tcPr>
          <w:p>
            <w:pPr/>
            <w:r>
              <w:t xml:space="preserve">Demostración</w:t>
            </w:r>
          </w:p>
        </w:tc>
        <w:tc>
          <w:tcPr>
            <w:tcW w:w="3916" w:type="dxa"/>
          </w:tcPr>
          <w:p>
            <w:pPr/>
            <w:r>
              <w:t xml:space="preserve">Un servicio caído se reinicia y </w:t>
            </w:r>
            <w:r>
              <w:rPr>
                <w:rStyle w:val="CodeChar"/>
              </w:rPr>
              <w:t xml:space="preserve">/salud</w:t>
            </w:r>
            <w:r>
              <w:t xml:space="preserve"> lo refleja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CP-58</w:t>
            </w:r>
          </w:p>
        </w:tc>
        <w:tc>
          <w:tcPr>
            <w:tcW w:w="1900" w:type="dxa"/>
          </w:tcPr>
          <w:p>
            <w:pPr/>
            <w:r>
              <w:t xml:space="preserve">Respaldo y restauración</w:t>
            </w:r>
          </w:p>
        </w:tc>
        <w:tc>
          <w:tcPr>
            <w:tcW w:w="995" w:type="dxa"/>
          </w:tcPr>
          <w:p>
            <w:pPr/>
            <w:r>
              <w:t xml:space="preserve">RNF-21</w:t>
            </w:r>
          </w:p>
        </w:tc>
        <w:tc>
          <w:tcPr>
            <w:tcW w:w="1681" w:type="dxa"/>
          </w:tcPr>
          <w:p>
            <w:pPr/>
            <w:r>
              <w:t xml:space="preserve">Demostración</w:t>
            </w:r>
          </w:p>
        </w:tc>
        <w:tc>
          <w:tcPr>
            <w:tcW w:w="3916" w:type="dxa"/>
          </w:tcPr>
          <w:p>
            <w:pPr/>
            <w:r>
              <w:t xml:space="preserve">Los datos vuelven tras restaurar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CP-59</w:t>
            </w:r>
          </w:p>
        </w:tc>
        <w:tc>
          <w:tcPr>
            <w:tcW w:w="1900" w:type="dxa"/>
          </w:tcPr>
          <w:p>
            <w:pPr/>
            <w:r>
              <w:t xml:space="preserve">Cobertura e integración continua</w:t>
            </w:r>
          </w:p>
        </w:tc>
        <w:tc>
          <w:tcPr>
            <w:tcW w:w="995" w:type="dxa"/>
          </w:tcPr>
          <w:p>
            <w:pPr/>
            <w:r>
              <w:t xml:space="preserve">RNF-27, RNF-28</w:t>
            </w:r>
          </w:p>
        </w:tc>
        <w:tc>
          <w:tcPr>
            <w:tcW w:w="1681" w:type="dxa"/>
          </w:tcPr>
          <w:p>
            <w:pPr/>
            <w:r>
              <w:t xml:space="preserve">Análisis</w:t>
            </w:r>
          </w:p>
        </w:tc>
        <w:tc>
          <w:tcPr>
            <w:tcW w:w="3916" w:type="dxa"/>
          </w:tcPr>
          <w:p>
            <w:pPr/>
            <w:r>
              <w:t xml:space="preserve">70 % o más y CI en verde</w:t>
            </w:r>
          </w:p>
        </w:tc>
      </w:tr>
      <w:tr>
        <w:tc>
          <w:tcPr>
            <w:tcW w:w="868" w:type="dxa"/>
          </w:tcPr>
          <w:p>
            <w:pPr/>
            <w:r>
              <w:t xml:space="preserve">CP-60</w:t>
            </w:r>
          </w:p>
        </w:tc>
        <w:tc>
          <w:tcPr>
            <w:tcW w:w="1900" w:type="dxa"/>
          </w:tcPr>
          <w:p>
            <w:pPr/>
            <w:r>
              <w:t xml:space="preserve">Escaneo de seguridad y accesibilidad</w:t>
            </w:r>
          </w:p>
        </w:tc>
        <w:tc>
          <w:tcPr>
            <w:tcW w:w="995" w:type="dxa"/>
          </w:tcPr>
          <w:p>
            <w:pPr/>
            <w:r>
              <w:t xml:space="preserve">RNF-07, RNF-24, RNF-26</w:t>
            </w:r>
          </w:p>
        </w:tc>
        <w:tc>
          <w:tcPr>
            <w:tcW w:w="1681" w:type="dxa"/>
          </w:tcPr>
          <w:p>
            <w:pPr/>
            <w:r>
              <w:t xml:space="preserve">Seguridad e inspección</w:t>
            </w:r>
          </w:p>
        </w:tc>
        <w:tc>
          <w:tcPr>
            <w:tcW w:w="3916" w:type="dxa"/>
          </w:tcPr>
          <w:p>
            <w:pPr/>
            <w:r>
              <w:t xml:space="preserve">Sin hallazgos altos en ZAP; mensajes, contraste y teclado revisados</w:t>
            </w:r>
          </w:p>
        </w:tc>
      </w:tr>
    </w:tbl>
    <w:p>
      <w:pPr>
        <w:pStyle w:val="Heading3"/>
      </w:pPr>
      <w:r>
        <w:t xml:space="preserve">7.4 Criterios de entrada y salida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Entrada.</w:t>
      </w:r>
      <w:r>
        <w:t xml:space="preserve"> El código está integrado en la rama principal, la integración continua está en verde y los datos de prueba están cargados.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Salida de la etapa 4.</w:t>
      </w:r>
      <w:r>
        <w:t xml:space="preserve"> Todos los casos que cubren requisitos de prioridad Alta se ejecutaron y pasaron; no quedan defectos críticos abiertos, o quedan documentados con su plan; la cobertura es de 70 % o más.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Severidad de defectos.</w:t>
      </w:r>
      <w:r>
        <w:t xml:space="preserve"> Crítico es una falla de seguridad o de auditoría, o una recomendación incorrecta emitida. Alto, medio y bajo se distinguen por su efecto en el flujo principal. Cada defecto es un </w:t>
      </w:r>
      <w:r>
        <w:rPr>
          <w:i/>
        </w:rPr>
        <w:t xml:space="preserve">issue</w:t>
      </w:r>
      <w:r>
        <w:t xml:space="preserve"> de GitHub con su severidad.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Evidencias.</w:t>
      </w:r>
      <w:r>
        <w:t xml:space="preserve"> Informes de pytest, Playwright, Locust y ZAP, capturas de las demostraciones y los registros de ejecución, guardados en </w:t>
      </w:r>
      <w:r>
        <w:rPr>
          <w:rStyle w:val="CodeChar"/>
        </w:rPr>
        <w:t xml:space="preserve">docs/pruebas/</w:t>
      </w:r>
      <w:r>
        <w:t xml:space="preserve"> e incorporados al Informe Final.</w:t>
      </w:r>
    </w:p>
    <w:p>
      <w:pPr>
        <w:pStyle w:val="Heading3"/>
      </w:pPr>
      <w:r>
        <w:t xml:space="preserve">7.5 Calendario</w:t>
      </w:r>
    </w:p>
    <w:p>
      <w:pPr/>
      <w:r>
        <w:t xml:space="preserve">El diseño de las pruebas es de la Etapa 2, y este documento lo cierra. Cada módulo entrega sus pruebas unitarias y de integración junto con su código durante la Etapa 3. La ejecución completa ocurre en la semana 15 y las correcciones en la semana 16.</w:t>
      </w:r>
    </w:p>
    <w:p>
      <w:pPr>
        <w:pStyle w:val="Heading2"/>
      </w:pPr>
      <w:r>
        <w:t xml:space="preserve">8. Trazabilidad</w:t>
      </w:r>
    </w:p>
    <w:p>
      <w:pPr/>
      <w:r>
        <w:t xml:space="preserve">Cada módulo de la SRS se apoya en componentes, datos y casos de prueba concretos; 61 de los 66 requisitos funcionales tienen al menos un caso, y los 5 que no (RF-17, RF-47, RF-54, RF-60 y RF-66) son de prioridad Baja.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01"/>
        <w:gridCol w:w="2025"/>
        <w:gridCol w:w="3545"/>
        <w:gridCol w:w="1489"/>
      </w:tblGrid>
      <w:tr>
        <w:trPr>
          <w:tblHeader/>
        </w:trPr>
        <w:tc>
          <w:tcPr>
            <w:tcW w:w="2301" w:type="dxa"/>
            <w:shd w:val="clear" w:color="auto" w:fill="F2F2F2"/>
          </w:tcPr>
          <w:p>
            <w:pPr/>
            <w:r>
              <w:t xml:space="preserve">Módulo de la SRS</w:t>
            </w:r>
          </w:p>
        </w:tc>
        <w:tc>
          <w:tcPr>
            <w:tcW w:w="2025" w:type="dxa"/>
            <w:shd w:val="clear" w:color="auto" w:fill="F2F2F2"/>
          </w:tcPr>
          <w:p>
            <w:pPr/>
            <w:r>
              <w:t xml:space="preserve">Componente</w:t>
            </w:r>
          </w:p>
        </w:tc>
        <w:tc>
          <w:tcPr>
            <w:tcW w:w="3545" w:type="dxa"/>
            <w:shd w:val="clear" w:color="auto" w:fill="F2F2F2"/>
          </w:tcPr>
          <w:p>
            <w:pPr/>
            <w:r>
              <w:t xml:space="preserve">Tablas y colecciones</w:t>
            </w:r>
          </w:p>
        </w:tc>
        <w:tc>
          <w:tcPr>
            <w:tcW w:w="1489" w:type="dxa"/>
            <w:shd w:val="clear" w:color="auto" w:fill="F2F2F2"/>
          </w:tcPr>
          <w:p>
            <w:pPr/>
            <w:r>
              <w:t xml:space="preserve">Casos de prueba</w:t>
            </w:r>
          </w:p>
        </w:tc>
      </w:tr>
      <w:tr>
        <w:tc>
          <w:tcPr>
            <w:tcW w:w="2301" w:type="dxa"/>
          </w:tcPr>
          <w:p>
            <w:pPr/>
            <w:r>
              <w:t xml:space="preserve">A. Acceso y usuarios (RF-01 a RF-06)</w:t>
            </w:r>
          </w:p>
        </w:tc>
        <w:tc>
          <w:tcPr>
            <w:tcW w:w="2025" w:type="dxa"/>
          </w:tcPr>
          <w:p>
            <w:pPr/>
            <w:r>
              <w:rPr>
                <w:rStyle w:val="CodeChar"/>
              </w:rPr>
              <w:t xml:space="preserve">api</w:t>
            </w:r>
            <w:r>
              <w:t xml:space="preserve">: acceso y usuarios</w:t>
            </w:r>
          </w:p>
        </w:tc>
        <w:tc>
          <w:tcPr>
            <w:tcW w:w="3545" w:type="dxa"/>
          </w:tcPr>
          <w:p>
            <w:pPr/>
            <w:r>
              <w:rPr>
                <w:rStyle w:val="CodeChar"/>
              </w:rPr>
              <w:t xml:space="preserve">usuario</w:t>
            </w:r>
            <w:r>
              <w:t xml:space="preserve">, </w:t>
            </w:r>
            <w:r>
              <w:rPr>
                <w:rStyle w:val="CodeChar"/>
              </w:rPr>
              <w:t xml:space="preserve">refresh_token</w:t>
            </w:r>
            <w:r>
              <w:t xml:space="preserve">, </w:t>
            </w:r>
            <w:r>
              <w:rPr>
                <w:rStyle w:val="CodeChar"/>
              </w:rPr>
              <w:t xml:space="preserve">centro</w:t>
            </w:r>
          </w:p>
        </w:tc>
        <w:tc>
          <w:tcPr>
            <w:tcW w:w="1489" w:type="dxa"/>
          </w:tcPr>
          <w:p>
            <w:pPr/>
            <w:r>
              <w:t xml:space="preserve">CP-01 a CP-07</w:t>
            </w:r>
          </w:p>
        </w:tc>
      </w:tr>
      <w:tr>
        <w:tc>
          <w:tcPr>
            <w:tcW w:w="2301" w:type="dxa"/>
          </w:tcPr>
          <w:p>
            <w:pPr/>
            <w:r>
              <w:t xml:space="preserve">B. Aislados y solicitudes (RF-07 a RF-17)</w:t>
            </w:r>
          </w:p>
        </w:tc>
        <w:tc>
          <w:tcPr>
            <w:tcW w:w="2025" w:type="dxa"/>
          </w:tcPr>
          <w:p>
            <w:pPr/>
            <w:r>
              <w:rPr>
                <w:rStyle w:val="CodeChar"/>
              </w:rPr>
              <w:t xml:space="preserve">api</w:t>
            </w:r>
            <w:r>
              <w:t xml:space="preserve">: solicitudes</w:t>
            </w:r>
          </w:p>
        </w:tc>
        <w:tc>
          <w:tcPr>
            <w:tcW w:w="3545" w:type="dxa"/>
          </w:tcPr>
          <w:p>
            <w:pPr/>
            <w:r>
              <w:rPr>
                <w:rStyle w:val="CodeChar"/>
              </w:rPr>
              <w:t xml:space="preserve">aislado</w:t>
            </w:r>
            <w:r>
              <w:t xml:space="preserve">, </w:t>
            </w:r>
            <w:r>
              <w:rPr>
                <w:rStyle w:val="CodeChar"/>
              </w:rPr>
              <w:t xml:space="preserve">genoma</w:t>
            </w:r>
            <w:r>
              <w:t xml:space="preserve">, </w:t>
            </w:r>
            <w:r>
              <w:rPr>
                <w:rStyle w:val="CodeChar"/>
              </w:rPr>
              <w:t xml:space="preserve">solicitud</w:t>
            </w:r>
            <w:r>
              <w:t xml:space="preserve">, </w:t>
            </w:r>
            <w:r>
              <w:rPr>
                <w:rStyle w:val="CodeChar"/>
              </w:rPr>
              <w:t xml:space="preserve">solicitud_historial</w:t>
            </w:r>
            <w:r>
              <w:t xml:space="preserve">, </w:t>
            </w:r>
            <w:r>
              <w:rPr>
                <w:rStyle w:val="CodeChar"/>
              </w:rPr>
              <w:t xml:space="preserve">trabajo</w:t>
            </w:r>
            <w:r>
              <w:t xml:space="preserve">, </w:t>
            </w:r>
            <w:r>
              <w:rPr>
                <w:rStyle w:val="CodeChar"/>
              </w:rPr>
              <w:t xml:space="preserve">seguimiento_ensayo</w:t>
            </w:r>
          </w:p>
        </w:tc>
        <w:tc>
          <w:tcPr>
            <w:tcW w:w="1489" w:type="dxa"/>
          </w:tcPr>
          <w:p>
            <w:pPr/>
            <w:r>
              <w:t xml:space="preserve">CP-08 a CP-15</w:t>
            </w:r>
          </w:p>
        </w:tc>
      </w:tr>
      <w:tr>
        <w:tc>
          <w:tcPr>
            <w:tcW w:w="2301" w:type="dxa"/>
          </w:tcPr>
          <w:p>
            <w:pPr/>
            <w:r>
              <w:t xml:space="preserve">C. Pipeline genómico (RF-18 a RF-26)</w:t>
            </w:r>
          </w:p>
        </w:tc>
        <w:tc>
          <w:tcPr>
            <w:tcW w:w="2025" w:type="dxa"/>
          </w:tcPr>
          <w:p>
            <w:pPr/>
            <w:r>
              <w:rPr>
                <w:rStyle w:val="CodeChar"/>
              </w:rPr>
              <w:t xml:space="preserve">worker-pipeline</w:t>
            </w:r>
          </w:p>
        </w:tc>
        <w:tc>
          <w:tcPr>
            <w:tcW w:w="3545" w:type="dxa"/>
          </w:tcPr>
          <w:p>
            <w:pPr/>
            <w:r>
              <w:rPr>
                <w:rStyle w:val="CodeChar"/>
              </w:rPr>
              <w:t xml:space="preserve">analisis_genomico</w:t>
            </w:r>
            <w:r>
              <w:t xml:space="preserve"> (PostgreSQL y MongoDB), </w:t>
            </w:r>
            <w:r>
              <w:rPr>
                <w:rStyle w:val="CodeChar"/>
              </w:rPr>
              <w:t xml:space="preserve">embedding_cache</w:t>
            </w:r>
            <w:r>
              <w:t xml:space="preserve">, </w:t>
            </w:r>
            <w:r>
              <w:rPr>
                <w:rStyle w:val="CodeChar"/>
              </w:rPr>
              <w:t xml:space="preserve">trabajo</w:t>
            </w:r>
          </w:p>
        </w:tc>
        <w:tc>
          <w:tcPr>
            <w:tcW w:w="1489" w:type="dxa"/>
          </w:tcPr>
          <w:p>
            <w:pPr/>
            <w:r>
              <w:t xml:space="preserve">CP-16 a CP-23</w:t>
            </w:r>
          </w:p>
        </w:tc>
      </w:tr>
      <w:tr>
        <w:tc>
          <w:tcPr>
            <w:tcW w:w="2301" w:type="dxa"/>
          </w:tcPr>
          <w:p>
            <w:pPr/>
            <w:r>
              <w:t xml:space="preserve">D. Banco de fagos (RF-27 a RF-33)</w:t>
            </w:r>
          </w:p>
        </w:tc>
        <w:tc>
          <w:tcPr>
            <w:tcW w:w="2025" w:type="dxa"/>
          </w:tcPr>
          <w:p>
            <w:pPr/>
            <w:r>
              <w:rPr>
                <w:rStyle w:val="CodeChar"/>
              </w:rPr>
              <w:t xml:space="preserve">worker-pipeline</w:t>
            </w:r>
            <w:r>
              <w:t xml:space="preserve"> (ingesta) y </w:t>
            </w:r>
            <w:r>
              <w:rPr>
                <w:rStyle w:val="CodeChar"/>
              </w:rPr>
              <w:t xml:space="preserve">api</w:t>
            </w:r>
            <w:r>
              <w:t xml:space="preserve"> (curaduría)</w:t>
            </w:r>
          </w:p>
        </w:tc>
        <w:tc>
          <w:tcPr>
            <w:tcW w:w="3545" w:type="dxa"/>
          </w:tcPr>
          <w:p>
            <w:pPr/>
            <w:r>
              <w:rPr>
                <w:rStyle w:val="CodeChar"/>
              </w:rPr>
              <w:t xml:space="preserve">fago</w:t>
            </w:r>
            <w:r>
              <w:t xml:space="preserve">, </w:t>
            </w:r>
            <w:r>
              <w:rPr>
                <w:rStyle w:val="CodeChar"/>
              </w:rPr>
              <w:t xml:space="preserve">fago_origen</w:t>
            </w:r>
            <w:r>
              <w:t xml:space="preserve">, </w:t>
            </w:r>
            <w:r>
              <w:rPr>
                <w:rStyle w:val="CodeChar"/>
              </w:rPr>
              <w:t xml:space="preserve">fuente_datos</w:t>
            </w:r>
            <w:r>
              <w:t xml:space="preserve">, </w:t>
            </w:r>
            <w:r>
              <w:rPr>
                <w:rStyle w:val="CodeChar"/>
              </w:rPr>
              <w:t xml:space="preserve">interaccion_conocida</w:t>
            </w:r>
            <w:r>
              <w:t xml:space="preserve">, </w:t>
            </w:r>
            <w:r>
              <w:rPr>
                <w:rStyle w:val="CodeChar"/>
              </w:rPr>
              <w:t xml:space="preserve">fago_anotacion</w:t>
            </w:r>
          </w:p>
        </w:tc>
        <w:tc>
          <w:tcPr>
            <w:tcW w:w="1489" w:type="dxa"/>
          </w:tcPr>
          <w:p>
            <w:pPr/>
            <w:r>
              <w:t xml:space="preserve">CP-24 a CP-29</w:t>
            </w:r>
          </w:p>
        </w:tc>
      </w:tr>
      <w:tr>
        <w:tc>
          <w:tcPr>
            <w:tcW w:w="2301" w:type="dxa"/>
          </w:tcPr>
          <w:p>
            <w:pPr/>
            <w:r>
              <w:t xml:space="preserve">E. Predicción (RF-34 a RF-40)</w:t>
            </w:r>
          </w:p>
        </w:tc>
        <w:tc>
          <w:tcPr>
            <w:tcW w:w="2025" w:type="dxa"/>
          </w:tcPr>
          <w:p>
            <w:pPr/>
            <w:r>
              <w:rPr>
                <w:rStyle w:val="CodeChar"/>
              </w:rPr>
              <w:t xml:space="preserve">worker-prediction</w:t>
            </w:r>
            <w:r>
              <w:t xml:space="preserve"> y </w:t>
            </w:r>
            <w:r>
              <w:rPr>
                <w:rStyle w:val="CodeChar"/>
              </w:rPr>
              <w:t xml:space="preserve">ml/</w:t>
            </w:r>
          </w:p>
        </w:tc>
        <w:tc>
          <w:tcPr>
            <w:tcW w:w="3545" w:type="dxa"/>
          </w:tcPr>
          <w:p>
            <w:pPr/>
            <w:r>
              <w:rPr>
                <w:rStyle w:val="CodeChar"/>
              </w:rPr>
              <w:t xml:space="preserve">modelo</w:t>
            </w:r>
            <w:r>
              <w:t xml:space="preserve">, </w:t>
            </w:r>
            <w:r>
              <w:rPr>
                <w:rStyle w:val="CodeChar"/>
              </w:rPr>
              <w:t xml:space="preserve">prediccion</w:t>
            </w:r>
            <w:r>
              <w:t xml:space="preserve">, </w:t>
            </w:r>
            <w:r>
              <w:rPr>
                <w:rStyle w:val="CodeChar"/>
              </w:rPr>
              <w:t xml:space="preserve">candidato</w:t>
            </w:r>
            <w:r>
              <w:t xml:space="preserve">, </w:t>
            </w:r>
            <w:r>
              <w:rPr>
                <w:rStyle w:val="CodeChar"/>
              </w:rPr>
              <w:t xml:space="preserve">explicacion_shap</w:t>
            </w:r>
            <w:r>
              <w:t xml:space="preserve">, </w:t>
            </w:r>
            <w:r>
              <w:rPr>
                <w:rStyle w:val="CodeChar"/>
              </w:rPr>
              <w:t xml:space="preserve">embedding_cache</w:t>
            </w:r>
          </w:p>
        </w:tc>
        <w:tc>
          <w:tcPr>
            <w:tcW w:w="1489" w:type="dxa"/>
          </w:tcPr>
          <w:p>
            <w:pPr/>
            <w:r>
              <w:t xml:space="preserve">CP-30 a CP-35</w:t>
            </w:r>
          </w:p>
        </w:tc>
      </w:tr>
      <w:tr>
        <w:tc>
          <w:tcPr>
            <w:tcW w:w="2301" w:type="dxa"/>
          </w:tcPr>
          <w:p>
            <w:pPr/>
            <w:r>
              <w:t xml:space="preserve">F. Validación y emisión (RF-41 a RF-47)</w:t>
            </w:r>
          </w:p>
        </w:tc>
        <w:tc>
          <w:tcPr>
            <w:tcW w:w="2025" w:type="dxa"/>
          </w:tcPr>
          <w:p>
            <w:pPr/>
            <w:r>
              <w:rPr>
                <w:rStyle w:val="CodeChar"/>
              </w:rPr>
              <w:t xml:space="preserve">api</w:t>
            </w:r>
            <w:r>
              <w:t xml:space="preserve">: validación y recomendaciones</w:t>
            </w:r>
          </w:p>
        </w:tc>
        <w:tc>
          <w:tcPr>
            <w:tcW w:w="3545" w:type="dxa"/>
          </w:tcPr>
          <w:p>
            <w:pPr/>
            <w:r>
              <w:rPr>
                <w:rStyle w:val="CodeChar"/>
              </w:rPr>
              <w:t xml:space="preserve">validacion</w:t>
            </w:r>
            <w:r>
              <w:t xml:space="preserve">, </w:t>
            </w:r>
            <w:r>
              <w:rPr>
                <w:rStyle w:val="CodeChar"/>
              </w:rPr>
              <w:t xml:space="preserve">recomendacion</w:t>
            </w:r>
            <w:r>
              <w:t xml:space="preserve">, </w:t>
            </w:r>
            <w:r>
              <w:rPr>
                <w:rStyle w:val="CodeChar"/>
              </w:rPr>
              <w:t xml:space="preserve">recomendacion_candidato</w:t>
            </w:r>
            <w:r>
              <w:t xml:space="preserve">, </w:t>
            </w:r>
            <w:r>
              <w:rPr>
                <w:rStyle w:val="CodeChar"/>
              </w:rPr>
              <w:t xml:space="preserve">candidato</w:t>
            </w:r>
          </w:p>
        </w:tc>
        <w:tc>
          <w:tcPr>
            <w:tcW w:w="1489" w:type="dxa"/>
          </w:tcPr>
          <w:p>
            <w:pPr/>
            <w:r>
              <w:t xml:space="preserve">CP-36 a CP-40, CP-51</w:t>
            </w:r>
          </w:p>
        </w:tc>
      </w:tr>
      <w:tr>
        <w:tc>
          <w:tcPr>
            <w:tcW w:w="2301" w:type="dxa"/>
          </w:tcPr>
          <w:p>
            <w:pPr/>
            <w:r>
              <w:t xml:space="preserve">G. Auditoría (RF-48 a RF-54)</w:t>
            </w:r>
          </w:p>
        </w:tc>
        <w:tc>
          <w:tcPr>
            <w:tcW w:w="2025" w:type="dxa"/>
          </w:tcPr>
          <w:p>
            <w:pPr/>
            <w:r>
              <w:rPr>
                <w:rStyle w:val="CodeChar"/>
              </w:rPr>
              <w:t xml:space="preserve">api</w:t>
            </w:r>
            <w:r>
              <w:t xml:space="preserve">: servicio de auditoría, transversal</w:t>
            </w:r>
          </w:p>
        </w:tc>
        <w:tc>
          <w:tcPr>
            <w:tcW w:w="3545" w:type="dxa"/>
          </w:tcPr>
          <w:p>
            <w:pPr/>
            <w:r>
              <w:rPr>
                <w:rStyle w:val="CodeChar"/>
              </w:rPr>
              <w:t xml:space="preserve">evento_auditoria</w:t>
            </w:r>
          </w:p>
        </w:tc>
        <w:tc>
          <w:tcPr>
            <w:tcW w:w="1489" w:type="dxa"/>
          </w:tcPr>
          <w:p>
            <w:pPr/>
            <w:r>
              <w:t xml:space="preserve">CP-41 a CP-44</w:t>
            </w:r>
          </w:p>
        </w:tc>
      </w:tr>
      <w:tr>
        <w:tc>
          <w:tcPr>
            <w:tcW w:w="2301" w:type="dxa"/>
          </w:tcPr>
          <w:p>
            <w:pPr/>
            <w:r>
              <w:t xml:space="preserve">H. Tablero (RF-55 a RF-60)</w:t>
            </w:r>
          </w:p>
        </w:tc>
        <w:tc>
          <w:tcPr>
            <w:tcW w:w="2025" w:type="dxa"/>
          </w:tcPr>
          <w:p>
            <w:pPr/>
            <w:r>
              <w:rPr>
                <w:rStyle w:val="CodeChar"/>
              </w:rPr>
              <w:t xml:space="preserve">api</w:t>
            </w:r>
            <w:r>
              <w:t xml:space="preserve">: analítica</w:t>
            </w:r>
          </w:p>
        </w:tc>
        <w:tc>
          <w:tcPr>
            <w:tcW w:w="3545" w:type="dxa"/>
          </w:tcPr>
          <w:p>
            <w:pPr/>
            <w:r>
              <w:rPr>
                <w:rStyle w:val="CodeChar"/>
              </w:rPr>
              <w:t xml:space="preserve">mv_cobertura_banco</w:t>
            </w:r>
            <w:r>
              <w:t xml:space="preserve">, </w:t>
            </w:r>
            <w:r>
              <w:rPr>
                <w:rStyle w:val="CodeChar"/>
              </w:rPr>
              <w:t xml:space="preserve">mv_brechas</w:t>
            </w:r>
            <w:r>
              <w:t xml:space="preserve">, </w:t>
            </w:r>
            <w:r>
              <w:rPr>
                <w:rStyle w:val="CodeChar"/>
              </w:rPr>
              <w:t xml:space="preserve">mv_tendencias_mensuales</w:t>
            </w:r>
            <w:r>
              <w:t xml:space="preserve">, </w:t>
            </w:r>
            <w:r>
              <w:rPr>
                <w:rStyle w:val="CodeChar"/>
              </w:rPr>
              <w:t xml:space="preserve">parametro_sistema</w:t>
            </w:r>
          </w:p>
        </w:tc>
        <w:tc>
          <w:tcPr>
            <w:tcW w:w="1489" w:type="dxa"/>
          </w:tcPr>
          <w:p>
            <w:pPr/>
            <w:r>
              <w:t xml:space="preserve">CP-45 a CP-48, CP-55</w:t>
            </w:r>
          </w:p>
        </w:tc>
      </w:tr>
      <w:tr>
        <w:tc>
          <w:tcPr>
            <w:tcW w:w="2301" w:type="dxa"/>
          </w:tcPr>
          <w:p>
            <w:pPr/>
            <w:r>
              <w:t xml:space="preserve">I. App móvil y alertas (RF-61 a RF-66)</w:t>
            </w:r>
          </w:p>
        </w:tc>
        <w:tc>
          <w:tcPr>
            <w:tcW w:w="2025" w:type="dxa"/>
          </w:tcPr>
          <w:p>
            <w:pPr/>
            <w:r>
              <w:rPr>
                <w:rStyle w:val="CodeChar"/>
              </w:rPr>
              <w:t xml:space="preserve">movil</w:t>
            </w:r>
            <w:r>
              <w:t xml:space="preserve"> y </w:t>
            </w:r>
            <w:r>
              <w:rPr>
                <w:rStyle w:val="CodeChar"/>
              </w:rPr>
              <w:t xml:space="preserve">api</w:t>
            </w:r>
            <w:r>
              <w:t xml:space="preserve">: alertas</w:t>
            </w:r>
          </w:p>
        </w:tc>
        <w:tc>
          <w:tcPr>
            <w:tcW w:w="3545" w:type="dxa"/>
          </w:tcPr>
          <w:p>
            <w:pPr/>
            <w:r>
              <w:rPr>
                <w:rStyle w:val="CodeChar"/>
              </w:rPr>
              <w:t xml:space="preserve">alerta</w:t>
            </w:r>
            <w:r>
              <w:t xml:space="preserve">, </w:t>
            </w:r>
            <w:r>
              <w:rPr>
                <w:rStyle w:val="CodeChar"/>
              </w:rPr>
              <w:t xml:space="preserve">dispositivo_push</w:t>
            </w:r>
          </w:p>
        </w:tc>
        <w:tc>
          <w:tcPr>
            <w:tcW w:w="1489" w:type="dxa"/>
          </w:tcPr>
          <w:p>
            <w:pPr/>
            <w:r>
              <w:t xml:space="preserve">CP-49, CP-50</w:t>
            </w:r>
          </w:p>
        </w:tc>
      </w:tr>
      <w:tr>
        <w:tc>
          <w:tcPr>
            <w:tcW w:w="2301" w:type="dxa"/>
          </w:tcPr>
          <w:p>
            <w:pPr/>
            <w:r>
              <w:t xml:space="preserve">Requisitos no funcionales</w:t>
            </w:r>
          </w:p>
        </w:tc>
        <w:tc>
          <w:tcPr>
            <w:tcW w:w="2025" w:type="dxa"/>
          </w:tcPr>
          <w:p>
            <w:pPr/>
            <w:r>
              <w:t xml:space="preserve">Transversal; sección 6</w:t>
            </w:r>
          </w:p>
        </w:tc>
        <w:tc>
          <w:tcPr>
            <w:tcW w:w="3545" w:type="dxa"/>
          </w:tcPr>
          <w:p>
            <w:pPr/>
            <w:r>
              <w:t xml:space="preserve">Según el mecanismo de cada RNF</w:t>
            </w:r>
          </w:p>
        </w:tc>
        <w:tc>
          <w:tcPr>
            <w:tcW w:w="1489" w:type="dxa"/>
          </w:tcPr>
          <w:p>
            <w:pPr/>
            <w:r>
              <w:t xml:space="preserve">CP-02, CP-05, CP-09, CP-21, CP-34, CP-42, CP-52 a CP-60</w:t>
            </w:r>
          </w:p>
        </w:tc>
      </w:tr>
    </w:tbl>
    <w:p>
      <w:pPr>
        <w:pStyle w:val="Heading2"/>
      </w:pPr>
      <w:r>
        <w:t xml:space="preserve">9. Puntos por confirmar</w:t>
      </w:r>
    </w:p>
    <w:p>
      <w:pPr/>
      <w:r>
        <w:t xml:space="preserve">Diez decisiones técnicas quedan abiertas; cada una tiene una propuesta y un experimento corto que la confirma antes de congelar la línea base. El punto 1 ya se resolvió con el prototipo.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720"/>
        <w:gridCol w:w="1753"/>
        <w:gridCol w:w="4109"/>
        <w:gridCol w:w="2778"/>
      </w:tblGrid>
      <w:tr>
        <w:trPr>
          <w:tblHeader/>
        </w:trPr>
        <w:tc>
          <w:tcPr>
            <w:tcW w:w="720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1753" w:type="dxa"/>
            <w:shd w:val="clear" w:color="auto" w:fill="F2F2F2"/>
          </w:tcPr>
          <w:p>
            <w:pPr/>
            <w:r>
              <w:t xml:space="preserve">Punto abierto</w:t>
            </w:r>
          </w:p>
        </w:tc>
        <w:tc>
          <w:tcPr>
            <w:tcW w:w="4109" w:type="dxa"/>
            <w:shd w:val="clear" w:color="auto" w:fill="F2F2F2"/>
          </w:tcPr>
          <w:p>
            <w:pPr/>
            <w:r>
              <w:t xml:space="preserve">Propuesta</w:t>
            </w:r>
          </w:p>
        </w:tc>
        <w:tc>
          <w:tcPr>
            <w:tcW w:w="2778" w:type="dxa"/>
            <w:shd w:val="clear" w:color="auto" w:fill="F2F2F2"/>
          </w:tcPr>
          <w:p>
            <w:pPr/>
            <w:r>
              <w:t xml:space="preserve">Cómo se confirma</w:t>
            </w:r>
          </w:p>
        </w:tc>
      </w:tr>
      <w:tr>
        <w:tc>
          <w:tcPr>
            <w:tcW w:w="720" w:type="dxa"/>
          </w:tcPr>
          <w:p>
            <w:pPr/>
            <w:r>
              <w:t xml:space="preserve">1</w:t>
            </w:r>
          </w:p>
        </w:tc>
        <w:tc>
          <w:tcPr>
            <w:tcW w:w="1753" w:type="dxa"/>
          </w:tcPr>
          <w:p>
            <w:pPr/>
            <w:r>
              <w:t xml:space="preserve">Método de identificación de especie (RF-20)</w:t>
            </w:r>
          </w:p>
        </w:tc>
        <w:tc>
          <w:tcPr>
            <w:tcW w:w="4109" w:type="dxa"/>
          </w:tcPr>
          <w:p>
            <w:pPr/>
            <w:r>
              <w:t xml:space="preserve">Distancia Mash o ANI contra un conjunto de referencia de </w:t>
            </w:r>
            <w:r>
              <w:rPr>
                <w:i/>
              </w:rPr>
              <w:t xml:space="preserve">Klebsiella</w:t>
            </w:r>
            <w:r>
              <w:t xml:space="preserve"> y de otras enterobacterias, con umbral configurable; Kleborate es la alternativa</w:t>
            </w:r>
          </w:p>
        </w:tc>
        <w:tc>
          <w:tcPr>
            <w:tcW w:w="2778" w:type="dxa"/>
          </w:tcPr>
          <w:p>
            <w:pPr/>
            <w:r>
              <w:t xml:space="preserve">Resuelto el 27-10-2026: implementado con Mash y 13 referencias, y probado con 6 genomas independientes (ver el Informe de Avance)</w:t>
            </w:r>
          </w:p>
        </w:tc>
      </w:tr>
      <w:tr>
        <w:tc>
          <w:tcPr>
            <w:tcW w:w="720" w:type="dxa"/>
          </w:tcPr>
          <w:p>
            <w:pPr/>
            <w:r>
              <w:t xml:space="preserve">2</w:t>
            </w:r>
          </w:p>
        </w:tc>
        <w:tc>
          <w:tcPr>
            <w:tcW w:w="1753" w:type="dxa"/>
          </w:tcPr>
          <w:p>
            <w:pPr/>
            <w:r>
              <w:t xml:space="preserve">Qué se acepta como </w:t>
            </w:r>
            <w:r>
              <w:rPr>
                <w:i/>
              </w:rPr>
              <w:t xml:space="preserve">K. pneumoniae</w:t>
            </w:r>
          </w:p>
        </w:tc>
        <w:tc>
          <w:tcPr>
            <w:tcW w:w="4109" w:type="dxa"/>
          </w:tcPr>
          <w:p>
            <w:pPr/>
            <w:r>
              <w:t xml:space="preserve">Solo la especie, sin el resto del complejo</w:t>
            </w:r>
          </w:p>
        </w:tc>
        <w:tc>
          <w:tcPr>
            <w:tcW w:w="2778" w:type="dxa"/>
          </w:tcPr>
          <w:p>
            <w:pPr/>
            <w:r>
              <w:t xml:space="preserve">Confirmado en el prototipo, que rechaza K. variicola y E. coli; falta revisar las especies del conjunto de entrenamiento</w:t>
            </w:r>
          </w:p>
        </w:tc>
      </w:tr>
      <w:tr>
        <w:tc>
          <w:tcPr>
            <w:tcW w:w="720" w:type="dxa"/>
          </w:tcPr>
          <w:p>
            <w:pPr/>
            <w:r>
              <w:t xml:space="preserve">3</w:t>
            </w:r>
          </w:p>
        </w:tc>
        <w:tc>
          <w:tcPr>
            <w:tcW w:w="1753" w:type="dxa"/>
          </w:tcPr>
          <w:p>
            <w:pPr/>
            <w:r>
              <w:t xml:space="preserve">Detección de proteínas de unión al receptor (RF-30)</w:t>
            </w:r>
          </w:p>
        </w:tc>
        <w:tc>
          <w:tcPr>
            <w:tcW w:w="4109" w:type="dxa"/>
          </w:tcPr>
          <w:p>
            <w:pPr/>
            <w:r>
              <w:t xml:space="preserve">Anotación de PhageScope más homología con DIAMOND; un modelo dedicado queda como mejora</w:t>
            </w:r>
          </w:p>
        </w:tc>
        <w:tc>
          <w:tcPr>
            <w:tcW w:w="2778" w:type="dxa"/>
          </w:tcPr>
          <w:p>
            <w:pPr/>
            <w:r>
              <w:t xml:space="preserve">Prototipo sobre 200 fagos, comparado con las proteínas ya anotadas</w:t>
            </w:r>
          </w:p>
        </w:tc>
      </w:tr>
      <w:tr>
        <w:tc>
          <w:tcPr>
            <w:tcW w:w="720" w:type="dxa"/>
          </w:tcPr>
          <w:p>
            <w:pPr/>
            <w:r>
              <w:t xml:space="preserve">4</w:t>
            </w:r>
          </w:p>
        </w:tc>
        <w:tc>
          <w:tcPr>
            <w:tcW w:w="1753" w:type="dxa"/>
          </w:tcPr>
          <w:p>
            <w:pPr/>
            <w:r>
              <w:t xml:space="preserve">Vector del par fago–aislado</w:t>
            </w:r>
          </w:p>
        </w:tc>
        <w:tc>
          <w:tcPr>
            <w:tcW w:w="4109" w:type="dxa"/>
          </w:tcPr>
          <w:p>
            <w:pPr/>
            <w:r>
              <w:t xml:space="preserve">Promedio de los embeddings de cada lado; la alternativa es el máximo sobre pares, como en la literatura</w:t>
            </w:r>
          </w:p>
        </w:tc>
        <w:tc>
          <w:tcPr>
            <w:tcW w:w="2778" w:type="dxa"/>
          </w:tcPr>
          <w:p>
            <w:pPr/>
            <w:r>
              <w:t xml:space="preserve">Comparar ambas en la validación cruzada de OE3</w:t>
            </w:r>
          </w:p>
        </w:tc>
      </w:tr>
      <w:tr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1753" w:type="dxa"/>
          </w:tcPr>
          <w:p>
            <w:pPr/>
            <w:r>
              <w:t xml:space="preserve">Variante de ESM-2</w:t>
            </w:r>
          </w:p>
        </w:tc>
        <w:tc>
          <w:tcPr>
            <w:tcW w:w="4109" w:type="dxa"/>
          </w:tcPr>
          <w:p>
            <w:pPr/>
            <w:r>
              <w:t xml:space="preserve">35 millones de parámetros por defecto</w:t>
            </w:r>
          </w:p>
        </w:tc>
        <w:tc>
          <w:tcPr>
            <w:tcW w:w="2778" w:type="dxa"/>
          </w:tcPr>
          <w:p>
            <w:pPr/>
            <w:r>
              <w:t xml:space="preserve">Medir tiempo y métricas contra las variantes de 8 y de 150 millones, en la semana 11</w:t>
            </w:r>
          </w:p>
        </w:tc>
      </w:tr>
      <w:tr>
        <w:tc>
          <w:tcPr>
            <w:tcW w:w="720" w:type="dxa"/>
          </w:tcPr>
          <w:p>
            <w:pPr/>
            <w:r>
              <w:t xml:space="preserve">6</w:t>
            </w:r>
          </w:p>
        </w:tc>
        <w:tc>
          <w:tcPr>
            <w:tcW w:w="1753" w:type="dxa"/>
          </w:tcPr>
          <w:p>
            <w:pPr/>
            <w:r>
              <w:t xml:space="preserve">Umbrales de calidad del genoma (RF-19)</w:t>
            </w:r>
          </w:p>
        </w:tc>
        <w:tc>
          <w:tcPr>
            <w:tcW w:w="4109" w:type="dxa"/>
          </w:tcPr>
          <w:p>
            <w:pPr/>
            <w:r>
              <w:t xml:space="preserve">Se fijan con la distribución de los genomas de prueba</w:t>
            </w:r>
          </w:p>
        </w:tc>
        <w:tc>
          <w:tcPr>
            <w:tcW w:w="2778" w:type="dxa"/>
          </w:tcPr>
          <w:p>
            <w:pPr/>
            <w:r>
              <w:t xml:space="preserve">Prototipo de la semana 8</w:t>
            </w:r>
          </w:p>
        </w:tc>
      </w:tr>
      <w:tr>
        <w:tc>
          <w:tcPr>
            <w:tcW w:w="720" w:type="dxa"/>
          </w:tcPr>
          <w:p>
            <w:pPr/>
            <w:r>
              <w:t xml:space="preserve">7</w:t>
            </w:r>
          </w:p>
        </w:tc>
        <w:tc>
          <w:tcPr>
            <w:tcW w:w="1753" w:type="dxa"/>
          </w:tcPr>
          <w:p>
            <w:pPr/>
            <w:r>
              <w:t xml:space="preserve">Candidatos que se muestran (punto 6 de la SRS)</w:t>
            </w:r>
          </w:p>
        </w:tc>
        <w:tc>
          <w:tcPr>
            <w:tcW w:w="4109" w:type="dxa"/>
          </w:tcPr>
          <w:p>
            <w:pPr/>
            <w:r>
              <w:t xml:space="preserve">Ranking completo paginado, top-5 destacado y explicación de los 10 primeros, con N configurable</w:t>
            </w:r>
          </w:p>
        </w:tc>
        <w:tc>
          <w:tcPr>
            <w:tcW w:w="2778" w:type="dxa"/>
          </w:tcPr>
          <w:p>
            <w:pPr/>
            <w:r>
              <w:t xml:space="preserve">Revisión con el docente</w:t>
            </w:r>
          </w:p>
        </w:tc>
      </w:tr>
      <w:tr>
        <w:tc>
          <w:tcPr>
            <w:tcW w:w="720" w:type="dxa"/>
          </w:tcPr>
          <w:p>
            <w:pPr/>
            <w:r>
              <w:t xml:space="preserve">8</w:t>
            </w:r>
          </w:p>
        </w:tc>
        <w:tc>
          <w:tcPr>
            <w:tcW w:w="1753" w:type="dxa"/>
          </w:tcPr>
          <w:p>
            <w:pPr/>
            <w:r>
              <w:t xml:space="preserve">Ajuste de RNF-16</w:t>
            </w:r>
          </w:p>
        </w:tc>
        <w:tc>
          <w:tcPr>
            <w:tcW w:w="4109" w:type="dxa"/>
          </w:tcPr>
          <w:p>
            <w:pPr/>
            <w:r>
              <w:t xml:space="preserve">La analítica corre dentro de </w:t>
            </w:r>
            <w:r>
              <w:rPr>
                <w:rStyle w:val="CodeChar"/>
              </w:rPr>
              <w:t xml:space="preserve">api</w:t>
            </w:r>
            <w:r>
              <w:t xml:space="preserve"> y no en un contenedor propio; el pipeline y la predicción sí tienen el suyo. Se propone una solicitud de cambio, SC-01, para precisar el texto</w:t>
            </w:r>
          </w:p>
        </w:tc>
        <w:tc>
          <w:tcPr>
            <w:tcW w:w="2778" w:type="dxa"/>
          </w:tcPr>
          <w:p>
            <w:pPr/>
            <w:r>
              <w:t xml:space="preserve">Aprobación del docente</w:t>
            </w:r>
          </w:p>
        </w:tc>
      </w:tr>
      <w:tr>
        <w:tc>
          <w:tcPr>
            <w:tcW w:w="720" w:type="dxa"/>
          </w:tcPr>
          <w:p>
            <w:pPr/>
            <w:r>
              <w:t xml:space="preserve">9</w:t>
            </w:r>
          </w:p>
        </w:tc>
        <w:tc>
          <w:tcPr>
            <w:tcW w:w="1753" w:type="dxa"/>
          </w:tcPr>
          <w:p>
            <w:pPr/>
            <w:r>
              <w:t xml:space="preserve">TLS y proxy inverso (RNF-02)</w:t>
            </w:r>
          </w:p>
        </w:tc>
        <w:tc>
          <w:tcPr>
            <w:tcW w:w="4109" w:type="dxa"/>
          </w:tcPr>
          <w:p>
            <w:pPr/>
            <w:r>
              <w:t xml:space="preserve">Solo en el entorno de demostración, no en el compose de desarrollo</w:t>
            </w:r>
          </w:p>
        </w:tc>
        <w:tc>
          <w:tcPr>
            <w:tcW w:w="2778" w:type="dxa"/>
          </w:tcPr>
          <w:p>
            <w:pPr/>
            <w:r>
              <w:t xml:space="preserve">Prueba de la demostración</w:t>
            </w:r>
          </w:p>
        </w:tc>
      </w:tr>
      <w:tr>
        <w:tc>
          <w:tcPr>
            <w:tcW w:w="720" w:type="dxa"/>
          </w:tcPr>
          <w:p>
            <w:pPr/>
            <w:r>
              <w:t xml:space="preserve">10</w:t>
            </w:r>
          </w:p>
        </w:tc>
        <w:tc>
          <w:tcPr>
            <w:tcW w:w="1753" w:type="dxa"/>
          </w:tcPr>
          <w:p>
            <w:pPr/>
            <w:r>
              <w:t xml:space="preserve">Expo para la app móvil (D-13)</w:t>
            </w:r>
          </w:p>
        </w:tc>
        <w:tc>
          <w:tcPr>
            <w:tcW w:w="4109" w:type="dxa"/>
          </w:tcPr>
          <w:p>
            <w:pPr/>
            <w:r>
              <w:t xml:space="preserve">Expo, verificando que soporte las notificaciones y las dependencias necesarias</w:t>
            </w:r>
          </w:p>
        </w:tc>
        <w:tc>
          <w:tcPr>
            <w:tcW w:w="2778" w:type="dxa"/>
          </w:tcPr>
          <w:p>
            <w:pPr/>
            <w:r>
              <w:t xml:space="preserve">Prototipo en la semana 14</w:t>
            </w:r>
          </w:p>
        </w:tc>
      </w:tr>
    </w:tbl>
    <w:p>
      <w:pPr>
        <w:pStyle w:val="Heading2"/>
      </w:pPr>
      <w:r>
        <w:t xml:space="preserve">10. Estado de implementación (28-10-2026)</w:t>
      </w:r>
    </w:p>
    <w:p>
      <w:pPr/>
      <w:r>
        <w:t xml:space="preserve">El prototipo implementa solo una parte de este diseño: el pipeline genómico y el banco de fagos corren en Docker, y desde el 28-10 hay una API de 9 endpoints y una web mínima para registrar un genoma y ver sus resultados; el resto sigue sin construir. La respuesta de la recomendación se aparta del diseño: no entrega un ranking con puntaje, sino los fagos con interacciones positivas conocidas sobre el mismo locus K, y hoy no hay ninguno porque el banco no tiene interacciones cargadas.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76"/>
        <w:gridCol w:w="2164"/>
        <w:gridCol w:w="4920"/>
      </w:tblGrid>
      <w:tr>
        <w:trPr>
          <w:tblHeader/>
        </w:trPr>
        <w:tc>
          <w:tcPr>
            <w:tcW w:w="2276" w:type="dxa"/>
            <w:shd w:val="clear" w:color="auto" w:fill="F2F2F2"/>
          </w:tcPr>
          <w:p>
            <w:pPr/>
            <w:r>
              <w:t xml:space="preserve">Componente</w:t>
            </w:r>
          </w:p>
        </w:tc>
        <w:tc>
          <w:tcPr>
            <w:tcW w:w="2164" w:type="dxa"/>
            <w:shd w:val="clear" w:color="auto" w:fill="F2F2F2"/>
          </w:tcPr>
          <w:p>
            <w:pPr/>
            <w:r>
              <w:t xml:space="preserve">Diseño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Implementado hoy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api</w:t>
            </w:r>
          </w:p>
        </w:tc>
        <w:tc>
          <w:tcPr>
            <w:tcW w:w="2164" w:type="dxa"/>
          </w:tcPr>
          <w:p>
            <w:pPr/>
            <w:r>
              <w:t xml:space="preserve">41 endpoints con JWT y control por rol</w:t>
            </w:r>
          </w:p>
        </w:tc>
        <w:tc>
          <w:tcPr>
            <w:tcW w:w="4920" w:type="dxa"/>
          </w:tcPr>
          <w:p>
            <w:pPr/>
            <w:r>
              <w:t xml:space="preserve">8 de los 41 endpoints (bajo </w:t>
            </w:r>
            <w:r>
              <w:rPr>
                <w:rStyle w:val="CodeChar"/>
              </w:rPr>
              <w:t xml:space="preserve">/api/v1</w:t>
            </w:r>
            <w:r>
              <w:t xml:space="preserve">), sin JWT ni control por rol: </w:t>
            </w:r>
            <w:r>
              <w:rPr>
                <w:rStyle w:val="CodeChar"/>
              </w:rPr>
              <w:t xml:space="preserve">POST /solicitudes</w:t>
            </w:r>
            <w:r>
              <w:t xml:space="preserve">, </w:t>
            </w:r>
            <w:r>
              <w:rPr>
                <w:rStyle w:val="CodeChar"/>
              </w:rPr>
              <w:t xml:space="preserve">GET /solicitudes</w:t>
            </w:r>
            <w:r>
              <w:t xml:space="preserve">, </w:t>
            </w:r>
            <w:r>
              <w:rPr>
                <w:rStyle w:val="CodeChar"/>
              </w:rPr>
              <w:t xml:space="preserve">GET /solicitudes/{id}</w:t>
            </w:r>
            <w:r>
              <w:t xml:space="preserve">, </w:t>
            </w:r>
            <w:r>
              <w:rPr>
                <w:rStyle w:val="CodeChar"/>
              </w:rPr>
              <w:t xml:space="preserve">POST /solicitudes/{id}/anular</w:t>
            </w:r>
            <w:r>
              <w:t xml:space="preserve">, </w:t>
            </w:r>
            <w:r>
              <w:rPr>
                <w:rStyle w:val="CodeChar"/>
              </w:rPr>
              <w:t xml:space="preserve">POST /solicitudes/{id}/reintentar</w:t>
            </w:r>
            <w:r>
              <w:t xml:space="preserve">, </w:t>
            </w:r>
            <w:r>
              <w:rPr>
                <w:rStyle w:val="CodeChar"/>
              </w:rPr>
              <w:t xml:space="preserve">GET /solicitudes/{id}/recomendacion</w:t>
            </w:r>
            <w:r>
              <w:t xml:space="preserve">, </w:t>
            </w:r>
            <w:r>
              <w:rPr>
                <w:rStyle w:val="CodeChar"/>
              </w:rPr>
              <w:t xml:space="preserve">GET /fagos</w:t>
            </w:r>
            <w:r>
              <w:t xml:space="preserve"> y </w:t>
            </w:r>
            <w:r>
              <w:rPr>
                <w:rStyle w:val="CodeChar"/>
              </w:rPr>
              <w:t xml:space="preserve">GET /salud</w:t>
            </w:r>
            <w:r>
              <w:t xml:space="preserve">; más </w:t>
            </w:r>
            <w:r>
              <w:rPr>
                <w:rStyle w:val="CodeChar"/>
              </w:rPr>
              <w:t xml:space="preserve">GET /resumen</w:t>
            </w:r>
            <w:r>
              <w:t xml:space="preserve">, que el diseño no incluye; y la máquina de estados de la solicitud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worker-pipeline</w:t>
            </w:r>
          </w:p>
        </w:tc>
        <w:tc>
          <w:tcPr>
            <w:tcW w:w="2164" w:type="dxa"/>
          </w:tcPr>
          <w:p>
            <w:pPr/>
            <w:r>
              <w:t xml:space="preserve">Calidad, especie, locus K, genes y proteínas de unión al receptor</w:t>
            </w:r>
          </w:p>
        </w:tc>
        <w:tc>
          <w:tcPr>
            <w:tcW w:w="4920" w:type="dxa"/>
          </w:tcPr>
          <w:p>
            <w:pPr/>
            <w:r>
              <w:t xml:space="preserve">Calidad, especie con Mash, locus K con Kaptive y genes con Prodigal; falta detectar las proteínas de unión al receptor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worker-prediction</w:t>
            </w:r>
          </w:p>
        </w:tc>
        <w:tc>
          <w:tcPr>
            <w:tcW w:w="2164" w:type="dxa"/>
          </w:tcPr>
          <w:p>
            <w:pPr/>
            <w:r>
              <w:t xml:space="preserve">ESM-2, XGBoost y SHAP</w:t>
            </w:r>
          </w:p>
        </w:tc>
        <w:tc>
          <w:tcPr>
            <w:tcW w:w="4920" w:type="dxa"/>
          </w:tcPr>
          <w:p>
            <w:pPr/>
            <w:r>
              <w:t xml:space="preserve">No iniciado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web</w:t>
            </w:r>
            <w:r>
              <w:t xml:space="preserve"> y </w:t>
            </w:r>
            <w:r>
              <w:rPr>
                <w:rStyle w:val="CodeChar"/>
              </w:rPr>
              <w:t xml:space="preserve">movil</w:t>
            </w:r>
          </w:p>
        </w:tc>
        <w:tc>
          <w:tcPr>
            <w:tcW w:w="2164" w:type="dxa"/>
          </w:tcPr>
          <w:p>
            <w:pPr/>
            <w:r>
              <w:t xml:space="preserve">Interfaces por rol</w:t>
            </w:r>
          </w:p>
        </w:tc>
        <w:tc>
          <w:tcPr>
            <w:tcW w:w="4920" w:type="dxa"/>
          </w:tcPr>
          <w:p>
            <w:pPr/>
            <w:r>
              <w:rPr>
                <w:rStyle w:val="CodeChar"/>
              </w:rPr>
              <w:t xml:space="preserve">web</w:t>
            </w:r>
            <w:r>
              <w:t xml:space="preserve">: versión mínima en HTML y JavaScript servida por la API, en la carpeta </w:t>
            </w:r>
            <w:r>
              <w:rPr>
                <w:rStyle w:val="CodeChar"/>
              </w:rPr>
              <w:t xml:space="preserve">frontend/</w:t>
            </w:r>
            <w:r>
              <w:t xml:space="preserve"> (el diseño prevé Next.js); </w:t>
            </w:r>
            <w:r>
              <w:rPr>
                <w:rStyle w:val="CodeChar"/>
              </w:rPr>
              <w:t xml:space="preserve">movil</w:t>
            </w:r>
            <w:r>
              <w:t xml:space="preserve">: no iniciado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postgres</w:t>
            </w:r>
          </w:p>
        </w:tc>
        <w:tc>
          <w:tcPr>
            <w:tcW w:w="2164" w:type="dxa"/>
          </w:tcPr>
          <w:p>
            <w:pPr/>
            <w:r>
              <w:t xml:space="preserve">24 tablas</w:t>
            </w:r>
          </w:p>
        </w:tc>
        <w:tc>
          <w:tcPr>
            <w:tcW w:w="4920" w:type="dxa"/>
          </w:tcPr>
          <w:p>
            <w:pPr/>
            <w:r>
              <w:t xml:space="preserve">12 tablas migradas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mongo</w:t>
            </w:r>
          </w:p>
        </w:tc>
        <w:tc>
          <w:tcPr>
            <w:tcW w:w="2164" w:type="dxa"/>
          </w:tcPr>
          <w:p>
            <w:pPr/>
            <w:r>
              <w:t xml:space="preserve">4 colecciones</w:t>
            </w:r>
          </w:p>
        </w:tc>
        <w:tc>
          <w:tcPr>
            <w:tcW w:w="4920" w:type="dxa"/>
          </w:tcPr>
          <w:p>
            <w:pPr/>
            <w:r>
              <w:t xml:space="preserve">1 colección: </w:t>
            </w:r>
            <w:r>
              <w:rPr>
                <w:rStyle w:val="CodeChar"/>
              </w:rPr>
              <w:t xml:space="preserve">analisis_genomico</w:t>
            </w:r>
          </w:p>
        </w:tc>
      </w:tr>
      <w:tr>
        <w:tc>
          <w:tcPr>
            <w:tcW w:w="2276" w:type="dxa"/>
          </w:tcPr>
          <w:p>
            <w:pPr/>
            <w:r>
              <w:t xml:space="preserve">Pruebas</w:t>
            </w:r>
          </w:p>
        </w:tc>
        <w:tc>
          <w:tcPr>
            <w:tcW w:w="2164" w:type="dxa"/>
          </w:tcPr>
          <w:p>
            <w:pPr/>
            <w:r>
              <w:t xml:space="preserve">60 casos definidos</w:t>
            </w:r>
          </w:p>
        </w:tc>
        <w:tc>
          <w:tcPr>
            <w:tcW w:w="4920" w:type="dxa"/>
          </w:tcPr>
          <w:p>
            <w:pPr/>
            <w:r>
              <w:t xml:space="preserve">102 pruebas automatizadas (78 del pipeline y la base de datos, y 24 de la API)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Documento de Diseño SIRFA</dc:title>
  <dc:description>Claude Docs node/27470730-8f57@33 docx-w7</dc:description>
  <cp:revision>33</cp:revision>
</cp:coreProperties>
</file>