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Técnico Ejecutivo - Evaluación Final Transversal</w:t>
      </w:r>
    </w:p>
    <w:p>
      <w:pPr>
        <w:jc w:val="center"/>
      </w:pPr>
      <w:r>
        <w:rPr>
          <w:sz w:val="22"/>
        </w:rPr>
        <w:t>Netflix User Behavior - Churn Analytics + Machine Learning</w:t>
      </w:r>
    </w:p>
    <w:p>
      <w:pPr>
        <w:jc w:val="center"/>
      </w:pPr>
      <w:r>
        <w:rPr>
          <w:sz w:val="22"/>
        </w:rPr>
        <w:t>SCY1101 Programación para la Ciencia de Datos</w:t>
      </w:r>
    </w:p>
    <w:p/>
    <w:p>
      <w:r>
        <w:rPr>
          <w:b/>
        </w:rPr>
        <w:t xml:space="preserve">Integrantes: </w:t>
      </w:r>
      <w:r>
        <w:t>Johann Carrasco, Pablo Daza y Ricardo Ruiz.</w:t>
      </w:r>
    </w:p>
    <w:p>
      <w:r>
        <w:rPr>
          <w:b/>
        </w:rPr>
        <w:t xml:space="preserve">Versión del proyecto: </w:t>
      </w:r>
      <w:r>
        <w:t>EFT con ETL, API, dashboard, Machine Learning, Docker y CI/CD.</w:t>
      </w:r>
    </w:p>
    <w:p>
      <w:pPr>
        <w:pStyle w:val="Heading1"/>
      </w:pPr>
      <w:r>
        <w:t>1. Executive summary</w:t>
      </w:r>
    </w:p>
    <w:p>
      <w:r>
        <w:t>El proyecto consolida la solución end-to-end desarrollada en la Evaluación 3 y la eleva con una capa de Machine Learning. El problema de negocio es identificar patrones asociados al abandono de usuarios de Netflix (churn) y entregar información accionable para decisiones de retención. La solución integra múltiples fuentes de datos, ejecuta un pipeline ETL, almacena datos procesados en SQLite, entrena modelos predictivos, expone resultados mediante API REST y presenta KPIs en un dashboard interactivo.</w:t>
      </w:r>
    </w:p>
    <w:p>
      <w:pPr>
        <w:pStyle w:val="Heading1"/>
      </w:pPr>
      <w:r>
        <w:t>2. KPIs principales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Indicador</w:t>
            </w:r>
          </w:p>
        </w:tc>
        <w:tc>
          <w:tcPr>
            <w:tcW w:type="dxa" w:w="4968"/>
            <w:shd w:fill="D9EAF7"/>
            <w:vAlign w:val="center"/>
          </w:tcPr>
          <w:p>
            <w:r>
              <w:t>Valor</w:t>
            </w:r>
          </w:p>
        </w:tc>
      </w:tr>
      <w:tr>
        <w:tc>
          <w:tcPr>
            <w:tcW w:type="dxa" w:w="4968"/>
          </w:tcPr>
          <w:p>
            <w:r>
              <w:t>Usuarios totales</w:t>
            </w:r>
          </w:p>
        </w:tc>
        <w:tc>
          <w:tcPr>
            <w:tcW w:type="dxa" w:w="4968"/>
          </w:tcPr>
          <w:p>
            <w:r>
              <w:t>50000</w:t>
            </w:r>
          </w:p>
        </w:tc>
      </w:tr>
      <w:tr>
        <w:tc>
          <w:tcPr>
            <w:tcW w:type="dxa" w:w="4968"/>
          </w:tcPr>
          <w:p>
            <w:r>
              <w:t>Usuarios churn</w:t>
            </w:r>
          </w:p>
        </w:tc>
        <w:tc>
          <w:tcPr>
            <w:tcW w:type="dxa" w:w="4968"/>
          </w:tcPr>
          <w:p>
            <w:r>
              <w:t>9964</w:t>
            </w:r>
          </w:p>
        </w:tc>
      </w:tr>
      <w:tr>
        <w:tc>
          <w:tcPr>
            <w:tcW w:type="dxa" w:w="4968"/>
          </w:tcPr>
          <w:p>
            <w:r>
              <w:t>Usuarios no churn</w:t>
            </w:r>
          </w:p>
        </w:tc>
        <w:tc>
          <w:tcPr>
            <w:tcW w:type="dxa" w:w="4968"/>
          </w:tcPr>
          <w:p>
            <w:r>
              <w:t>40036</w:t>
            </w:r>
          </w:p>
        </w:tc>
      </w:tr>
      <w:tr>
        <w:tc>
          <w:tcPr>
            <w:tcW w:type="dxa" w:w="4968"/>
          </w:tcPr>
          <w:p>
            <w:r>
              <w:t>Churn rate</w:t>
            </w:r>
          </w:p>
        </w:tc>
        <w:tc>
          <w:tcPr>
            <w:tcW w:type="dxa" w:w="4968"/>
          </w:tcPr>
          <w:p>
            <w:r>
              <w:t>19.93%</w:t>
            </w:r>
          </w:p>
        </w:tc>
      </w:tr>
      <w:tr>
        <w:tc>
          <w:tcPr>
            <w:tcW w:type="dxa" w:w="4968"/>
          </w:tcPr>
          <w:p>
            <w:r>
              <w:t>Tiempo promedio de visualización</w:t>
            </w:r>
          </w:p>
        </w:tc>
        <w:tc>
          <w:tcPr>
            <w:tcW w:type="dxa" w:w="4968"/>
          </w:tcPr>
          <w:p>
            <w:r>
              <w:t>154.95 minutos</w:t>
            </w:r>
          </w:p>
        </w:tc>
      </w:tr>
      <w:tr>
        <w:tc>
          <w:tcPr>
            <w:tcW w:type="dxa" w:w="4968"/>
          </w:tcPr>
          <w:p>
            <w:r>
              <w:t>Ingreso activo estimado</w:t>
            </w:r>
          </w:p>
        </w:tc>
        <w:tc>
          <w:tcPr>
            <w:tcW w:type="dxa" w:w="4968"/>
          </w:tcPr>
          <w:p>
            <w:r>
              <w:t>US$ 493,787</w:t>
            </w:r>
          </w:p>
        </w:tc>
      </w:tr>
    </w:tbl>
    <w:p/>
    <w:p>
      <w:pPr>
        <w:pStyle w:val="Heading1"/>
      </w:pPr>
      <w:r>
        <w:t>3. Arquitectura técnica</w:t>
      </w:r>
    </w:p>
    <w:p>
      <w:r>
        <w:t>La arquitectura sigue el flujo: CSV principal + SQLite de referencia + reglas JSON/API -&gt; ETL -&gt; SQLite analítica -&gt; API, dashboard y modelos ML. Esta estructura evita trabajar directamente con el CSV en la visualización y permite que API y dashboard consuman datos procesados, validados y reproducibles.</w:t>
      </w:r>
    </w:p>
    <w:p>
      <w:r>
        <w:drawing>
          <wp:inline xmlns:a="http://schemas.openxmlformats.org/drawingml/2006/main" xmlns:pic="http://schemas.openxmlformats.org/drawingml/2006/picture">
            <wp:extent cx="5943600" cy="2435225"/>
            <wp:docPr id="1" name="Picture 1"/>
            <wp:cNvGraphicFramePr>
              <a:graphicFrameLocks noChangeAspect="1"/>
            </wp:cNvGraphicFramePr>
            <a:graphic>
              <a:graphicData uri="http://schemas.openxmlformats.org/drawingml/2006/picture">
                <pic:pic>
                  <pic:nvPicPr>
                    <pic:cNvPr id="0" name="architecture_eft.png"/>
                    <pic:cNvPicPr/>
                  </pic:nvPicPr>
                  <pic:blipFill>
                    <a:blip r:embed="rId9"/>
                    <a:stretch>
                      <a:fillRect/>
                    </a:stretch>
                  </pic:blipFill>
                  <pic:spPr>
                    <a:xfrm>
                      <a:off x="0" y="0"/>
                      <a:ext cx="5943600" cy="2435225"/>
                    </a:xfrm>
                    <a:prstGeom prst="rect"/>
                  </pic:spPr>
                </pic:pic>
              </a:graphicData>
            </a:graphic>
          </wp:inline>
        </w:drawing>
      </w:r>
    </w:p>
    <w:p>
      <w:pPr>
        <w:pStyle w:val="Heading1"/>
      </w:pPr>
      <w:r>
        <w:t>4. Pipeline ETL</w:t>
      </w:r>
    </w:p>
    <w:p>
      <w:r>
        <w:t>El pipeline se ejecuta desde etl/run_etl.py. Primero extrae el CSV principal, la base SQLite de referencia y las reglas de negocio en formato JSON/API. Luego valida columnas obligatorias, duplicados, nulos críticos y rangos numéricos. Después aplica transformaciones de negocio, crea variables como churned_binary, nivel_actividad, riesgo_login, engagement_score y churn_risk_segment. Finalmente carga el dataset limpio y las tablas agregadas en data/processed/netflix_analytics.db.</w:t>
      </w:r>
    </w:p>
    <w:p>
      <w:pPr>
        <w:pStyle w:val="Heading1"/>
      </w:pPr>
      <w:r>
        <w:t>5. Capa de Machine Learning</w:t>
      </w:r>
    </w:p>
    <w:p>
      <w:r>
        <w:t>La carpeta models/ incorpora el entrenamiento de modelos de clasificación, regresión y segmentación. Los modelos se implementan con Scikit-learn usando pipelines con preprocesamiento, imputación, escalado y codificación OneHotEncoder. Los artefactos se serializan como .pkl para ser utilizados por la API.</w:t>
      </w:r>
    </w:p>
    <w:p>
      <w:pPr>
        <w:pStyle w:val="Heading2"/>
      </w:pPr>
      <w:r>
        <w:t>5.1 Modelos de clasificación</w:t>
      </w:r>
    </w:p>
    <w:p>
      <w:r>
        <w:t>El objetivo de clasificación es predecir la variable churned_binary. Se comparan Regresión Logística, Árbol de Decisión, Random Forest y un Árbol de Decisión optimizado con RandomizedSearchCV. La métrica de mayor interés es F1-score porque equilibra precision y recall en un problema donde detectar usuarios churn es más relevante que solo maximizar accuracy.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r>
              <w:t>modelo</w:t>
            </w:r>
          </w:p>
        </w:tc>
        <w:tc>
          <w:tcPr>
            <w:tcW w:type="dxa" w:w="1656"/>
            <w:shd w:fill="D9EAF7"/>
            <w:vAlign w:val="center"/>
          </w:tcPr>
          <w:p>
            <w:r>
              <w:t>accuracy</w:t>
            </w:r>
          </w:p>
        </w:tc>
        <w:tc>
          <w:tcPr>
            <w:tcW w:type="dxa" w:w="1656"/>
            <w:shd w:fill="D9EAF7"/>
            <w:vAlign w:val="center"/>
          </w:tcPr>
          <w:p>
            <w:r>
              <w:t>precision</w:t>
            </w:r>
          </w:p>
        </w:tc>
        <w:tc>
          <w:tcPr>
            <w:tcW w:type="dxa" w:w="1656"/>
            <w:shd w:fill="D9EAF7"/>
            <w:vAlign w:val="center"/>
          </w:tcPr>
          <w:p>
            <w:r>
              <w:t>recall</w:t>
            </w:r>
          </w:p>
        </w:tc>
        <w:tc>
          <w:tcPr>
            <w:tcW w:type="dxa" w:w="1656"/>
            <w:shd w:fill="D9EAF7"/>
            <w:vAlign w:val="center"/>
          </w:tcPr>
          <w:p>
            <w:r>
              <w:t>f1_score</w:t>
            </w:r>
          </w:p>
        </w:tc>
        <w:tc>
          <w:tcPr>
            <w:tcW w:type="dxa" w:w="1656"/>
            <w:shd w:fill="D9EAF7"/>
            <w:vAlign w:val="center"/>
          </w:tcPr>
          <w:p>
            <w:r>
              <w:t>roc_auc</w:t>
            </w:r>
          </w:p>
        </w:tc>
      </w:tr>
      <w:tr>
        <w:tc>
          <w:tcPr>
            <w:tcW w:type="dxa" w:w="1656"/>
          </w:tcPr>
          <w:p>
            <w:r>
              <w:t>Árbol de decisión</w:t>
            </w:r>
          </w:p>
        </w:tc>
        <w:tc>
          <w:tcPr>
            <w:tcW w:type="dxa" w:w="1656"/>
          </w:tcPr>
          <w:p>
            <w:r>
              <w:t>0.5010</w:t>
            </w:r>
          </w:p>
        </w:tc>
        <w:tc>
          <w:tcPr>
            <w:tcW w:type="dxa" w:w="1656"/>
          </w:tcPr>
          <w:p>
            <w:r>
              <w:t>0.2180</w:t>
            </w:r>
          </w:p>
        </w:tc>
        <w:tc>
          <w:tcPr>
            <w:tcW w:type="dxa" w:w="1656"/>
          </w:tcPr>
          <w:p>
            <w:r>
              <w:t>0.5829</w:t>
            </w:r>
          </w:p>
        </w:tc>
        <w:tc>
          <w:tcPr>
            <w:tcW w:type="dxa" w:w="1656"/>
          </w:tcPr>
          <w:p>
            <w:r>
              <w:t>0.3174</w:t>
            </w:r>
          </w:p>
        </w:tc>
        <w:tc>
          <w:tcPr>
            <w:tcW w:type="dxa" w:w="1656"/>
          </w:tcPr>
          <w:p>
            <w:r>
              <w:t>0.5366</w:t>
            </w:r>
          </w:p>
        </w:tc>
      </w:tr>
      <w:tr>
        <w:tc>
          <w:tcPr>
            <w:tcW w:type="dxa" w:w="1656"/>
          </w:tcPr>
          <w:p>
            <w:r>
              <w:t>Árbol de decisión optimizado</w:t>
            </w:r>
          </w:p>
        </w:tc>
        <w:tc>
          <w:tcPr>
            <w:tcW w:type="dxa" w:w="1656"/>
          </w:tcPr>
          <w:p>
            <w:r>
              <w:t>0.4830</w:t>
            </w:r>
          </w:p>
        </w:tc>
        <w:tc>
          <w:tcPr>
            <w:tcW w:type="dxa" w:w="1656"/>
          </w:tcPr>
          <w:p>
            <w:r>
              <w:t>0.2120</w:t>
            </w:r>
          </w:p>
        </w:tc>
        <w:tc>
          <w:tcPr>
            <w:tcW w:type="dxa" w:w="1656"/>
          </w:tcPr>
          <w:p>
            <w:r>
              <w:t>0.5879</w:t>
            </w:r>
          </w:p>
        </w:tc>
        <w:tc>
          <w:tcPr>
            <w:tcW w:type="dxa" w:w="1656"/>
          </w:tcPr>
          <w:p>
            <w:r>
              <w:t>0.3116</w:t>
            </w:r>
          </w:p>
        </w:tc>
        <w:tc>
          <w:tcPr>
            <w:tcW w:type="dxa" w:w="1656"/>
          </w:tcPr>
          <w:p>
            <w:r>
              <w:t>0.5264</w:t>
            </w:r>
          </w:p>
        </w:tc>
      </w:tr>
      <w:tr>
        <w:tc>
          <w:tcPr>
            <w:tcW w:type="dxa" w:w="1656"/>
          </w:tcPr>
          <w:p>
            <w:r>
              <w:t>Regresión logística</w:t>
            </w:r>
          </w:p>
        </w:tc>
        <w:tc>
          <w:tcPr>
            <w:tcW w:type="dxa" w:w="1656"/>
          </w:tcPr>
          <w:p>
            <w:r>
              <w:t>0.5480</w:t>
            </w:r>
          </w:p>
        </w:tc>
        <w:tc>
          <w:tcPr>
            <w:tcW w:type="dxa" w:w="1656"/>
          </w:tcPr>
          <w:p>
            <w:r>
              <w:t>0.2220</w:t>
            </w:r>
          </w:p>
        </w:tc>
        <w:tc>
          <w:tcPr>
            <w:tcW w:type="dxa" w:w="1656"/>
          </w:tcPr>
          <w:p>
            <w:r>
              <w:t>0.5075</w:t>
            </w:r>
          </w:p>
        </w:tc>
        <w:tc>
          <w:tcPr>
            <w:tcW w:type="dxa" w:w="1656"/>
          </w:tcPr>
          <w:p>
            <w:r>
              <w:t>0.3089</w:t>
            </w:r>
          </w:p>
        </w:tc>
        <w:tc>
          <w:tcPr>
            <w:tcW w:type="dxa" w:w="1656"/>
          </w:tcPr>
          <w:p>
            <w:r>
              <w:t>0.5375</w:t>
            </w:r>
          </w:p>
        </w:tc>
      </w:tr>
      <w:tr>
        <w:tc>
          <w:tcPr>
            <w:tcW w:type="dxa" w:w="1656"/>
          </w:tcPr>
          <w:p>
            <w:r>
              <w:t>Random Forest</w:t>
            </w:r>
          </w:p>
        </w:tc>
        <w:tc>
          <w:tcPr>
            <w:tcW w:type="dxa" w:w="1656"/>
          </w:tcPr>
          <w:p>
            <w:r>
              <w:t>0.7310</w:t>
            </w:r>
          </w:p>
        </w:tc>
        <w:tc>
          <w:tcPr>
            <w:tcW w:type="dxa" w:w="1656"/>
          </w:tcPr>
          <w:p>
            <w:r>
              <w:t>0.2222</w:t>
            </w:r>
          </w:p>
        </w:tc>
        <w:tc>
          <w:tcPr>
            <w:tcW w:type="dxa" w:w="1656"/>
          </w:tcPr>
          <w:p>
            <w:r>
              <w:t>0.1407</w:t>
            </w:r>
          </w:p>
        </w:tc>
        <w:tc>
          <w:tcPr>
            <w:tcW w:type="dxa" w:w="1656"/>
          </w:tcPr>
          <w:p>
            <w:r>
              <w:t>0.1723</w:t>
            </w:r>
          </w:p>
        </w:tc>
        <w:tc>
          <w:tcPr>
            <w:tcW w:type="dxa" w:w="1656"/>
          </w:tcPr>
          <w:p>
            <w:r>
              <w:t>0.5049</w:t>
            </w:r>
          </w:p>
        </w:tc>
      </w:tr>
    </w:tbl>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classification_metrics.png"/>
                    <pic:cNvPicPr/>
                  </pic:nvPicPr>
                  <pic:blipFill>
                    <a:blip r:embed="rId10"/>
                    <a:stretch>
                      <a:fillRect/>
                    </a:stretch>
                  </pic:blipFill>
                  <pic:spPr>
                    <a:xfrm>
                      <a:off x="0" y="0"/>
                      <a:ext cx="5669280" cy="2834640"/>
                    </a:xfrm>
                    <a:prstGeom prst="rect"/>
                  </pic:spPr>
                </pic:pic>
              </a:graphicData>
            </a:graphic>
          </wp:inline>
        </w:drawing>
      </w:r>
    </w:p>
    <w:p>
      <w:r>
        <w:drawing>
          <wp:inline xmlns:a="http://schemas.openxmlformats.org/drawingml/2006/main" xmlns:pic="http://schemas.openxmlformats.org/drawingml/2006/picture">
            <wp:extent cx="4389120" cy="3511296"/>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389120" cy="3511296"/>
                    </a:xfrm>
                    <a:prstGeom prst="rect"/>
                  </pic:spPr>
                </pic:pic>
              </a:graphicData>
            </a:graphic>
          </wp:inline>
        </w:drawing>
      </w:r>
    </w:p>
    <w:p>
      <w:pPr>
        <w:pStyle w:val="Heading2"/>
      </w:pPr>
      <w:r>
        <w:t>5.2 Modelos de regresión</w:t>
      </w:r>
    </w:p>
    <w:p>
      <w:r>
        <w:t>El objetivo de regresión es estimar avg_watch_time_minutes. Se comparan Regresión Lineal y Random Forest Regressor. Las métricas utilizadas son MAE, RMSE y R2. Estas métricas permiten evaluar error promedio, penalización de errores grandes y capacidad explicativa del modelo.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t>modelo</w:t>
            </w:r>
          </w:p>
        </w:tc>
        <w:tc>
          <w:tcPr>
            <w:tcW w:type="dxa" w:w="2484"/>
            <w:shd w:fill="D9EAF7"/>
            <w:vAlign w:val="center"/>
          </w:tcPr>
          <w:p>
            <w:r>
              <w:t>mae</w:t>
            </w:r>
          </w:p>
        </w:tc>
        <w:tc>
          <w:tcPr>
            <w:tcW w:type="dxa" w:w="2484"/>
            <w:shd w:fill="D9EAF7"/>
            <w:vAlign w:val="center"/>
          </w:tcPr>
          <w:p>
            <w:r>
              <w:t>rmse</w:t>
            </w:r>
          </w:p>
        </w:tc>
        <w:tc>
          <w:tcPr>
            <w:tcW w:type="dxa" w:w="2484"/>
            <w:shd w:fill="D9EAF7"/>
            <w:vAlign w:val="center"/>
          </w:tcPr>
          <w:p>
            <w:r>
              <w:t>r2</w:t>
            </w:r>
          </w:p>
        </w:tc>
      </w:tr>
      <w:tr>
        <w:tc>
          <w:tcPr>
            <w:tcW w:type="dxa" w:w="2484"/>
          </w:tcPr>
          <w:p>
            <w:r>
              <w:t>Regresión lineal</w:t>
            </w:r>
          </w:p>
        </w:tc>
        <w:tc>
          <w:tcPr>
            <w:tcW w:type="dxa" w:w="2484"/>
          </w:tcPr>
          <w:p>
            <w:r>
              <w:t>71.4599</w:t>
            </w:r>
          </w:p>
        </w:tc>
        <w:tc>
          <w:tcPr>
            <w:tcW w:type="dxa" w:w="2484"/>
          </w:tcPr>
          <w:p>
            <w:r>
              <w:t>82.8812</w:t>
            </w:r>
          </w:p>
        </w:tc>
        <w:tc>
          <w:tcPr>
            <w:tcW w:type="dxa" w:w="2484"/>
          </w:tcPr>
          <w:p>
            <w:r>
              <w:t>-0.0185</w:t>
            </w:r>
          </w:p>
        </w:tc>
      </w:tr>
      <w:tr>
        <w:tc>
          <w:tcPr>
            <w:tcW w:type="dxa" w:w="2484"/>
          </w:tcPr>
          <w:p>
            <w:r>
              <w:t>Random Forest Regressor</w:t>
            </w:r>
          </w:p>
        </w:tc>
        <w:tc>
          <w:tcPr>
            <w:tcW w:type="dxa" w:w="2484"/>
          </w:tcPr>
          <w:p>
            <w:r>
              <w:t>71.4384</w:t>
            </w:r>
          </w:p>
        </w:tc>
        <w:tc>
          <w:tcPr>
            <w:tcW w:type="dxa" w:w="2484"/>
          </w:tcPr>
          <w:p>
            <w:r>
              <w:t>82.9429</w:t>
            </w:r>
          </w:p>
        </w:tc>
        <w:tc>
          <w:tcPr>
            <w:tcW w:type="dxa" w:w="2484"/>
          </w:tcPr>
          <w:p>
            <w:r>
              <w:t>-0.0200</w:t>
            </w:r>
          </w:p>
        </w:tc>
      </w:tr>
    </w:tbl>
    <w:p/>
    <w:p>
      <w:r>
        <w:drawing>
          <wp:inline xmlns:a="http://schemas.openxmlformats.org/drawingml/2006/main" xmlns:pic="http://schemas.openxmlformats.org/drawingml/2006/picture">
            <wp:extent cx="5120640" cy="2926080"/>
            <wp:docPr id="4" name="Picture 4"/>
            <wp:cNvGraphicFramePr>
              <a:graphicFrameLocks noChangeAspect="1"/>
            </wp:cNvGraphicFramePr>
            <a:graphic>
              <a:graphicData uri="http://schemas.openxmlformats.org/drawingml/2006/picture">
                <pic:pic>
                  <pic:nvPicPr>
                    <pic:cNvPr id="0" name="regression_rmse.png"/>
                    <pic:cNvPicPr/>
                  </pic:nvPicPr>
                  <pic:blipFill>
                    <a:blip r:embed="rId12"/>
                    <a:stretch>
                      <a:fillRect/>
                    </a:stretch>
                  </pic:blipFill>
                  <pic:spPr>
                    <a:xfrm>
                      <a:off x="0" y="0"/>
                      <a:ext cx="5120640" cy="2926080"/>
                    </a:xfrm>
                    <a:prstGeom prst="rect"/>
                  </pic:spPr>
                </pic:pic>
              </a:graphicData>
            </a:graphic>
          </wp:inline>
        </w:drawing>
      </w:r>
    </w:p>
    <w:p>
      <w:pPr>
        <w:pStyle w:val="Heading2"/>
      </w:pPr>
      <w:r>
        <w:t>5.3 Segmentación no supervisada</w:t>
      </w:r>
    </w:p>
    <w:p>
      <w:r>
        <w:t>Además, se aplica KMeans para segmentar usuarios según actividad, engagement, días desde último login y valor de suscripción. El objetivo es generar grupos operativos que faciliten priorizar campañas de retención y análisis de comportamiento.</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r>
              <w:t>cluster_ml</w:t>
            </w:r>
          </w:p>
        </w:tc>
        <w:tc>
          <w:tcPr>
            <w:tcW w:type="dxa" w:w="1656"/>
            <w:shd w:fill="D9EAF7"/>
            <w:vAlign w:val="center"/>
          </w:tcPr>
          <w:p>
            <w:r>
              <w:t>usuarios</w:t>
            </w:r>
          </w:p>
        </w:tc>
        <w:tc>
          <w:tcPr>
            <w:tcW w:type="dxa" w:w="1656"/>
            <w:shd w:fill="D9EAF7"/>
            <w:vAlign w:val="center"/>
          </w:tcPr>
          <w:p>
            <w:r>
              <w:t>churn_rate</w:t>
            </w:r>
          </w:p>
        </w:tc>
        <w:tc>
          <w:tcPr>
            <w:tcW w:type="dxa" w:w="1656"/>
            <w:shd w:fill="D9EAF7"/>
            <w:vAlign w:val="center"/>
          </w:tcPr>
          <w:p>
            <w:r>
              <w:t>avg_engagement</w:t>
            </w:r>
          </w:p>
        </w:tc>
        <w:tc>
          <w:tcPr>
            <w:tcW w:type="dxa" w:w="1656"/>
            <w:shd w:fill="D9EAF7"/>
            <w:vAlign w:val="center"/>
          </w:tcPr>
          <w:p>
            <w:r>
              <w:t>avg_watch_time</w:t>
            </w:r>
          </w:p>
        </w:tc>
        <w:tc>
          <w:tcPr>
            <w:tcW w:type="dxa" w:w="1656"/>
            <w:shd w:fill="D9EAF7"/>
            <w:vAlign w:val="center"/>
          </w:tcPr>
          <w:p>
            <w:r>
              <w:t>avg_days_since_login</w:t>
            </w:r>
          </w:p>
        </w:tc>
      </w:tr>
      <w:tr>
        <w:tc>
          <w:tcPr>
            <w:tcW w:type="dxa" w:w="1656"/>
          </w:tcPr>
          <w:p>
            <w:r>
              <w:t>0.0000</w:t>
            </w:r>
          </w:p>
        </w:tc>
        <w:tc>
          <w:tcPr>
            <w:tcW w:type="dxa" w:w="1656"/>
          </w:tcPr>
          <w:p>
            <w:r>
              <w:t>1961.0000</w:t>
            </w:r>
          </w:p>
        </w:tc>
        <w:tc>
          <w:tcPr>
            <w:tcW w:type="dxa" w:w="1656"/>
          </w:tcPr>
          <w:p>
            <w:r>
              <w:t>0.1938</w:t>
            </w:r>
          </w:p>
        </w:tc>
        <w:tc>
          <w:tcPr>
            <w:tcW w:type="dxa" w:w="1656"/>
          </w:tcPr>
          <w:p>
            <w:r>
              <w:t>0.5994</w:t>
            </w:r>
          </w:p>
        </w:tc>
        <w:tc>
          <w:tcPr>
            <w:tcW w:type="dxa" w:w="1656"/>
          </w:tcPr>
          <w:p>
            <w:r>
              <w:t>155.8440</w:t>
            </w:r>
          </w:p>
        </w:tc>
        <w:tc>
          <w:tcPr>
            <w:tcW w:type="dxa" w:w="1656"/>
          </w:tcPr>
          <w:p>
            <w:r>
              <w:t>29.2030</w:t>
            </w:r>
          </w:p>
        </w:tc>
      </w:tr>
      <w:tr>
        <w:tc>
          <w:tcPr>
            <w:tcW w:type="dxa" w:w="1656"/>
          </w:tcPr>
          <w:p>
            <w:r>
              <w:t>1.0000</w:t>
            </w:r>
          </w:p>
        </w:tc>
        <w:tc>
          <w:tcPr>
            <w:tcW w:type="dxa" w:w="1656"/>
          </w:tcPr>
          <w:p>
            <w:r>
              <w:t>1831.0000</w:t>
            </w:r>
          </w:p>
        </w:tc>
        <w:tc>
          <w:tcPr>
            <w:tcW w:type="dxa" w:w="1656"/>
          </w:tcPr>
          <w:p>
            <w:r>
              <w:t>0.2054</w:t>
            </w:r>
          </w:p>
        </w:tc>
        <w:tc>
          <w:tcPr>
            <w:tcW w:type="dxa" w:w="1656"/>
          </w:tcPr>
          <w:p>
            <w:r>
              <w:t>0.3505</w:t>
            </w:r>
          </w:p>
        </w:tc>
        <w:tc>
          <w:tcPr>
            <w:tcW w:type="dxa" w:w="1656"/>
          </w:tcPr>
          <w:p>
            <w:r>
              <w:t>155.1316</w:t>
            </w:r>
          </w:p>
        </w:tc>
        <w:tc>
          <w:tcPr>
            <w:tcW w:type="dxa" w:w="1656"/>
          </w:tcPr>
          <w:p>
            <w:r>
              <w:t>28.8050</w:t>
            </w:r>
          </w:p>
        </w:tc>
      </w:tr>
      <w:tr>
        <w:tc>
          <w:tcPr>
            <w:tcW w:type="dxa" w:w="1656"/>
          </w:tcPr>
          <w:p>
            <w:r>
              <w:t>2.0000</w:t>
            </w:r>
          </w:p>
        </w:tc>
        <w:tc>
          <w:tcPr>
            <w:tcW w:type="dxa" w:w="1656"/>
          </w:tcPr>
          <w:p>
            <w:r>
              <w:t>1208.0000</w:t>
            </w:r>
          </w:p>
        </w:tc>
        <w:tc>
          <w:tcPr>
            <w:tcW w:type="dxa" w:w="1656"/>
          </w:tcPr>
          <w:p>
            <w:r>
              <w:t>0.1987</w:t>
            </w:r>
          </w:p>
        </w:tc>
        <w:tc>
          <w:tcPr>
            <w:tcW w:type="dxa" w:w="1656"/>
          </w:tcPr>
          <w:p>
            <w:r>
              <w:t>0.5712</w:t>
            </w:r>
          </w:p>
        </w:tc>
        <w:tc>
          <w:tcPr>
            <w:tcW w:type="dxa" w:w="1656"/>
          </w:tcPr>
          <w:p>
            <w:r>
              <w:t>155.4702</w:t>
            </w:r>
          </w:p>
        </w:tc>
        <w:tc>
          <w:tcPr>
            <w:tcW w:type="dxa" w:w="1656"/>
          </w:tcPr>
          <w:p>
            <w:r>
              <w:t>30.5240</w:t>
            </w:r>
          </w:p>
        </w:tc>
      </w:tr>
    </w:tbl>
    <w:p/>
    <w:p>
      <w:r>
        <w:drawing>
          <wp:inline xmlns:a="http://schemas.openxmlformats.org/drawingml/2006/main" xmlns:pic="http://schemas.openxmlformats.org/drawingml/2006/picture">
            <wp:extent cx="5120640" cy="2926080"/>
            <wp:docPr id="5" name="Picture 5"/>
            <wp:cNvGraphicFramePr>
              <a:graphicFrameLocks noChangeAspect="1"/>
            </wp:cNvGraphicFramePr>
            <a:graphic>
              <a:graphicData uri="http://schemas.openxmlformats.org/drawingml/2006/picture">
                <pic:pic>
                  <pic:nvPicPr>
                    <pic:cNvPr id="0" name="cluster_churn.png"/>
                    <pic:cNvPicPr/>
                  </pic:nvPicPr>
                  <pic:blipFill>
                    <a:blip r:embed="rId13"/>
                    <a:stretch>
                      <a:fillRect/>
                    </a:stretch>
                  </pic:blipFill>
                  <pic:spPr>
                    <a:xfrm>
                      <a:off x="0" y="0"/>
                      <a:ext cx="5120640" cy="2926080"/>
                    </a:xfrm>
                    <a:prstGeom prst="rect"/>
                  </pic:spPr>
                </pic:pic>
              </a:graphicData>
            </a:graphic>
          </wp:inline>
        </w:drawing>
      </w:r>
    </w:p>
    <w:p>
      <w:pPr>
        <w:pStyle w:val="Heading1"/>
      </w:pPr>
      <w:r>
        <w:t>6. API REST</w:t>
      </w:r>
    </w:p>
    <w:p>
      <w:r>
        <w:t>La API está implementada con FastAPI en api/main.py. En la versión EFT se agregan endpoints para consultar métricas de modelos y realizar predicciones por usuario. Los endpoints más importantes son /health, /summary, /model-metrics, /confusion-matrix, /predict-churn/{user_id} y /predict-watch-time/{user_id}.</w:t>
      </w:r>
    </w:p>
    <w:p>
      <w:pPr>
        <w:pStyle w:val="Heading1"/>
      </w:pPr>
      <w:r>
        <w:t>7. Dashboard interactivo</w:t>
      </w:r>
    </w:p>
    <w:p>
      <w:r>
        <w:t>El dashboard está implementado con Streamlit en dashboards/app.py. Mantiene las vistas ejecutiva, técnica y operativa, y agrega una pestaña de Modelos ML. Esta pestaña permite revisar comparación de métricas, matriz de confusión, resultados de regresión y clusters de usuarios.</w:t>
      </w:r>
    </w:p>
    <w:p>
      <w:pPr>
        <w:pStyle w:val="Heading1"/>
      </w:pPr>
      <w:r>
        <w:t>8. Docker y CI/CD</w:t>
      </w:r>
    </w:p>
    <w:p>
      <w:r>
        <w:t>El proyecto mantiene Dockerfiles y docker-compose.yml para levantar API, ETL, entrenamiento ML y dashboard de forma reproducible. Además, se incorpora un workflow de GitHub Actions en .github/workflows/python-ci.yml que instala dependencias, ejecuta ETL, entrena modelos y corre pruebas automáticas con pytest.</w:t>
      </w:r>
    </w:p>
    <w:p>
      <w:pPr>
        <w:pStyle w:val="Heading1"/>
      </w:pPr>
      <w:r>
        <w:t>9. Pruebas y reproducibilidad</w:t>
      </w:r>
    </w:p>
    <w:p>
      <w:r>
        <w:t>La carpeta tests/ contiene pruebas básicas para validar componentes clave del ETL y la API. El flujo recomendado para reproducir el sistema es: instalar dependencias, ejecutar ETL, entrenar modelos, levantar API y abrir dashboard.</w:t>
      </w:r>
    </w:p>
    <w:p>
      <w:pPr>
        <w:pStyle w:val="Heading1"/>
      </w:pPr>
      <w:r>
        <w:t>10. Valor de negocio</w:t>
      </w:r>
    </w:p>
    <w:p>
      <w:r>
        <w:t>El valor principal del proyecto es convertir datos de comportamiento en información útil para retención. La combinación de dashboard, segmentación y predicción permite identificar usuarios con mayor riesgo, priorizar campañas y monitorear indicadores como churn rate, engagement y tiempo de visualización.</w:t>
      </w:r>
    </w:p>
    <w:p>
      <w:pPr>
        <w:pStyle w:val="Heading1"/>
      </w:pPr>
      <w:r>
        <w:t>11. Comandos principales</w:t>
      </w:r>
    </w:p>
    <w:p>
      <w:r>
        <w:rPr>
          <w:rFonts w:ascii="Courier New" w:hAnsi="Courier New"/>
          <w:sz w:val="18"/>
        </w:rPr>
        <w:t>python -m pip install -r requirements.txt</w:t>
        <w:br/>
        <w:t>python etl/run_etl.py</w:t>
        <w:br/>
        <w:t>python models/train_models.py</w:t>
        <w:br/>
        <w:t>python -m uvicorn api.main:app --reload</w:t>
        <w:br/>
        <w:t>python -m streamlit run dashboards/app.py</w:t>
        <w:br/>
        <w:t>pytest -q</w:t>
        <w:br/>
        <w:t>docker compose up --build</w:t>
      </w:r>
    </w:p>
    <w:p>
      <w:pPr>
        <w:pStyle w:val="Heading1"/>
      </w:pPr>
      <w:r>
        <w:t>12. Conclusión</w:t>
      </w:r>
    </w:p>
    <w:p>
      <w:r>
        <w:t>La solución final cumple con un enfoque profesional de ciencia de datos: integra fuentes, valida y transforma datos, entrena modelos predictivos, expone resultados por API, visualiza KPIs en dashboard, incorpora Docker y evidencia CI/CD. El proyecto queda preparado para ser defendido desde una perspectiva técnica y de negocio.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