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Cobertura de testing</w:t>
      </w:r>
    </w:p>
    <w:p>
      <w:pPr>
        <w:pStyle w:val="Subtitle"/>
      </w:pPr>
      <w:r>
        <w:t>Evaluación Parcial 2 · Forma B · Tienda Sonido Vivo</w:t>
      </w:r>
    </w:p>
    <w:p>
      <w:pPr>
        <w:pStyle w:val="Subtitle"/>
      </w:pPr>
      <w:r>
        <w:t>ESTADO: RESULTADOS VERIFICADOS — DOCUMENTO PENDIENTE DE IDENTIFICACIÓN Y REVISIÓN FINAL</w:t>
      </w:r>
    </w:p>
    <w:p>
      <w:r>
        <w:t>Este documento mantiene las siete secciones de la plantilla EP2 e incorpora los resultados reales obtenidos en el equipo del estudiante con npm run test:coverage y npm run report:coverage, según las capturas proporcionadas. Permanecen pendientes los datos del grupo, GitHub y la verificación final de la entrega.</w:t>
      </w:r>
    </w:p>
    <w:p>
      <w:pPr>
        <w:pStyle w:val="Heading1"/>
      </w:pPr>
      <w:r>
        <w:t>1. Identificación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shd w:fill="1D3854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026"/>
            <w:shd w:fill="1D3854"/>
          </w:tcPr>
          <w:p>
            <w:r>
              <w:rPr>
                <w:b/>
                <w:color w:val="FFFFFF"/>
                <w:sz w:val="17"/>
              </w:rPr>
              <w:t>Información</w:t>
            </w:r>
          </w:p>
        </w:tc>
      </w:tr>
      <w:tr>
        <w:tc>
          <w:tcPr>
            <w:tcW w:type="dxa" w:w="5026"/>
            <w:vAlign w:val="center"/>
          </w:tcPr>
          <w:p>
            <w:pPr>
              <w:spacing w:after="20"/>
            </w:pPr>
            <w:r>
              <w:rPr>
                <w:sz w:val="16"/>
              </w:rPr>
              <w:t>Sección</w:t>
            </w:r>
          </w:p>
        </w:tc>
        <w:tc>
          <w:tcPr>
            <w:tcW w:type="dxa" w:w="5026"/>
            <w:vAlign w:val="center"/>
          </w:tcPr>
          <w:p>
            <w:pPr>
              <w:spacing w:after="20"/>
            </w:pPr>
            <w:r>
              <w:rPr>
                <w:sz w:val="16"/>
              </w:rPr>
              <w:t>PENDIENTE de completar por el grupo</w:t>
            </w:r>
          </w:p>
        </w:tc>
      </w:tr>
      <w:tr>
        <w:tc>
          <w:tcPr>
            <w:tcW w:type="dxa" w:w="5026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Grupo</w:t>
            </w:r>
          </w:p>
        </w:tc>
        <w:tc>
          <w:tcPr>
            <w:tcW w:type="dxa" w:w="5026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PENDIENTE de completar</w:t>
            </w:r>
          </w:p>
        </w:tc>
      </w:tr>
      <w:tr>
        <w:tc>
          <w:tcPr>
            <w:tcW w:type="dxa" w:w="5026"/>
            <w:vAlign w:val="center"/>
          </w:tcPr>
          <w:p>
            <w:pPr>
              <w:spacing w:after="20"/>
            </w:pPr>
            <w:r>
              <w:rPr>
                <w:sz w:val="16"/>
              </w:rPr>
              <w:t>Integrantes</w:t>
            </w:r>
          </w:p>
        </w:tc>
        <w:tc>
          <w:tcPr>
            <w:tcW w:type="dxa" w:w="5026"/>
            <w:vAlign w:val="center"/>
          </w:tcPr>
          <w:p>
            <w:pPr>
              <w:spacing w:after="20"/>
            </w:pPr>
            <w:r>
              <w:rPr>
                <w:sz w:val="16"/>
              </w:rPr>
              <w:t>PENDIENTE de completar</w:t>
            </w:r>
          </w:p>
        </w:tc>
      </w:tr>
      <w:tr>
        <w:tc>
          <w:tcPr>
            <w:tcW w:type="dxa" w:w="5026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Contexto / caso</w:t>
            </w:r>
          </w:p>
        </w:tc>
        <w:tc>
          <w:tcPr>
            <w:tcW w:type="dxa" w:w="5026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Forma B — Tienda Sonido Vivo, Viña del Mar</w:t>
            </w:r>
          </w:p>
        </w:tc>
      </w:tr>
      <w:tr>
        <w:tc>
          <w:tcPr>
            <w:tcW w:type="dxa" w:w="5026"/>
            <w:vAlign w:val="center"/>
          </w:tcPr>
          <w:p>
            <w:pPr>
              <w:spacing w:after="20"/>
            </w:pPr>
            <w:r>
              <w:rPr>
                <w:sz w:val="16"/>
              </w:rPr>
              <w:t>Repositorio GitHub</w:t>
            </w:r>
          </w:p>
        </w:tc>
        <w:tc>
          <w:tcPr>
            <w:tcW w:type="dxa" w:w="5026"/>
            <w:vAlign w:val="center"/>
          </w:tcPr>
          <w:p>
            <w:pPr>
              <w:spacing w:after="20"/>
            </w:pPr>
            <w:r>
              <w:rPr>
                <w:sz w:val="16"/>
              </w:rPr>
              <w:t>PENDIENTE — añadir enlace público verificable</w:t>
            </w:r>
          </w:p>
        </w:tc>
      </w:tr>
      <w:tr>
        <w:tc>
          <w:tcPr>
            <w:tcW w:type="dxa" w:w="5026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Versión evaluada</w:t>
            </w:r>
          </w:p>
        </w:tc>
        <w:tc>
          <w:tcPr>
            <w:tcW w:type="dxa" w:w="5026"/>
            <w:vAlign w:val="center"/>
            <w:shd w:fill="F3F6F9"/>
          </w:tcPr>
          <w:p>
            <w:r>
              <w:t>Etapa 6 · versión local 0.6.0 · 115/115 pruebas aprobadas · publicación y versión final de GitHub pendientes</w:t>
            </w:r>
          </w:p>
        </w:tc>
      </w:tr>
    </w:tbl>
    <w:p>
      <w:pPr>
        <w:spacing w:after="0"/>
      </w:pPr>
    </w:p>
    <w:p>
      <w:pPr>
        <w:pStyle w:val="Heading1"/>
      </w:pPr>
      <w:r>
        <w:t>2. Configuración del entorno de pruebas</w:t>
      </w:r>
    </w:p>
    <w:p>
      <w:r>
        <w:t>Frontend: React 18 + Vite 6 + JavaScript, React Router 6 y Bootstrap 5. Entorno de pruebas verificado en las capturas: Vitest 2.1.9 con proveedor de cobertura V8; la configuración del proyecto utiliza React Testing Library, jest-dom y jsdom.</w:t>
      </w:r>
    </w:p>
    <w:p>
      <w:r>
        <w:rPr>
          <w:b w:val="0"/>
        </w:rPr>
        <w:t>Configuración: vite.config.js define jsdom, src/test/setup.js y cobertura con proveedor V8. Los formatos solicitados son texto, HTML y json-summary. La limpieza de componentes se registra explícitamente tras cada test; se limpian mocks antes de cada prueba.</w:t>
      </w:r>
    </w:p>
    <w:p>
      <w:r>
        <w:rPr>
          <w:b w:val="0"/>
        </w:rPr>
        <w:t>Comandos: npm test · npm run test:watch · npm run test:coverage · npm run report:coverage · npm run build</w:t>
      </w:r>
    </w:p>
    <w:p>
      <w:r>
        <w:rPr>
          <w:b w:val="0"/>
        </w:rPr>
        <w:t>Verificaciones alternativas SIN Vitest: npm run qa:static y npm run qa:node. Estas no sustituyen los tests de componentes ni el informe de cobertura.</w:t>
      </w:r>
    </w:p>
    <w:p>
      <w:pPr>
        <w:pStyle w:val="Heading1"/>
        <w:pageBreakBefore/>
      </w:pPr>
      <w:r>
        <w:t>3. Registro de pruebas</w:t>
      </w:r>
    </w:p>
    <w:p>
      <w:r>
        <w:t>La siguiente selección reúne diez casos representativos para la rúbrica. Los 23 archivos de prueba y sus 115 tests finalizaron con estado aprobado en la ejecución mostrada. Esto acredita la ejecución, no demuestra por sí solo que toda funcionalidad o rama esté cubierta.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2333"/>
        <w:gridCol w:w="3557"/>
        <w:gridCol w:w="1555"/>
        <w:gridCol w:w="1426"/>
      </w:tblGrid>
      <w:tr>
        <w:tc>
          <w:tcPr>
            <w:tcW w:type="dxa" w:w="490"/>
            <w:shd w:fill="1D3854"/>
          </w:tcPr>
          <w:p>
            <w:r>
              <w:rPr>
                <w:b/>
                <w:color w:val="FFFFFF"/>
                <w:sz w:val="17"/>
              </w:rPr>
              <w:t>N°</w:t>
            </w:r>
          </w:p>
        </w:tc>
        <w:tc>
          <w:tcPr>
            <w:tcW w:type="dxa" w:w="2333"/>
            <w:shd w:fill="1D3854"/>
          </w:tcPr>
          <w:p>
            <w:r>
              <w:rPr>
                <w:b/>
                <w:color w:val="FFFFFF"/>
                <w:sz w:val="17"/>
              </w:rPr>
              <w:t>Archivo / componente</w:t>
            </w:r>
          </w:p>
        </w:tc>
        <w:tc>
          <w:tcPr>
            <w:tcW w:type="dxa" w:w="3557"/>
            <w:shd w:fill="1D3854"/>
          </w:tcPr>
          <w:p>
            <w:r>
              <w:rPr>
                <w:b/>
                <w:color w:val="FFFFFF"/>
                <w:sz w:val="17"/>
              </w:rPr>
              <w:t>Comportamiento verificado (objetivo)</w:t>
            </w:r>
          </w:p>
        </w:tc>
        <w:tc>
          <w:tcPr>
            <w:tcW w:type="dxa" w:w="1555"/>
            <w:shd w:fill="1D3854"/>
          </w:tcPr>
          <w:p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1426"/>
            <w:shd w:fill="1D3854"/>
          </w:tcPr>
          <w:p>
            <w:r>
              <w:rPr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2333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productRepository.test.js</w:t>
            </w:r>
          </w:p>
        </w:tc>
        <w:tc>
          <w:tcPr>
            <w:tcW w:type="dxa" w:w="3557"/>
            <w:vAlign w:val="center"/>
          </w:tcPr>
          <w:p>
            <w:pPr>
              <w:spacing w:after="20"/>
            </w:pPr>
            <w:r>
              <w:rPr>
                <w:sz w:val="16"/>
              </w:rPr>
              <w:t>Datos oficiales, búsqueda y CRUD de productos</w:t>
            </w:r>
          </w:p>
        </w:tc>
        <w:tc>
          <w:tcPr>
            <w:tcW w:type="dxa" w:w="1555"/>
            <w:vAlign w:val="center"/>
          </w:tcPr>
          <w:p>
            <w:pPr>
              <w:spacing w:after="20"/>
            </w:pPr>
            <w:r>
              <w:rPr>
                <w:sz w:val="16"/>
              </w:rPr>
              <w:t>Lógica</w:t>
            </w:r>
          </w:p>
        </w:tc>
        <w:tc>
          <w:tcPr>
            <w:tcW w:type="dxa" w:w="1426"/>
            <w:vAlign w:val="center"/>
          </w:tcPr>
          <w:p>
            <w:r>
              <w:t>OK</w:t>
            </w:r>
          </w:p>
        </w:tc>
      </w:tr>
      <w:tr>
        <w:tc>
          <w:tcPr>
            <w:tcW w:type="dxa" w:w="490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2333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cartRepository.test.js</w:t>
            </w:r>
          </w:p>
        </w:tc>
        <w:tc>
          <w:tcPr>
            <w:tcW w:type="dxa" w:w="3557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Rechazo de cantidades que exceden stock</w:t>
            </w:r>
          </w:p>
        </w:tc>
        <w:tc>
          <w:tcPr>
            <w:tcW w:type="dxa" w:w="1555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Validación</w:t>
            </w:r>
          </w:p>
        </w:tc>
        <w:tc>
          <w:tcPr>
            <w:tcW w:type="dxa" w:w="1426"/>
            <w:vAlign w:val="center"/>
            <w:shd w:fill="F3F6F9"/>
          </w:tcPr>
          <w:p>
            <w:r>
              <w:t>OK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2333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ProductCard.test.jsx</w:t>
            </w:r>
          </w:p>
        </w:tc>
        <w:tc>
          <w:tcPr>
            <w:tcW w:type="dxa" w:w="3557"/>
            <w:vAlign w:val="center"/>
          </w:tcPr>
          <w:p>
            <w:pPr>
              <w:spacing w:after="20"/>
            </w:pPr>
            <w:r>
              <w:rPr>
                <w:sz w:val="16"/>
              </w:rPr>
              <w:t>Render y botón agregar con spy</w:t>
            </w:r>
          </w:p>
        </w:tc>
        <w:tc>
          <w:tcPr>
            <w:tcW w:type="dxa" w:w="1555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Componente</w:t>
            </w:r>
          </w:p>
        </w:tc>
        <w:tc>
          <w:tcPr>
            <w:tcW w:type="dxa" w:w="1426"/>
            <w:vAlign w:val="center"/>
          </w:tcPr>
          <w:p>
            <w:r>
              <w:t>OK</w:t>
            </w:r>
          </w:p>
        </w:tc>
      </w:tr>
      <w:tr>
        <w:tc>
          <w:tcPr>
            <w:tcW w:type="dxa" w:w="490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2333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CheckoutPage.test.jsx</w:t>
            </w:r>
          </w:p>
        </w:tc>
        <w:tc>
          <w:tcPr>
            <w:tcW w:type="dxa" w:w="3557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Formulario inválido y pedido simulado válido</w:t>
            </w:r>
          </w:p>
        </w:tc>
        <w:tc>
          <w:tcPr>
            <w:tcW w:type="dxa" w:w="1555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Interacción</w:t>
            </w:r>
          </w:p>
        </w:tc>
        <w:tc>
          <w:tcPr>
            <w:tcW w:type="dxa" w:w="1426"/>
            <w:vAlign w:val="center"/>
            <w:shd w:fill="F3F6F9"/>
          </w:tcPr>
          <w:p>
            <w:r>
              <w:t>OK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2333"/>
            <w:vAlign w:val="center"/>
          </w:tcPr>
          <w:p>
            <w:pPr>
              <w:spacing w:after="20"/>
            </w:pPr>
            <w:r>
              <w:rPr>
                <w:sz w:val="16"/>
              </w:rPr>
              <w:t>orderRepository.test.js</w:t>
            </w:r>
          </w:p>
        </w:tc>
        <w:tc>
          <w:tcPr>
            <w:tcW w:type="dxa" w:w="3557"/>
            <w:vAlign w:val="center"/>
          </w:tcPr>
          <w:p>
            <w:pPr>
              <w:spacing w:after="20"/>
            </w:pPr>
            <w:r>
              <w:rPr>
                <w:sz w:val="16"/>
              </w:rPr>
              <w:t>Crear pedido, descontar stock y guardar</w:t>
            </w:r>
          </w:p>
        </w:tc>
        <w:tc>
          <w:tcPr>
            <w:tcW w:type="dxa" w:w="1555"/>
            <w:vAlign w:val="center"/>
          </w:tcPr>
          <w:p>
            <w:pPr>
              <w:spacing w:after="20"/>
            </w:pPr>
            <w:r>
              <w:rPr>
                <w:sz w:val="16"/>
              </w:rPr>
              <w:t>Lógica</w:t>
            </w:r>
          </w:p>
        </w:tc>
        <w:tc>
          <w:tcPr>
            <w:tcW w:type="dxa" w:w="1426"/>
            <w:vAlign w:val="center"/>
          </w:tcPr>
          <w:p>
            <w:r>
              <w:t>OK</w:t>
            </w:r>
          </w:p>
        </w:tc>
      </w:tr>
      <w:tr>
        <w:tc>
          <w:tcPr>
            <w:tcW w:type="dxa" w:w="490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2333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OrderManagementPage.test.jsx</w:t>
            </w:r>
          </w:p>
        </w:tc>
        <w:tc>
          <w:tcPr>
            <w:tcW w:type="dxa" w:w="3557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Filtros y transición de estado mediante spy</w:t>
            </w:r>
          </w:p>
        </w:tc>
        <w:tc>
          <w:tcPr>
            <w:tcW w:type="dxa" w:w="1555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Interacción</w:t>
            </w:r>
          </w:p>
        </w:tc>
        <w:tc>
          <w:tcPr>
            <w:tcW w:type="dxa" w:w="1426"/>
            <w:vAlign w:val="center"/>
            <w:shd w:fill="F3F6F9"/>
          </w:tcPr>
          <w:p>
            <w:r>
              <w:t>OK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2333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ProtectedRoute.test.jsx</w:t>
            </w:r>
          </w:p>
        </w:tc>
        <w:tc>
          <w:tcPr>
            <w:tcW w:type="dxa" w:w="3557"/>
            <w:vAlign w:val="center"/>
          </w:tcPr>
          <w:p>
            <w:pPr>
              <w:spacing w:after="20"/>
            </w:pPr>
            <w:r>
              <w:rPr>
                <w:sz w:val="16"/>
              </w:rPr>
              <w:t>Bloqueo por rol y redirección</w:t>
            </w:r>
          </w:p>
        </w:tc>
        <w:tc>
          <w:tcPr>
            <w:tcW w:type="dxa" w:w="1555"/>
            <w:vAlign w:val="center"/>
          </w:tcPr>
          <w:p>
            <w:pPr>
              <w:spacing w:after="20"/>
            </w:pPr>
            <w:r>
              <w:rPr>
                <w:sz w:val="16"/>
              </w:rPr>
              <w:t>Navegación</w:t>
            </w:r>
          </w:p>
        </w:tc>
        <w:tc>
          <w:tcPr>
            <w:tcW w:type="dxa" w:w="1426"/>
            <w:vAlign w:val="center"/>
          </w:tcPr>
          <w:p>
            <w:r>
              <w:t>OK</w:t>
            </w:r>
          </w:p>
        </w:tc>
      </w:tr>
      <w:tr>
        <w:tc>
          <w:tcPr>
            <w:tcW w:type="dxa" w:w="490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2333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UserForm.test.jsx</w:t>
            </w:r>
          </w:p>
        </w:tc>
        <w:tc>
          <w:tcPr>
            <w:tcW w:type="dxa" w:w="3557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Rol Cliente en registro público y correo válido</w:t>
            </w:r>
          </w:p>
        </w:tc>
        <w:tc>
          <w:tcPr>
            <w:tcW w:type="dxa" w:w="1555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Validación</w:t>
            </w:r>
          </w:p>
        </w:tc>
        <w:tc>
          <w:tcPr>
            <w:tcW w:type="dxa" w:w="1426"/>
            <w:vAlign w:val="center"/>
            <w:shd w:fill="F3F6F9"/>
          </w:tcPr>
          <w:p>
            <w:r>
              <w:t>OK</w:t>
            </w:r>
          </w:p>
        </w:tc>
      </w:tr>
      <w:tr>
        <w:tc>
          <w:tcPr>
            <w:tcW w:type="dxa" w:w="490"/>
            <w:vAlign w:val="center"/>
          </w:tcPr>
          <w:p>
            <w:pPr>
              <w:spacing w:after="20"/>
            </w:pPr>
            <w:r>
              <w:rPr>
                <w:sz w:val="16"/>
              </w:rPr>
              <w:t>9</w:t>
            </w:r>
          </w:p>
        </w:tc>
        <w:tc>
          <w:tcPr>
            <w:tcW w:type="dxa" w:w="2333"/>
            <w:vAlign w:val="center"/>
          </w:tcPr>
          <w:p>
            <w:pPr>
              <w:spacing w:after="20"/>
            </w:pPr>
            <w:r>
              <w:rPr>
                <w:sz w:val="16"/>
              </w:rPr>
              <w:t>LoginPage.test.jsx</w:t>
            </w:r>
          </w:p>
        </w:tc>
        <w:tc>
          <w:tcPr>
            <w:tcW w:type="dxa" w:w="3557"/>
            <w:vAlign w:val="center"/>
          </w:tcPr>
          <w:p>
            <w:pPr>
              <w:spacing w:after="20"/>
            </w:pPr>
            <w:r>
              <w:rPr>
                <w:sz w:val="16"/>
              </w:rPr>
              <w:t>Acceso simulado y perfil desactivado</w:t>
            </w:r>
          </w:p>
        </w:tc>
        <w:tc>
          <w:tcPr>
            <w:tcW w:type="dxa" w:w="1555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Componente</w:t>
            </w:r>
          </w:p>
        </w:tc>
        <w:tc>
          <w:tcPr>
            <w:tcW w:type="dxa" w:w="1426"/>
            <w:vAlign w:val="center"/>
          </w:tcPr>
          <w:p>
            <w:r>
              <w:t>OK</w:t>
            </w:r>
          </w:p>
        </w:tc>
      </w:tr>
      <w:tr>
        <w:tc>
          <w:tcPr>
            <w:tcW w:type="dxa" w:w="490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2333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OrdersPage.test.jsx</w:t>
            </w:r>
          </w:p>
        </w:tc>
        <w:tc>
          <w:tcPr>
            <w:tcW w:type="dxa" w:w="3557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Historial de cliente y consulta de detalle</w:t>
            </w:r>
          </w:p>
        </w:tc>
        <w:tc>
          <w:tcPr>
            <w:tcW w:type="dxa" w:w="1555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Interacción</w:t>
            </w:r>
          </w:p>
        </w:tc>
        <w:tc>
          <w:tcPr>
            <w:tcW w:type="dxa" w:w="1426"/>
            <w:vAlign w:val="center"/>
            <w:shd w:fill="F3F6F9"/>
          </w:tcPr>
          <w:p>
            <w:r>
              <w:t>OK</w:t>
            </w:r>
          </w:p>
        </w:tc>
      </w:tr>
    </w:tbl>
    <w:p>
      <w:pPr>
        <w:spacing w:after="0"/>
      </w:pPr>
    </w:p>
    <w:p>
      <w:pPr>
        <w:pStyle w:val="Heading1"/>
      </w:pPr>
      <w:r>
        <w:t>4. Mocks y spies utilizados</w:t>
      </w:r>
    </w:p>
    <w:p>
      <w:r>
        <w:rPr>
          <w:b w:val="0"/>
        </w:rPr>
        <w:t>• vi.mock() aísla los contextos de productos, carrito, usuarios, autenticación y pedidos en pruebas de pantallas. Así se evita depender del estado global real del navegador.</w:t>
      </w:r>
    </w:p>
    <w:p>
      <w:r>
        <w:rPr>
          <w:b w:val="0"/>
        </w:rPr>
        <w:t>• vi.fn() se utiliza como spy para comprobar llamadas (por ejemplo addItem(productId), placeOrder(form) y advanceOrder(id, estado)).</w:t>
      </w:r>
    </w:p>
    <w:p>
      <w:r>
        <w:rPr>
          <w:b w:val="0"/>
        </w:rPr>
        <w:t>• MemoryRouter simula navegación controlada en ProtectedRoute, LoginPage, RegisterPage, CheckoutPage y OrdersPage.</w:t>
      </w:r>
    </w:p>
    <w:p>
      <w:r>
        <w:rPr>
          <w:b w:val="0"/>
        </w:rPr>
        <w:t>• Dobles de localStorage hechos con Map permiten verificar persistencia, fallas de escritura y datos corruptos sin servicios externos.</w:t>
      </w:r>
    </w:p>
    <w:p>
      <w:pPr>
        <w:pStyle w:val="Heading1"/>
      </w:pPr>
      <w:r>
        <w:t>5. Resultado de cobertura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c>
          <w:tcPr>
            <w:tcW w:type="dxa" w:w="3351"/>
            <w:shd w:fill="1D3854"/>
          </w:tcPr>
          <w:p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type="dxa" w:w="3351"/>
            <w:shd w:fill="1D3854"/>
          </w:tcPr>
          <w:p>
            <w:r>
              <w:rPr>
                <w:b/>
                <w:color w:val="FFFFFF"/>
                <w:sz w:val="17"/>
              </w:rPr>
              <w:t>Resultado real</w:t>
            </w:r>
          </w:p>
        </w:tc>
        <w:tc>
          <w:tcPr>
            <w:tcW w:type="dxa" w:w="3351"/>
            <w:shd w:fill="1D3854"/>
          </w:tcPr>
          <w:p>
            <w:r>
              <w:rPr>
                <w:b/>
                <w:color w:val="FFFFFF"/>
                <w:sz w:val="17"/>
              </w:rPr>
              <w:t>Interpretación</w:t>
            </w:r>
          </w:p>
        </w:tc>
      </w:tr>
      <w:tr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sz w:val="16"/>
              </w:rPr>
              <w:t>Statements</w:t>
            </w:r>
          </w:p>
        </w:tc>
        <w:tc>
          <w:tcPr>
            <w:tcW w:type="dxa" w:w="3351"/>
            <w:vAlign w:val="center"/>
          </w:tcPr>
          <w:p>
            <w:r>
              <w:t>75,68 %</w:t>
            </w:r>
          </w:p>
        </w:tc>
        <w:tc>
          <w:tcPr>
            <w:tcW w:type="dxa" w:w="3351"/>
            <w:vAlign w:val="center"/>
          </w:tcPr>
          <w:p>
            <w:r>
              <w:t>1.746/2.307 sentencias cubiertas; cobertura global moderada.</w:t>
            </w:r>
          </w:p>
        </w:tc>
      </w:tr>
      <w:tr>
        <w:tc>
          <w:tcPr>
            <w:tcW w:type="dxa" w:w="3351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Branches</w:t>
            </w:r>
          </w:p>
        </w:tc>
        <w:tc>
          <w:tcPr>
            <w:tcW w:type="dxa" w:w="3351"/>
            <w:vAlign w:val="center"/>
            <w:shd w:fill="F3F6F9"/>
          </w:tcPr>
          <w:p>
            <w:r>
              <w:t>77,65 %</w:t>
            </w:r>
          </w:p>
        </w:tc>
        <w:tc>
          <w:tcPr>
            <w:tcW w:type="dxa" w:w="3351"/>
            <w:vAlign w:val="center"/>
            <w:shd w:fill="F3F6F9"/>
          </w:tcPr>
          <w:p>
            <w:r>
              <w:t>504/649 ramas cubiertas; faltan alternativas de flujo.</w:t>
            </w:r>
          </w:p>
        </w:tc>
      </w:tr>
      <w:tr>
        <w:tc>
          <w:tcPr>
            <w:tcW w:type="dxa" w:w="3351"/>
            <w:vAlign w:val="center"/>
          </w:tcPr>
          <w:p>
            <w:pPr>
              <w:spacing w:after="20"/>
            </w:pPr>
            <w:r>
              <w:rPr>
                <w:sz w:val="16"/>
              </w:rPr>
              <w:t>Functions</w:t>
            </w:r>
          </w:p>
        </w:tc>
        <w:tc>
          <w:tcPr>
            <w:tcW w:type="dxa" w:w="3351"/>
            <w:vAlign w:val="center"/>
          </w:tcPr>
          <w:p>
            <w:r>
              <w:t>68,15 %</w:t>
            </w:r>
          </w:p>
        </w:tc>
        <w:tc>
          <w:tcPr>
            <w:tcW w:type="dxa" w:w="3351"/>
            <w:vAlign w:val="center"/>
          </w:tcPr>
          <w:p>
            <w:r>
              <w:t>107/157 funciones cubiertas; métrica más baja.</w:t>
            </w:r>
          </w:p>
        </w:tc>
      </w:tr>
      <w:tr>
        <w:tc>
          <w:tcPr>
            <w:tcW w:type="dxa" w:w="3351"/>
            <w:vAlign w:val="center"/>
            <w:shd w:fill="F3F6F9"/>
          </w:tcPr>
          <w:p>
            <w:pPr>
              <w:spacing w:after="20"/>
            </w:pPr>
            <w:r>
              <w:rPr>
                <w:sz w:val="16"/>
              </w:rPr>
              <w:t>Lines</w:t>
            </w:r>
          </w:p>
        </w:tc>
        <w:tc>
          <w:tcPr>
            <w:tcW w:type="dxa" w:w="3351"/>
            <w:vAlign w:val="center"/>
            <w:shd w:fill="F3F6F9"/>
          </w:tcPr>
          <w:p>
            <w:r>
              <w:t>75,68 %</w:t>
            </w:r>
          </w:p>
        </w:tc>
        <w:tc>
          <w:tcPr>
            <w:tcW w:type="dxa" w:w="3351"/>
            <w:vAlign w:val="center"/>
            <w:shd w:fill="F3F6F9"/>
          </w:tcPr>
          <w:p>
            <w:r>
              <w:t>1.746/2.307 líneas cubiertas; existen módulos sin ejecución.</w:t>
            </w:r>
          </w:p>
        </w:tc>
      </w:tr>
    </w:tbl>
    <w:p>
      <w:pPr>
        <w:spacing w:after="0"/>
      </w:pPr>
    </w:p>
    <w:p>
      <w:r>
        <w:t>Ejecución verificada por capturas: npm run test:coverage ejecutó 23/23 archivos y 115/115 pruebas exitosas (duración informada: 9,43 s). Luego npm run report:coverage leyó coverage/coverage-summary.json y generó el reporte de cobertura medida con los cuatro indicadores y sus numeradores/denominadores.</w:t>
      </w:r>
    </w:p>
    <w:p>
      <w:pPr>
        <w:pStyle w:val="Heading1"/>
      </w:pPr>
      <w:r>
        <w:t>6. Análisis</w:t>
      </w:r>
    </w:p>
    <w:p>
      <w:r>
        <w:t>Fortalezas observadas: los 23 archivos de prueba aprobaron. El catálogo, las reglas de carrito y pedidos, el CRUD y varias pantallas muestran cobertura alta. Por ejemplo, ProductCard, ProductForm, ProductDetailPage, InventoryPage y varios repositorios presentan cobertura de líneas muy elevada, según la tabla de V8.</w:t>
      </w:r>
    </w:p>
    <w:p>
      <w:r>
        <w:t>Áreas de menor cobertura: App.jsx, AppRoutes.jsx, varios componentes del layout y los contextos OrderContext/ProductContext aparecen con 0 %; AuthContext (9,8 %), CartContext (10,29 %) y UserContext (12,5 %) también muestran cobertura baja. Las pruebas con mocks validan interacciones aisladas, pero pueden dejar sin ejecutar los providers y la integración real. Prioridad sugerida: pruebas de rutas y providers reales, flujos entre pantallas y errores de estado/persistencia.</w:t>
      </w:r>
    </w:p>
    <w:p>
      <w:r>
        <w:t>Mejora de aislamiento incorporada en la etapa: se agregó afterEach(cleanup) para limpiar el DOM entre tests; la suite completa aprobada aporta evidencia de ejecución estable en esta corrida. Las advertencias «React Router Future Flag Warning» fueron no bloqueantes; no son fallos de prueba.</w:t>
      </w:r>
    </w:p>
    <w:p>
      <w:r>
        <w:t>Próximas pruebas recomendadas: integración con providers reales desde agregar al carrito hasta confirmar pedido y actualizar stock; navegación de AppRoutes y escenarios alternativos de permisos. Comprobar también la experiencia responsive en 360 px, 768 px y 1.280 px (verificación visual, separada de cobertura unitaria).</w:t>
      </w:r>
    </w:p>
    <w:p>
      <w:pPr>
        <w:pStyle w:val="Heading1"/>
      </w:pPr>
      <w:r>
        <w:t>7. Conclusiones</w:t>
      </w:r>
    </w:p>
    <w:p>
      <w:r>
        <w:t>Se dispone de evidencia real de testing: 23/23 archivos aprobados y 115/115 tests exitosos; las coberturas globales son 75,68 % en sentencias/líneas, 77,65 % en ramas y 68,15 % en funciones. Hay buena evidencia de pruebas unitarias y de interacción, aunque persisten huecos en integración de providers, rutas y layouts. El 0 % de cobertura no necesariamente significa que una vista esté rota: significa que no se ejecutó en estas pruebas.</w:t>
      </w:r>
    </w:p>
    <w:p>
      <w:r>
        <w:t>Antes de entregar: completar sección, grupo e integrantes; registrar y verificar el enlace público de GitHub; comprobar que el ZIP y video correspondan a la misma versión; conservar estas capturas como evidencia; y completar una revisión funcional/responsive. Estos resultados acreditan la ejecución mostrada, pero no sustituyen una revisión final de todos los indicadores de la EP2.</w:t>
      </w:r>
    </w:p>
    <w:p>
      <w:r>
        <w:br w:type="page"/>
      </w:r>
    </w:p>
    <w:p>
      <w:pPr>
        <w:pStyle w:val="Heading1"/>
      </w:pPr>
      <w:r>
        <w:t>Anexo · Evidencia de ejecución</w:t>
      </w:r>
    </w:p>
    <w:p>
      <w:r>
        <w:t>Capturas aportadas por el equipo y utilizadas para transcribir los resultados. El detalle reproducible debe poder generarse nuevamente desde la versión que se entregue.</w:t>
      </w:r>
    </w:p>
    <w:p>
      <w:pPr>
        <w:pStyle w:val="Caption"/>
      </w:pPr>
      <w:r>
        <w:t>A. Resumen de Vitest: 23 archivos y 115 pruebas aprobadas. Cobertura global con V8.</w:t>
      </w:r>
    </w:p>
    <w:p>
      <w:r>
        <w:drawing>
          <wp:inline xmlns:a="http://schemas.openxmlformats.org/drawingml/2006/main" xmlns:pic="http://schemas.openxmlformats.org/drawingml/2006/picture">
            <wp:extent cx="5897880" cy="1469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results_excerp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469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B. Reporte generado mediante npm run report:coverage: porcentaje y cantidad cubierta por cada métrica.</w:t>
      </w:r>
    </w:p>
    <w:p>
      <w:r>
        <w:drawing>
          <wp:inline xmlns:a="http://schemas.openxmlformats.org/drawingml/2006/main" xmlns:pic="http://schemas.openxmlformats.org/drawingml/2006/picture">
            <wp:extent cx="5897880" cy="35676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_report_excerp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6763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094" w:bottom="1051" w:left="1094" w:header="432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77078"/>
        <w:sz w:val="16"/>
      </w:rPr>
      <w:t xml:space="preserve">Resultados medidos · 14-10-2026   |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B7684"/>
        <w:sz w:val="16"/>
      </w:rPr>
      <w:t>SONIDO VIVO  /  DSY1104  /  EP2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30384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2B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2B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152B4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Cobertura de testing EP2 · Sonido Vivo · Resultados reales</dc:title>
  <dc:subject>Vitest 115 pruebas aprobadas · cobertura V8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