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Cobertura de testing</w:t>
      </w:r>
    </w:p>
    <w:p>
      <w:pPr>
        <w:pStyle w:val="Subtitle"/>
      </w:pPr>
      <w:r>
        <w:t>Evaluación Parcial 2 · Forma B · Tienda Sonido Vivo</w:t>
      </w:r>
    </w:p>
    <w:p>
      <w:r>
        <w:rPr>
          <w:b/>
          <w:color w:val="A25418"/>
          <w:sz w:val="20"/>
        </w:rPr>
        <w:t>ESTADO: PRELIMINAR — SIN RESULTADOS DE VITEST VERIFICADOS</w:t>
      </w:r>
    </w:p>
    <w:p>
      <w:r>
        <w:rPr>
          <w:b w:val="0"/>
        </w:rPr>
        <w:t>Este documento sigue las siete secciones de la plantilla de testing EP2. Los campos de resultados y cobertura se completarán únicamente después de ejecutar las pruebas reales en el equipo de entrega.</w:t>
      </w:r>
    </w:p>
    <w:p>
      <w:pPr>
        <w:pStyle w:val="Heading1"/>
      </w:pPr>
      <w:r>
        <w:t>1. Identificación</w:t>
      </w:r>
    </w:p>
    <w:tbl>
      <w:tblPr>
        <w:tblStyle w:val="TableGrid"/>
        <w:tblW w:type="auto" w:w="0"/>
        <w:jc w:val="center"/>
        <w:tblLook w:firstColumn="1" w:firstRow="1" w:lastColumn="0" w:lastRow="0" w:noHBand="0" w:noVBand="1" w:val="04A0"/>
      </w:tblPr>
      <w:tblGrid>
        <w:gridCol w:w="5026"/>
        <w:gridCol w:w="5026"/>
      </w:tblGrid>
      <w:tr>
        <w:tc>
          <w:tcPr>
            <w:tcW w:type="dxa" w:w="5026"/>
            <w:shd w:fill="1D3854"/>
          </w:tcPr>
          <w:p>
            <w:r>
              <w:rPr>
                <w:b/>
                <w:color w:val="FFFFFF"/>
                <w:sz w:val="17"/>
              </w:rPr>
              <w:t>Campo</w:t>
            </w:r>
          </w:p>
        </w:tc>
        <w:tc>
          <w:tcPr>
            <w:tcW w:type="dxa" w:w="5026"/>
            <w:shd w:fill="1D3854"/>
          </w:tcPr>
          <w:p>
            <w:r>
              <w:rPr>
                <w:b/>
                <w:color w:val="FFFFFF"/>
                <w:sz w:val="17"/>
              </w:rPr>
              <w:t>Información</w:t>
            </w:r>
          </w:p>
        </w:tc>
      </w:tr>
      <w:tr>
        <w:tc>
          <w:tcPr>
            <w:tcW w:type="dxa" w:w="5026"/>
            <w:vAlign w:val="center"/>
          </w:tcPr>
          <w:p>
            <w:pPr>
              <w:spacing w:after="20"/>
            </w:pPr>
            <w:r>
              <w:rPr>
                <w:sz w:val="16"/>
              </w:rPr>
              <w:t>Sección</w:t>
            </w:r>
          </w:p>
        </w:tc>
        <w:tc>
          <w:tcPr>
            <w:tcW w:type="dxa" w:w="5026"/>
            <w:vAlign w:val="center"/>
          </w:tcPr>
          <w:p>
            <w:pPr>
              <w:spacing w:after="20"/>
            </w:pPr>
            <w:r>
              <w:rPr>
                <w:sz w:val="16"/>
              </w:rPr>
              <w:t>PENDIENTE de completar por el grupo</w:t>
            </w:r>
          </w:p>
        </w:tc>
      </w:tr>
      <w:tr>
        <w:tc>
          <w:tcPr>
            <w:tcW w:type="dxa" w:w="5026"/>
            <w:vAlign w:val="center"/>
            <w:shd w:fill="F3F6F9"/>
          </w:tcPr>
          <w:p>
            <w:pPr>
              <w:spacing w:after="20"/>
            </w:pPr>
            <w:r>
              <w:rPr>
                <w:sz w:val="16"/>
              </w:rPr>
              <w:t>Grupo</w:t>
            </w:r>
          </w:p>
        </w:tc>
        <w:tc>
          <w:tcPr>
            <w:tcW w:type="dxa" w:w="5026"/>
            <w:vAlign w:val="center"/>
            <w:shd w:fill="F3F6F9"/>
          </w:tcPr>
          <w:p>
            <w:pPr>
              <w:spacing w:after="20"/>
            </w:pPr>
            <w:r>
              <w:rPr>
                <w:sz w:val="16"/>
              </w:rPr>
              <w:t>PENDIENTE de completar</w:t>
            </w:r>
          </w:p>
        </w:tc>
      </w:tr>
      <w:tr>
        <w:tc>
          <w:tcPr>
            <w:tcW w:type="dxa" w:w="5026"/>
            <w:vAlign w:val="center"/>
          </w:tcPr>
          <w:p>
            <w:pPr>
              <w:spacing w:after="20"/>
            </w:pPr>
            <w:r>
              <w:rPr>
                <w:sz w:val="16"/>
              </w:rPr>
              <w:t>Integrantes</w:t>
            </w:r>
          </w:p>
        </w:tc>
        <w:tc>
          <w:tcPr>
            <w:tcW w:type="dxa" w:w="5026"/>
            <w:vAlign w:val="center"/>
          </w:tcPr>
          <w:p>
            <w:pPr>
              <w:spacing w:after="20"/>
            </w:pPr>
            <w:r>
              <w:rPr>
                <w:sz w:val="16"/>
              </w:rPr>
              <w:t>PENDIENTE de completar</w:t>
            </w:r>
          </w:p>
        </w:tc>
      </w:tr>
      <w:tr>
        <w:tc>
          <w:tcPr>
            <w:tcW w:type="dxa" w:w="5026"/>
            <w:vAlign w:val="center"/>
            <w:shd w:fill="F3F6F9"/>
          </w:tcPr>
          <w:p>
            <w:pPr>
              <w:spacing w:after="20"/>
            </w:pPr>
            <w:r>
              <w:rPr>
                <w:sz w:val="16"/>
              </w:rPr>
              <w:t>Contexto / caso</w:t>
            </w:r>
          </w:p>
        </w:tc>
        <w:tc>
          <w:tcPr>
            <w:tcW w:type="dxa" w:w="5026"/>
            <w:vAlign w:val="center"/>
            <w:shd w:fill="F3F6F9"/>
          </w:tcPr>
          <w:p>
            <w:pPr>
              <w:spacing w:after="20"/>
            </w:pPr>
            <w:r>
              <w:rPr>
                <w:sz w:val="16"/>
              </w:rPr>
              <w:t>Forma B — Tienda Sonido Vivo, Viña del Mar</w:t>
            </w:r>
          </w:p>
        </w:tc>
      </w:tr>
      <w:tr>
        <w:tc>
          <w:tcPr>
            <w:tcW w:type="dxa" w:w="5026"/>
            <w:vAlign w:val="center"/>
          </w:tcPr>
          <w:p>
            <w:pPr>
              <w:spacing w:after="20"/>
            </w:pPr>
            <w:r>
              <w:rPr>
                <w:sz w:val="16"/>
              </w:rPr>
              <w:t>Repositorio GitHub</w:t>
            </w:r>
          </w:p>
        </w:tc>
        <w:tc>
          <w:tcPr>
            <w:tcW w:type="dxa" w:w="5026"/>
            <w:vAlign w:val="center"/>
          </w:tcPr>
          <w:p>
            <w:pPr>
              <w:spacing w:after="20"/>
            </w:pPr>
            <w:r>
              <w:rPr>
                <w:sz w:val="16"/>
              </w:rPr>
              <w:t>PENDIENTE — añadir enlace público verificable</w:t>
            </w:r>
          </w:p>
        </w:tc>
      </w:tr>
      <w:tr>
        <w:tc>
          <w:tcPr>
            <w:tcW w:type="dxa" w:w="5026"/>
            <w:vAlign w:val="center"/>
            <w:shd w:fill="F3F6F9"/>
          </w:tcPr>
          <w:p>
            <w:pPr>
              <w:spacing w:after="20"/>
            </w:pPr>
            <w:r>
              <w:rPr>
                <w:sz w:val="16"/>
              </w:rPr>
              <w:t>Versión evaluada</w:t>
            </w:r>
          </w:p>
        </w:tc>
        <w:tc>
          <w:tcPr>
            <w:tcW w:type="dxa" w:w="5026"/>
            <w:vAlign w:val="center"/>
            <w:shd w:fill="F3F6F9"/>
          </w:tcPr>
          <w:p>
            <w:pPr>
              <w:spacing w:after="20"/>
            </w:pPr>
            <w:r>
              <w:rPr>
                <w:sz w:val="16"/>
              </w:rPr>
              <w:t>Etapa 6, versión local 0.6.0 — aún NO publicada ni congelada</w:t>
            </w:r>
          </w:p>
        </w:tc>
      </w:tr>
    </w:tbl>
    <w:p>
      <w:pPr>
        <w:spacing w:after="0"/>
      </w:pPr>
    </w:p>
    <w:p>
      <w:pPr>
        <w:pStyle w:val="Heading1"/>
      </w:pPr>
      <w:r>
        <w:t>2. Configuración del entorno de pruebas</w:t>
      </w:r>
    </w:p>
    <w:p>
      <w:r>
        <w:rPr>
          <w:b w:val="0"/>
        </w:rPr>
        <w:t>Frontend: React 18 + Vite 6 + JavaScript, React Router 6 y Bootstrap 5. Suite configurada con Vitest 2.1.x, React Testing Library 16.2.x, jest-dom y jsdom. Las versiones son rangos declarados en package.json, no instalaciones confirmadas en esta sesión.</w:t>
      </w:r>
    </w:p>
    <w:p>
      <w:r>
        <w:rPr>
          <w:b w:val="0"/>
        </w:rPr>
        <w:t>Configuración: vite.config.js define jsdom, src/test/setup.js y cobertura con proveedor V8. Los formatos solicitados son texto, HTML y json-summary. La limpieza de componentes se registra explícitamente tras cada test; se limpian mocks antes de cada prueba.</w:t>
      </w:r>
    </w:p>
    <w:p>
      <w:r>
        <w:rPr>
          <w:b w:val="0"/>
        </w:rPr>
        <w:t>Comandos: npm test · npm run test:watch · npm run test:coverage · npm run report:coverage · npm run build</w:t>
      </w:r>
    </w:p>
    <w:p>
      <w:r>
        <w:rPr>
          <w:b w:val="0"/>
        </w:rPr>
        <w:t>Verificaciones alternativas SIN Vitest: npm run qa:static y npm run qa:node. Estas no sustituyen los tests de componentes ni el informe de cobertura.</w:t>
      </w:r>
    </w:p>
    <w:p>
      <w:pPr>
        <w:pStyle w:val="Heading1"/>
        <w:pageBreakBefore/>
      </w:pPr>
      <w:r>
        <w:t>3. Registro de pruebas</w:t>
      </w:r>
    </w:p>
    <w:p>
      <w:r>
        <w:rPr>
          <w:b w:val="0"/>
        </w:rPr>
        <w:t>La siguiente selección prioriza diez casos significativos para la rúbrica. Sus archivos están presentes, pero el resultado permanece pendiente de ejecutar con npm test. En el proyecto existen 23 archivos de pruebas y 111 declaraciones detectadas estáticamente; NO se afirma que hayan pasado.</w:t>
      </w:r>
    </w:p>
    <w:tbl>
      <w:tblPr>
        <w:tblStyle w:val="TableGrid"/>
        <w:tblW w:type="auto" w:w="0"/>
        <w:jc w:val="center"/>
        <w:tblLayout w:type="fixed"/>
        <w:tblLook w:firstColumn="1" w:firstRow="1" w:lastColumn="0" w:lastRow="0" w:noHBand="0" w:noVBand="1" w:val="04A0"/>
      </w:tblPr>
      <w:tblGrid>
        <w:gridCol w:w="490"/>
        <w:gridCol w:w="2333"/>
        <w:gridCol w:w="3557"/>
        <w:gridCol w:w="1555"/>
        <w:gridCol w:w="1426"/>
      </w:tblGrid>
      <w:tr>
        <w:tc>
          <w:tcPr>
            <w:tcW w:type="dxa" w:w="490"/>
            <w:shd w:fill="1D3854"/>
          </w:tcPr>
          <w:p>
            <w:r>
              <w:rPr>
                <w:b/>
                <w:color w:val="FFFFFF"/>
                <w:sz w:val="17"/>
              </w:rPr>
              <w:t>N°</w:t>
            </w:r>
          </w:p>
        </w:tc>
        <w:tc>
          <w:tcPr>
            <w:tcW w:type="dxa" w:w="2333"/>
            <w:shd w:fill="1D3854"/>
          </w:tcPr>
          <w:p>
            <w:r>
              <w:rPr>
                <w:b/>
                <w:color w:val="FFFFFF"/>
                <w:sz w:val="17"/>
              </w:rPr>
              <w:t>Archivo / componente</w:t>
            </w:r>
          </w:p>
        </w:tc>
        <w:tc>
          <w:tcPr>
            <w:tcW w:type="dxa" w:w="3557"/>
            <w:shd w:fill="1D3854"/>
          </w:tcPr>
          <w:p>
            <w:r>
              <w:rPr>
                <w:b/>
                <w:color w:val="FFFFFF"/>
                <w:sz w:val="17"/>
              </w:rPr>
              <w:t>Comportamiento verificado (objetivo)</w:t>
            </w:r>
          </w:p>
        </w:tc>
        <w:tc>
          <w:tcPr>
            <w:tcW w:type="dxa" w:w="1555"/>
            <w:shd w:fill="1D3854"/>
          </w:tcPr>
          <w:p>
            <w:r>
              <w:rPr>
                <w:b/>
                <w:color w:val="FFFFFF"/>
                <w:sz w:val="17"/>
              </w:rPr>
              <w:t>Tipo</w:t>
            </w:r>
          </w:p>
        </w:tc>
        <w:tc>
          <w:tcPr>
            <w:tcW w:type="dxa" w:w="1426"/>
            <w:shd w:fill="1D3854"/>
          </w:tcPr>
          <w:p>
            <w:r>
              <w:rPr>
                <w:b/>
                <w:color w:val="FFFFFF"/>
                <w:sz w:val="17"/>
              </w:rPr>
              <w:t>Resultado</w:t>
            </w:r>
          </w:p>
        </w:tc>
      </w:tr>
      <w:tr>
        <w:tc>
          <w:tcPr>
            <w:tcW w:type="dxa" w:w="490"/>
            <w:vAlign w:val="center"/>
          </w:tcPr>
          <w:p>
            <w:pPr>
              <w:spacing w:after="20"/>
            </w:pPr>
            <w:r>
              <w:rPr>
                <w:sz w:val="16"/>
              </w:rPr>
              <w:t>1</w:t>
            </w:r>
          </w:p>
        </w:tc>
        <w:tc>
          <w:tcPr>
            <w:tcW w:type="dxa" w:w="2333"/>
            <w:vAlign w:val="center"/>
          </w:tcPr>
          <w:p>
            <w:pPr>
              <w:spacing w:after="20"/>
            </w:pPr>
            <w:r>
              <w:rPr>
                <w:sz w:val="16"/>
              </w:rPr>
              <w:t>productRepository.test.js</w:t>
            </w:r>
          </w:p>
        </w:tc>
        <w:tc>
          <w:tcPr>
            <w:tcW w:type="dxa" w:w="3557"/>
            <w:vAlign w:val="center"/>
          </w:tcPr>
          <w:p>
            <w:pPr>
              <w:spacing w:after="20"/>
            </w:pPr>
            <w:r>
              <w:rPr>
                <w:sz w:val="16"/>
              </w:rPr>
              <w:t>Datos oficiales, búsqueda y CRUD de productos</w:t>
            </w:r>
          </w:p>
        </w:tc>
        <w:tc>
          <w:tcPr>
            <w:tcW w:type="dxa" w:w="1555"/>
            <w:vAlign w:val="center"/>
          </w:tcPr>
          <w:p>
            <w:pPr>
              <w:spacing w:after="20"/>
            </w:pPr>
            <w:r>
              <w:rPr>
                <w:sz w:val="16"/>
              </w:rPr>
              <w:t>Lógica</w:t>
            </w:r>
          </w:p>
        </w:tc>
        <w:tc>
          <w:tcPr>
            <w:tcW w:type="dxa" w:w="1426"/>
            <w:vAlign w:val="center"/>
          </w:tcPr>
          <w:p>
            <w:pPr>
              <w:spacing w:after="20"/>
            </w:pPr>
            <w:r>
              <w:rPr>
                <w:sz w:val="16"/>
              </w:rPr>
              <w:t>PENDIENTE</w:t>
            </w:r>
          </w:p>
        </w:tc>
      </w:tr>
      <w:tr>
        <w:tc>
          <w:tcPr>
            <w:tcW w:type="dxa" w:w="490"/>
            <w:vAlign w:val="center"/>
            <w:shd w:fill="F3F6F9"/>
          </w:tcPr>
          <w:p>
            <w:pPr>
              <w:spacing w:after="20"/>
            </w:pPr>
            <w:r>
              <w:rPr>
                <w:sz w:val="16"/>
              </w:rPr>
              <w:t>2</w:t>
            </w:r>
          </w:p>
        </w:tc>
        <w:tc>
          <w:tcPr>
            <w:tcW w:type="dxa" w:w="2333"/>
            <w:vAlign w:val="center"/>
            <w:shd w:fill="F3F6F9"/>
          </w:tcPr>
          <w:p>
            <w:pPr>
              <w:spacing w:after="20"/>
            </w:pPr>
            <w:r>
              <w:rPr>
                <w:sz w:val="16"/>
              </w:rPr>
              <w:t>cartRepository.test.js</w:t>
            </w:r>
          </w:p>
        </w:tc>
        <w:tc>
          <w:tcPr>
            <w:tcW w:type="dxa" w:w="3557"/>
            <w:vAlign w:val="center"/>
            <w:shd w:fill="F3F6F9"/>
          </w:tcPr>
          <w:p>
            <w:pPr>
              <w:spacing w:after="20"/>
            </w:pPr>
            <w:r>
              <w:rPr>
                <w:sz w:val="16"/>
              </w:rPr>
              <w:t>Rechazo de cantidades que exceden stock</w:t>
            </w:r>
          </w:p>
        </w:tc>
        <w:tc>
          <w:tcPr>
            <w:tcW w:type="dxa" w:w="1555"/>
            <w:vAlign w:val="center"/>
            <w:shd w:fill="F3F6F9"/>
          </w:tcPr>
          <w:p>
            <w:pPr>
              <w:spacing w:after="20"/>
            </w:pPr>
            <w:r>
              <w:rPr>
                <w:sz w:val="16"/>
              </w:rPr>
              <w:t>Validación</w:t>
            </w:r>
          </w:p>
        </w:tc>
        <w:tc>
          <w:tcPr>
            <w:tcW w:type="dxa" w:w="1426"/>
            <w:vAlign w:val="center"/>
            <w:shd w:fill="F3F6F9"/>
          </w:tcPr>
          <w:p>
            <w:pPr>
              <w:spacing w:after="20"/>
            </w:pPr>
            <w:r>
              <w:rPr>
                <w:sz w:val="16"/>
              </w:rPr>
              <w:t>PENDIENTE</w:t>
            </w:r>
          </w:p>
        </w:tc>
      </w:tr>
      <w:tr>
        <w:tc>
          <w:tcPr>
            <w:tcW w:type="dxa" w:w="490"/>
            <w:vAlign w:val="center"/>
          </w:tcPr>
          <w:p>
            <w:pPr>
              <w:spacing w:after="20"/>
            </w:pPr>
            <w:r>
              <w:rPr>
                <w:sz w:val="16"/>
              </w:rPr>
              <w:t>3</w:t>
            </w:r>
          </w:p>
        </w:tc>
        <w:tc>
          <w:tcPr>
            <w:tcW w:type="dxa" w:w="2333"/>
            <w:vAlign w:val="center"/>
          </w:tcPr>
          <w:p>
            <w:pPr>
              <w:spacing w:after="20"/>
            </w:pPr>
            <w:r>
              <w:rPr>
                <w:sz w:val="16"/>
              </w:rPr>
              <w:t>ProductCard.test.jsx</w:t>
            </w:r>
          </w:p>
        </w:tc>
        <w:tc>
          <w:tcPr>
            <w:tcW w:type="dxa" w:w="3557"/>
            <w:vAlign w:val="center"/>
          </w:tcPr>
          <w:p>
            <w:pPr>
              <w:spacing w:after="20"/>
            </w:pPr>
            <w:r>
              <w:rPr>
                <w:sz w:val="16"/>
              </w:rPr>
              <w:t>Render y botón agregar con spy</w:t>
            </w:r>
          </w:p>
        </w:tc>
        <w:tc>
          <w:tcPr>
            <w:tcW w:type="dxa" w:w="1555"/>
            <w:vAlign w:val="center"/>
          </w:tcPr>
          <w:p>
            <w:pPr>
              <w:spacing w:after="20"/>
            </w:pPr>
            <w:r>
              <w:rPr>
                <w:sz w:val="16"/>
              </w:rPr>
              <w:t>Componente</w:t>
            </w:r>
          </w:p>
        </w:tc>
        <w:tc>
          <w:tcPr>
            <w:tcW w:type="dxa" w:w="1426"/>
            <w:vAlign w:val="center"/>
          </w:tcPr>
          <w:p>
            <w:pPr>
              <w:spacing w:after="20"/>
            </w:pPr>
            <w:r>
              <w:rPr>
                <w:sz w:val="16"/>
              </w:rPr>
              <w:t>PENDIENTE</w:t>
            </w:r>
          </w:p>
        </w:tc>
      </w:tr>
      <w:tr>
        <w:tc>
          <w:tcPr>
            <w:tcW w:type="dxa" w:w="490"/>
            <w:vAlign w:val="center"/>
            <w:shd w:fill="F3F6F9"/>
          </w:tcPr>
          <w:p>
            <w:pPr>
              <w:spacing w:after="20"/>
            </w:pPr>
            <w:r>
              <w:rPr>
                <w:sz w:val="16"/>
              </w:rPr>
              <w:t>4</w:t>
            </w:r>
          </w:p>
        </w:tc>
        <w:tc>
          <w:tcPr>
            <w:tcW w:type="dxa" w:w="2333"/>
            <w:vAlign w:val="center"/>
            <w:shd w:fill="F3F6F9"/>
          </w:tcPr>
          <w:p>
            <w:pPr>
              <w:spacing w:after="20"/>
            </w:pPr>
            <w:r>
              <w:rPr>
                <w:sz w:val="16"/>
              </w:rPr>
              <w:t>CheckoutPage.test.jsx</w:t>
            </w:r>
          </w:p>
        </w:tc>
        <w:tc>
          <w:tcPr>
            <w:tcW w:type="dxa" w:w="3557"/>
            <w:vAlign w:val="center"/>
            <w:shd w:fill="F3F6F9"/>
          </w:tcPr>
          <w:p>
            <w:pPr>
              <w:spacing w:after="20"/>
            </w:pPr>
            <w:r>
              <w:rPr>
                <w:sz w:val="16"/>
              </w:rPr>
              <w:t>Formulario inválido y pedido simulado válido</w:t>
            </w:r>
          </w:p>
        </w:tc>
        <w:tc>
          <w:tcPr>
            <w:tcW w:type="dxa" w:w="1555"/>
            <w:vAlign w:val="center"/>
            <w:shd w:fill="F3F6F9"/>
          </w:tcPr>
          <w:p>
            <w:pPr>
              <w:spacing w:after="20"/>
            </w:pPr>
            <w:r>
              <w:rPr>
                <w:sz w:val="16"/>
              </w:rPr>
              <w:t>Interacción</w:t>
            </w:r>
          </w:p>
        </w:tc>
        <w:tc>
          <w:tcPr>
            <w:tcW w:type="dxa" w:w="1426"/>
            <w:vAlign w:val="center"/>
            <w:shd w:fill="F3F6F9"/>
          </w:tcPr>
          <w:p>
            <w:pPr>
              <w:spacing w:after="20"/>
            </w:pPr>
            <w:r>
              <w:rPr>
                <w:sz w:val="16"/>
              </w:rPr>
              <w:t>PENDIENTE</w:t>
            </w:r>
          </w:p>
        </w:tc>
      </w:tr>
      <w:tr>
        <w:tc>
          <w:tcPr>
            <w:tcW w:type="dxa" w:w="490"/>
            <w:vAlign w:val="center"/>
          </w:tcPr>
          <w:p>
            <w:pPr>
              <w:spacing w:after="20"/>
            </w:pPr>
            <w:r>
              <w:rPr>
                <w:sz w:val="16"/>
              </w:rPr>
              <w:t>5</w:t>
            </w:r>
          </w:p>
        </w:tc>
        <w:tc>
          <w:tcPr>
            <w:tcW w:type="dxa" w:w="2333"/>
            <w:vAlign w:val="center"/>
          </w:tcPr>
          <w:p>
            <w:pPr>
              <w:spacing w:after="20"/>
            </w:pPr>
            <w:r>
              <w:rPr>
                <w:sz w:val="16"/>
              </w:rPr>
              <w:t>orderRepository.test.js</w:t>
            </w:r>
          </w:p>
        </w:tc>
        <w:tc>
          <w:tcPr>
            <w:tcW w:type="dxa" w:w="3557"/>
            <w:vAlign w:val="center"/>
          </w:tcPr>
          <w:p>
            <w:pPr>
              <w:spacing w:after="20"/>
            </w:pPr>
            <w:r>
              <w:rPr>
                <w:sz w:val="16"/>
              </w:rPr>
              <w:t>Crear pedido, descontar stock y guardar</w:t>
            </w:r>
          </w:p>
        </w:tc>
        <w:tc>
          <w:tcPr>
            <w:tcW w:type="dxa" w:w="1555"/>
            <w:vAlign w:val="center"/>
          </w:tcPr>
          <w:p>
            <w:pPr>
              <w:spacing w:after="20"/>
            </w:pPr>
            <w:r>
              <w:rPr>
                <w:sz w:val="16"/>
              </w:rPr>
              <w:t>Lógica</w:t>
            </w:r>
          </w:p>
        </w:tc>
        <w:tc>
          <w:tcPr>
            <w:tcW w:type="dxa" w:w="1426"/>
            <w:vAlign w:val="center"/>
          </w:tcPr>
          <w:p>
            <w:pPr>
              <w:spacing w:after="20"/>
            </w:pPr>
            <w:r>
              <w:rPr>
                <w:sz w:val="16"/>
              </w:rPr>
              <w:t>PENDIENTE</w:t>
            </w:r>
          </w:p>
        </w:tc>
      </w:tr>
      <w:tr>
        <w:tc>
          <w:tcPr>
            <w:tcW w:type="dxa" w:w="490"/>
            <w:vAlign w:val="center"/>
            <w:shd w:fill="F3F6F9"/>
          </w:tcPr>
          <w:p>
            <w:pPr>
              <w:spacing w:after="20"/>
            </w:pPr>
            <w:r>
              <w:rPr>
                <w:sz w:val="16"/>
              </w:rPr>
              <w:t>6</w:t>
            </w:r>
          </w:p>
        </w:tc>
        <w:tc>
          <w:tcPr>
            <w:tcW w:type="dxa" w:w="2333"/>
            <w:vAlign w:val="center"/>
            <w:shd w:fill="F3F6F9"/>
          </w:tcPr>
          <w:p>
            <w:pPr>
              <w:spacing w:after="20"/>
            </w:pPr>
            <w:r>
              <w:rPr>
                <w:sz w:val="16"/>
              </w:rPr>
              <w:t>OrderManagementPage.test.jsx</w:t>
            </w:r>
          </w:p>
        </w:tc>
        <w:tc>
          <w:tcPr>
            <w:tcW w:type="dxa" w:w="3557"/>
            <w:vAlign w:val="center"/>
            <w:shd w:fill="F3F6F9"/>
          </w:tcPr>
          <w:p>
            <w:pPr>
              <w:spacing w:after="20"/>
            </w:pPr>
            <w:r>
              <w:rPr>
                <w:sz w:val="16"/>
              </w:rPr>
              <w:t>Filtros y transición de estado mediante spy</w:t>
            </w:r>
          </w:p>
        </w:tc>
        <w:tc>
          <w:tcPr>
            <w:tcW w:type="dxa" w:w="1555"/>
            <w:vAlign w:val="center"/>
            <w:shd w:fill="F3F6F9"/>
          </w:tcPr>
          <w:p>
            <w:pPr>
              <w:spacing w:after="20"/>
            </w:pPr>
            <w:r>
              <w:rPr>
                <w:sz w:val="16"/>
              </w:rPr>
              <w:t>Interacción</w:t>
            </w:r>
          </w:p>
        </w:tc>
        <w:tc>
          <w:tcPr>
            <w:tcW w:type="dxa" w:w="1426"/>
            <w:vAlign w:val="center"/>
            <w:shd w:fill="F3F6F9"/>
          </w:tcPr>
          <w:p>
            <w:pPr>
              <w:spacing w:after="20"/>
            </w:pPr>
            <w:r>
              <w:rPr>
                <w:sz w:val="16"/>
              </w:rPr>
              <w:t>PENDIENTE</w:t>
            </w:r>
          </w:p>
        </w:tc>
      </w:tr>
      <w:tr>
        <w:tc>
          <w:tcPr>
            <w:tcW w:type="dxa" w:w="490"/>
            <w:vAlign w:val="center"/>
          </w:tcPr>
          <w:p>
            <w:pPr>
              <w:spacing w:after="20"/>
            </w:pPr>
            <w:r>
              <w:rPr>
                <w:sz w:val="16"/>
              </w:rPr>
              <w:t>7</w:t>
            </w:r>
          </w:p>
        </w:tc>
        <w:tc>
          <w:tcPr>
            <w:tcW w:type="dxa" w:w="2333"/>
            <w:vAlign w:val="center"/>
          </w:tcPr>
          <w:p>
            <w:pPr>
              <w:spacing w:after="20"/>
            </w:pPr>
            <w:r>
              <w:rPr>
                <w:sz w:val="16"/>
              </w:rPr>
              <w:t>ProtectedRoute.test.jsx</w:t>
            </w:r>
          </w:p>
        </w:tc>
        <w:tc>
          <w:tcPr>
            <w:tcW w:type="dxa" w:w="3557"/>
            <w:vAlign w:val="center"/>
          </w:tcPr>
          <w:p>
            <w:pPr>
              <w:spacing w:after="20"/>
            </w:pPr>
            <w:r>
              <w:rPr>
                <w:sz w:val="16"/>
              </w:rPr>
              <w:t>Bloqueo por rol y redirección</w:t>
            </w:r>
          </w:p>
        </w:tc>
        <w:tc>
          <w:tcPr>
            <w:tcW w:type="dxa" w:w="1555"/>
            <w:vAlign w:val="center"/>
          </w:tcPr>
          <w:p>
            <w:pPr>
              <w:spacing w:after="20"/>
            </w:pPr>
            <w:r>
              <w:rPr>
                <w:sz w:val="16"/>
              </w:rPr>
              <w:t>Navegación</w:t>
            </w:r>
          </w:p>
        </w:tc>
        <w:tc>
          <w:tcPr>
            <w:tcW w:type="dxa" w:w="1426"/>
            <w:vAlign w:val="center"/>
          </w:tcPr>
          <w:p>
            <w:pPr>
              <w:spacing w:after="20"/>
            </w:pPr>
            <w:r>
              <w:rPr>
                <w:sz w:val="16"/>
              </w:rPr>
              <w:t>PENDIENTE</w:t>
            </w:r>
          </w:p>
        </w:tc>
      </w:tr>
      <w:tr>
        <w:tc>
          <w:tcPr>
            <w:tcW w:type="dxa" w:w="490"/>
            <w:vAlign w:val="center"/>
            <w:shd w:fill="F3F6F9"/>
          </w:tcPr>
          <w:p>
            <w:pPr>
              <w:spacing w:after="20"/>
            </w:pPr>
            <w:r>
              <w:rPr>
                <w:sz w:val="16"/>
              </w:rPr>
              <w:t>8</w:t>
            </w:r>
          </w:p>
        </w:tc>
        <w:tc>
          <w:tcPr>
            <w:tcW w:type="dxa" w:w="2333"/>
            <w:vAlign w:val="center"/>
            <w:shd w:fill="F3F6F9"/>
          </w:tcPr>
          <w:p>
            <w:pPr>
              <w:spacing w:after="20"/>
            </w:pPr>
            <w:r>
              <w:rPr>
                <w:sz w:val="16"/>
              </w:rPr>
              <w:t>UserForm.test.jsx</w:t>
            </w:r>
          </w:p>
        </w:tc>
        <w:tc>
          <w:tcPr>
            <w:tcW w:type="dxa" w:w="3557"/>
            <w:vAlign w:val="center"/>
            <w:shd w:fill="F3F6F9"/>
          </w:tcPr>
          <w:p>
            <w:pPr>
              <w:spacing w:after="20"/>
            </w:pPr>
            <w:r>
              <w:rPr>
                <w:sz w:val="16"/>
              </w:rPr>
              <w:t>Rol Cliente en registro público y correo válido</w:t>
            </w:r>
          </w:p>
        </w:tc>
        <w:tc>
          <w:tcPr>
            <w:tcW w:type="dxa" w:w="1555"/>
            <w:vAlign w:val="center"/>
            <w:shd w:fill="F3F6F9"/>
          </w:tcPr>
          <w:p>
            <w:pPr>
              <w:spacing w:after="20"/>
            </w:pPr>
            <w:r>
              <w:rPr>
                <w:sz w:val="16"/>
              </w:rPr>
              <w:t>Validación</w:t>
            </w:r>
          </w:p>
        </w:tc>
        <w:tc>
          <w:tcPr>
            <w:tcW w:type="dxa" w:w="1426"/>
            <w:vAlign w:val="center"/>
            <w:shd w:fill="F3F6F9"/>
          </w:tcPr>
          <w:p>
            <w:pPr>
              <w:spacing w:after="20"/>
            </w:pPr>
            <w:r>
              <w:rPr>
                <w:sz w:val="16"/>
              </w:rPr>
              <w:t>PENDIENTE</w:t>
            </w:r>
          </w:p>
        </w:tc>
      </w:tr>
      <w:tr>
        <w:tc>
          <w:tcPr>
            <w:tcW w:type="dxa" w:w="490"/>
            <w:vAlign w:val="center"/>
          </w:tcPr>
          <w:p>
            <w:pPr>
              <w:spacing w:after="20"/>
            </w:pPr>
            <w:r>
              <w:rPr>
                <w:sz w:val="16"/>
              </w:rPr>
              <w:t>9</w:t>
            </w:r>
          </w:p>
        </w:tc>
        <w:tc>
          <w:tcPr>
            <w:tcW w:type="dxa" w:w="2333"/>
            <w:vAlign w:val="center"/>
          </w:tcPr>
          <w:p>
            <w:pPr>
              <w:spacing w:after="20"/>
            </w:pPr>
            <w:r>
              <w:rPr>
                <w:sz w:val="16"/>
              </w:rPr>
              <w:t>LoginPage.test.jsx</w:t>
            </w:r>
          </w:p>
        </w:tc>
        <w:tc>
          <w:tcPr>
            <w:tcW w:type="dxa" w:w="3557"/>
            <w:vAlign w:val="center"/>
          </w:tcPr>
          <w:p>
            <w:pPr>
              <w:spacing w:after="20"/>
            </w:pPr>
            <w:r>
              <w:rPr>
                <w:sz w:val="16"/>
              </w:rPr>
              <w:t>Acceso simulado y perfil desactivado</w:t>
            </w:r>
          </w:p>
        </w:tc>
        <w:tc>
          <w:tcPr>
            <w:tcW w:type="dxa" w:w="1555"/>
            <w:vAlign w:val="center"/>
          </w:tcPr>
          <w:p>
            <w:pPr>
              <w:spacing w:after="20"/>
            </w:pPr>
            <w:r>
              <w:rPr>
                <w:sz w:val="16"/>
              </w:rPr>
              <w:t>Componente</w:t>
            </w:r>
          </w:p>
        </w:tc>
        <w:tc>
          <w:tcPr>
            <w:tcW w:type="dxa" w:w="1426"/>
            <w:vAlign w:val="center"/>
          </w:tcPr>
          <w:p>
            <w:pPr>
              <w:spacing w:after="20"/>
            </w:pPr>
            <w:r>
              <w:rPr>
                <w:sz w:val="16"/>
              </w:rPr>
              <w:t>PENDIENTE</w:t>
            </w:r>
          </w:p>
        </w:tc>
      </w:tr>
      <w:tr>
        <w:tc>
          <w:tcPr>
            <w:tcW w:type="dxa" w:w="490"/>
            <w:vAlign w:val="center"/>
            <w:shd w:fill="F3F6F9"/>
          </w:tcPr>
          <w:p>
            <w:pPr>
              <w:spacing w:after="20"/>
            </w:pPr>
            <w:r>
              <w:rPr>
                <w:sz w:val="16"/>
              </w:rPr>
              <w:t>10</w:t>
            </w:r>
          </w:p>
        </w:tc>
        <w:tc>
          <w:tcPr>
            <w:tcW w:type="dxa" w:w="2333"/>
            <w:vAlign w:val="center"/>
            <w:shd w:fill="F3F6F9"/>
          </w:tcPr>
          <w:p>
            <w:pPr>
              <w:spacing w:after="20"/>
            </w:pPr>
            <w:r>
              <w:rPr>
                <w:sz w:val="16"/>
              </w:rPr>
              <w:t>OrdersPage.test.jsx</w:t>
            </w:r>
          </w:p>
        </w:tc>
        <w:tc>
          <w:tcPr>
            <w:tcW w:type="dxa" w:w="3557"/>
            <w:vAlign w:val="center"/>
            <w:shd w:fill="F3F6F9"/>
          </w:tcPr>
          <w:p>
            <w:pPr>
              <w:spacing w:after="20"/>
            </w:pPr>
            <w:r>
              <w:rPr>
                <w:sz w:val="16"/>
              </w:rPr>
              <w:t>Historial de cliente y consulta de detalle</w:t>
            </w:r>
          </w:p>
        </w:tc>
        <w:tc>
          <w:tcPr>
            <w:tcW w:type="dxa" w:w="1555"/>
            <w:vAlign w:val="center"/>
            <w:shd w:fill="F3F6F9"/>
          </w:tcPr>
          <w:p>
            <w:pPr>
              <w:spacing w:after="20"/>
            </w:pPr>
            <w:r>
              <w:rPr>
                <w:sz w:val="16"/>
              </w:rPr>
              <w:t>Interacción</w:t>
            </w:r>
          </w:p>
        </w:tc>
        <w:tc>
          <w:tcPr>
            <w:tcW w:type="dxa" w:w="1426"/>
            <w:vAlign w:val="center"/>
            <w:shd w:fill="F3F6F9"/>
          </w:tcPr>
          <w:p>
            <w:pPr>
              <w:spacing w:after="20"/>
            </w:pPr>
            <w:r>
              <w:rPr>
                <w:sz w:val="16"/>
              </w:rPr>
              <w:t>PENDIENTE</w:t>
            </w:r>
          </w:p>
        </w:tc>
      </w:tr>
    </w:tbl>
    <w:p>
      <w:pPr>
        <w:spacing w:after="0"/>
      </w:pPr>
    </w:p>
    <w:p>
      <w:pPr>
        <w:pStyle w:val="Heading1"/>
      </w:pPr>
      <w:r>
        <w:t>4. Mocks y spies utilizados</w:t>
      </w:r>
    </w:p>
    <w:p>
      <w:r>
        <w:rPr>
          <w:b w:val="0"/>
        </w:rPr>
        <w:t>• vi.mock() aísla los contextos de productos, carrito, usuarios, autenticación y pedidos en pruebas de pantallas. Así se evita depender del estado global real del navegador.</w:t>
      </w:r>
    </w:p>
    <w:p>
      <w:r>
        <w:rPr>
          <w:b w:val="0"/>
        </w:rPr>
        <w:t>• vi.fn() se utiliza como spy para comprobar llamadas (por ejemplo addItem(productId), placeOrder(form) y advanceOrder(id, estado)).</w:t>
      </w:r>
    </w:p>
    <w:p>
      <w:r>
        <w:rPr>
          <w:b w:val="0"/>
        </w:rPr>
        <w:t>• MemoryRouter simula navegación controlada en ProtectedRoute, LoginPage, RegisterPage, CheckoutPage y OrdersPage.</w:t>
      </w:r>
    </w:p>
    <w:p>
      <w:r>
        <w:rPr>
          <w:b w:val="0"/>
        </w:rPr>
        <w:t>• Dobles de localStorage hechos con Map permiten verificar persistencia, fallas de escritura y datos corruptos sin servicios externos.</w:t>
      </w:r>
    </w:p>
    <w:p>
      <w:pPr>
        <w:pStyle w:val="Heading1"/>
      </w:pPr>
      <w:r>
        <w:t>5. Resultado de cobertura</w:t>
      </w:r>
    </w:p>
    <w:tbl>
      <w:tblPr>
        <w:tblStyle w:val="TableGrid"/>
        <w:tblW w:type="auto" w:w="0"/>
        <w:jc w:val="center"/>
        <w:tblLook w:firstColumn="1" w:firstRow="1" w:lastColumn="0" w:lastRow="0" w:noHBand="0" w:noVBand="1" w:val="04A0"/>
      </w:tblPr>
      <w:tblGrid>
        <w:gridCol w:w="3351"/>
        <w:gridCol w:w="3351"/>
        <w:gridCol w:w="3351"/>
      </w:tblGrid>
      <w:tr>
        <w:tc>
          <w:tcPr>
            <w:tcW w:type="dxa" w:w="3351"/>
            <w:shd w:fill="1D3854"/>
          </w:tcPr>
          <w:p>
            <w:r>
              <w:rPr>
                <w:b/>
                <w:color w:val="FFFFFF"/>
                <w:sz w:val="17"/>
              </w:rPr>
              <w:t>Métrica</w:t>
            </w:r>
          </w:p>
        </w:tc>
        <w:tc>
          <w:tcPr>
            <w:tcW w:type="dxa" w:w="3351"/>
            <w:shd w:fill="1D3854"/>
          </w:tcPr>
          <w:p>
            <w:r>
              <w:rPr>
                <w:b/>
                <w:color w:val="FFFFFF"/>
                <w:sz w:val="17"/>
              </w:rPr>
              <w:t>Resultado real</w:t>
            </w:r>
          </w:p>
        </w:tc>
        <w:tc>
          <w:tcPr>
            <w:tcW w:type="dxa" w:w="3351"/>
            <w:shd w:fill="1D3854"/>
          </w:tcPr>
          <w:p>
            <w:r>
              <w:rPr>
                <w:b/>
                <w:color w:val="FFFFFF"/>
                <w:sz w:val="17"/>
              </w:rPr>
              <w:t>Interpretación</w:t>
            </w:r>
          </w:p>
        </w:tc>
      </w:tr>
      <w:tr>
        <w:tc>
          <w:tcPr>
            <w:tcW w:type="dxa" w:w="3351"/>
            <w:vAlign w:val="center"/>
          </w:tcPr>
          <w:p>
            <w:pPr>
              <w:spacing w:after="20"/>
            </w:pPr>
            <w:r>
              <w:rPr>
                <w:sz w:val="16"/>
              </w:rPr>
              <w:t>Statements</w:t>
            </w:r>
          </w:p>
        </w:tc>
        <w:tc>
          <w:tcPr>
            <w:tcW w:type="dxa" w:w="3351"/>
            <w:vAlign w:val="center"/>
          </w:tcPr>
          <w:p>
            <w:pPr>
              <w:spacing w:after="20"/>
            </w:pPr>
            <w:r>
              <w:rPr>
                <w:sz w:val="16"/>
              </w:rPr>
              <w:t>PENDIENTE %</w:t>
            </w:r>
          </w:p>
        </w:tc>
        <w:tc>
          <w:tcPr>
            <w:tcW w:type="dxa" w:w="3351"/>
            <w:vAlign w:val="center"/>
          </w:tcPr>
          <w:p>
            <w:pPr>
              <w:spacing w:after="20"/>
            </w:pPr>
            <w:r>
              <w:rPr>
                <w:sz w:val="16"/>
              </w:rPr>
              <w:t>Requiere ejecutar Vitest con V8</w:t>
            </w:r>
          </w:p>
        </w:tc>
      </w:tr>
      <w:tr>
        <w:tc>
          <w:tcPr>
            <w:tcW w:type="dxa" w:w="3351"/>
            <w:vAlign w:val="center"/>
            <w:shd w:fill="F3F6F9"/>
          </w:tcPr>
          <w:p>
            <w:pPr>
              <w:spacing w:after="20"/>
            </w:pPr>
            <w:r>
              <w:rPr>
                <w:sz w:val="16"/>
              </w:rPr>
              <w:t>Branches</w:t>
            </w:r>
          </w:p>
        </w:tc>
        <w:tc>
          <w:tcPr>
            <w:tcW w:type="dxa" w:w="3351"/>
            <w:vAlign w:val="center"/>
            <w:shd w:fill="F3F6F9"/>
          </w:tcPr>
          <w:p>
            <w:pPr>
              <w:spacing w:after="20"/>
            </w:pPr>
            <w:r>
              <w:rPr>
                <w:sz w:val="16"/>
              </w:rPr>
              <w:t>PENDIENTE %</w:t>
            </w:r>
          </w:p>
        </w:tc>
        <w:tc>
          <w:tcPr>
            <w:tcW w:type="dxa" w:w="3351"/>
            <w:vAlign w:val="center"/>
            <w:shd w:fill="F3F6F9"/>
          </w:tcPr>
          <w:p>
            <w:pPr>
              <w:spacing w:after="20"/>
            </w:pPr>
            <w:r>
              <w:rPr>
                <w:sz w:val="16"/>
              </w:rPr>
              <w:t>Ramas lógicas ejercitadas</w:t>
            </w:r>
          </w:p>
        </w:tc>
      </w:tr>
      <w:tr>
        <w:tc>
          <w:tcPr>
            <w:tcW w:type="dxa" w:w="3351"/>
            <w:vAlign w:val="center"/>
          </w:tcPr>
          <w:p>
            <w:pPr>
              <w:spacing w:after="20"/>
            </w:pPr>
            <w:r>
              <w:rPr>
                <w:sz w:val="16"/>
              </w:rPr>
              <w:t>Functions</w:t>
            </w:r>
          </w:p>
        </w:tc>
        <w:tc>
          <w:tcPr>
            <w:tcW w:type="dxa" w:w="3351"/>
            <w:vAlign w:val="center"/>
          </w:tcPr>
          <w:p>
            <w:pPr>
              <w:spacing w:after="20"/>
            </w:pPr>
            <w:r>
              <w:rPr>
                <w:sz w:val="16"/>
              </w:rPr>
              <w:t>PENDIENTE %</w:t>
            </w:r>
          </w:p>
        </w:tc>
        <w:tc>
          <w:tcPr>
            <w:tcW w:type="dxa" w:w="3351"/>
            <w:vAlign w:val="center"/>
          </w:tcPr>
          <w:p>
            <w:pPr>
              <w:spacing w:after="20"/>
            </w:pPr>
            <w:r>
              <w:rPr>
                <w:sz w:val="16"/>
              </w:rPr>
              <w:t>Funciones llamadas por la suite</w:t>
            </w:r>
          </w:p>
        </w:tc>
      </w:tr>
      <w:tr>
        <w:tc>
          <w:tcPr>
            <w:tcW w:type="dxa" w:w="3351"/>
            <w:vAlign w:val="center"/>
            <w:shd w:fill="F3F6F9"/>
          </w:tcPr>
          <w:p>
            <w:pPr>
              <w:spacing w:after="20"/>
            </w:pPr>
            <w:r>
              <w:rPr>
                <w:sz w:val="16"/>
              </w:rPr>
              <w:t>Lines</w:t>
            </w:r>
          </w:p>
        </w:tc>
        <w:tc>
          <w:tcPr>
            <w:tcW w:type="dxa" w:w="3351"/>
            <w:vAlign w:val="center"/>
            <w:shd w:fill="F3F6F9"/>
          </w:tcPr>
          <w:p>
            <w:pPr>
              <w:spacing w:after="20"/>
            </w:pPr>
            <w:r>
              <w:rPr>
                <w:sz w:val="16"/>
              </w:rPr>
              <w:t>PENDIENTE %</w:t>
            </w:r>
          </w:p>
        </w:tc>
        <w:tc>
          <w:tcPr>
            <w:tcW w:type="dxa" w:w="3351"/>
            <w:vAlign w:val="center"/>
            <w:shd w:fill="F3F6F9"/>
          </w:tcPr>
          <w:p>
            <w:pPr>
              <w:spacing w:after="20"/>
            </w:pPr>
            <w:r>
              <w:rPr>
                <w:sz w:val="16"/>
              </w:rPr>
              <w:t>Líneas alcanzadas por pruebas</w:t>
            </w:r>
          </w:p>
        </w:tc>
      </w:tr>
    </w:tbl>
    <w:p>
      <w:pPr>
        <w:spacing w:after="0"/>
      </w:pPr>
    </w:p>
    <w:p>
      <w:r>
        <w:rPr>
          <w:b w:val="0"/>
        </w:rPr>
        <w:t>Procedimiento: 1) npm install; 2) npm test (comprobar aprobación); 3) npm run test:coverage; 4) npm run report:coverage. Este último lee coverage/coverage-summary.json y crea docs/EP2_COBERTURA_MEDIDA.md con porcentajes y módulos menos cubiertos. Adjuntar capturas reales del terminal/reporte HTML. No copiar porcentajes de las verificaciones Node.</w:t>
      </w:r>
    </w:p>
    <w:p>
      <w:pPr>
        <w:pStyle w:val="Heading1"/>
      </w:pPr>
      <w:r>
        <w:t>6. Análisis</w:t>
      </w:r>
    </w:p>
    <w:p>
      <w:r>
        <w:rPr>
          <w:b w:val="0"/>
        </w:rPr>
        <w:t>Fortalezas PRELIMINARES (por inspección de código, no por cobertura medida): hay casos para catálogo, stock, pedido, formulario, navegación, autorización visual y persistencia; se usan mocks para aislar contextos y spies para comprobar interacciones.</w:t>
      </w:r>
    </w:p>
    <w:p>
      <w:r>
        <w:rPr>
          <w:b w:val="0"/>
        </w:rPr>
        <w:t>Lagunas a revisar tras la ejecución: porcentaje de ramas de providers y errores de almacenamiento; estados de entrega; fallas del envío simulado; comportamiento con el almacenamiento del navegador restringido. Señalar los archivos con cobertura baja usando el reporte real.</w:t>
      </w:r>
    </w:p>
    <w:p>
      <w:r>
        <w:rPr>
          <w:b w:val="0"/>
        </w:rPr>
        <w:t>Error detectado y corregido en esta etapa: ausencia de limpieza explícita entre renders con Vitest sin globals. Se registró afterEach(cleanup) para evitar contaminación entre pruebas. Su eficacia aún debe comprobarse ejecutando la suite.</w:t>
      </w:r>
    </w:p>
    <w:p>
      <w:r>
        <w:rPr>
          <w:b w:val="0"/>
        </w:rPr>
        <w:t>Próxima prueba conveniente: una prueba de integración completa desde carrito a pedido y stock visible, usando providers reales en jsdom, más una comprobación visual responsiva (esta última no es prueba unitaria).</w:t>
      </w:r>
    </w:p>
    <w:p>
      <w:pPr>
        <w:pStyle w:val="Heading1"/>
      </w:pPr>
      <w:r>
        <w:t>7. Conclusiones</w:t>
      </w:r>
    </w:p>
    <w:p>
      <w:r>
        <w:rPr>
          <w:b w:val="0"/>
        </w:rPr>
        <w:t>La base de pruebas permite explicar la lógica de negocio, la validación de formularios y la interacción con React Router. Cuatro comprobaciones de lógica Node resultaron aprobadas y la revisión estática no mostró importaciones locales faltantes, pero estos resultados no permiten afirmar que los componentes se rendericen correctamente o que la suite alcance un porcentaje específico de cobertura.</w:t>
      </w:r>
    </w:p>
    <w:p>
      <w:r>
        <w:rPr>
          <w:b w:val="0"/>
        </w:rPr>
        <w:t>El documento solo estará terminado para EP2 cuando se completen los datos del grupo, se ejecuten todas las pruebas sin fallas, se incorporen los cuatro porcentajes medidos y se anexen evidencias reproducibles. Hasta entonces debe identificarse expresamente como PRELIMINAR.</w:t>
      </w:r>
    </w:p>
    <w:sectPr w:rsidR="00FC693F" w:rsidRPr="0006063C" w:rsidSect="00034616">
      <w:headerReference w:type="default" r:id="rId9"/>
      <w:footerReference w:type="default" r:id="rId10"/>
      <w:pgSz w:w="12240" w:h="15840"/>
      <w:pgMar w:top="1094" w:right="1094" w:bottom="1051" w:left="1094" w:header="432"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77078"/>
        <w:sz w:val="16"/>
      </w:rPr>
      <w:t xml:space="preserve">Documento preliminar · 14-10-2026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B7684"/>
        <w:sz w:val="16"/>
      </w:rPr>
      <w:t>SONIDO VIVO  /  DSY1104  /  EP2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3038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60"/>
      <w:outlineLvl w:val="0"/>
    </w:pPr>
    <w:rPr>
      <w:rFonts w:asciiTheme="majorHAnsi" w:eastAsiaTheme="majorEastAsia" w:hAnsiTheme="majorHAnsi" w:cstheme="majorBidi" w:ascii="Aptos Display" w:hAnsi="Aptos Display"/>
      <w:b/>
      <w:bCs/>
      <w:color w:val="152B44"/>
      <w:sz w:val="28"/>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152B4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260"/>
      <w:contextualSpacing/>
    </w:pPr>
    <w:rPr>
      <w:rFonts w:asciiTheme="majorHAnsi" w:eastAsiaTheme="majorEastAsia" w:hAnsiTheme="majorHAnsi" w:cstheme="majorBidi" w:ascii="Aptos Display" w:hAnsi="Aptos Display"/>
      <w:b/>
      <w:color w:val="152B4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