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Cancellation-aware order coherence: an exact decomposition of absolute concordance change into signed Systemic Tau and a cancellation index</w:t>
      </w:r>
    </w:p>
    <w:p>
      <w:pPr>
        <w:pStyle w:val="Author"/>
      </w:pPr>
      <w:r>
        <w:t xml:space="preserve">Johel Padilla-Villanueva, DrPH</w:t>
      </w:r>
    </w:p>
    <w:p>
      <w:pPr>
        <w:pStyle w:val="Affiliation"/>
      </w:pPr>
      <w:r>
        <w:t xml:space="preserve">Department of Environmental Health, Graduate School of Public Health, Medical Sciences Campus, University of Puerto Rico, San Juan, Puerto Rico, USA</w:t>
      </w:r>
    </w:p>
    <w:p>
      <w:pPr>
        <w:pStyle w:val="Affiliation"/>
        <w:spacing w:after="240"/>
      </w:pPr>
      <w:r>
        <w:t xml:space="preserve">ORCID 0000-0002-5797-6931 · Correspondence: joel.padilla2@upr.edu</w:t>
      </w:r>
    </w:p>
    <w:p>
      <w:pPr>
        <w:pStyle w:val="AbstractHead"/>
      </w:pPr>
      <w:r>
        <w:t xml:space="preserve">Abstract</w:t>
      </w:r>
    </w:p>
    <w:p>
      <w:pPr>
        <w:pStyle w:val="Abstract"/>
      </w:pPr>
      <w:r>
        <w:t xml:space="preserve">Systemic Tau (</w:t>
      </w:r>
      <w:r>
        <w:rPr>
          <w:i/>
          <w:iCs/>
        </w:rPr>
        <w:t xml:space="preserve">τ</w:t>
      </w:r>
      <w:r>
        <w:rPr>
          <w:vertAlign w:val="subscript"/>
        </w:rPr>
        <w:t xml:space="preserve">s</w:t>
      </w:r>
      <w:r>
        <w:t xml:space="preserve">), the mean pairwise Kendall concordance of module activity on a common event index, is a signed average: concordance gained on some pairs can offset concordance lost on others, so structural change can pass unseen. A cancellation-immune alarm is the mean absolute change </w:t>
      </w:r>
      <w:r>
        <w:rPr>
          <w:i/>
          <w:iCs/>
        </w:rPr>
        <w:t xml:space="preserve">D</w:t>
      </w:r>
      <w:r>
        <w:t xml:space="preserve"> of pairwise concordance from its calibration baseline over a fixed edge set. Here we show that both statistics are instances of one averaging operator on the pairwise concordance matrix and that, on a common edge set, </w:t>
      </w:r>
      <w:r>
        <w:rPr>
          <w:i/>
          <w:iCs/>
        </w:rPr>
        <w:t xml:space="preserve">D</w:t>
      </w:r>
      <w:r>
        <w:t xml:space="preserve"> decomposes exactly into the absolute change of the signed mean plus a non-negative cancellation term equal to twice the minority-sign mass of edge changes. The resulting index </w:t>
      </w:r>
      <w:r>
        <w:rPr>
          <w:i/>
          <w:iCs/>
        </w:rPr>
        <w:t xml:space="preserve">κ</w:t>
      </w:r>
      <w:r>
        <w:t xml:space="preserve">∈[0,1]</w:t>
      </w:r>
      <w:r>
        <w:t xml:space="preserve"> is the fraction of total change that the signed mean cannot see. We derive bounds, invariances and the no-change behaviour of </w:t>
      </w:r>
      <w:r>
        <w:rPr>
          <w:i/>
          <w:iCs/>
        </w:rPr>
        <w:t xml:space="preserve">D</w:t>
      </w:r>
      <w:r>
        <w:t xml:space="preserve"> and </w:t>
      </w:r>
      <w:r>
        <w:rPr>
          <w:i/>
          <w:iCs/>
        </w:rPr>
        <w:t xml:space="preserve">κ</w:t>
      </w:r>
      <w:r>
        <w:t xml:space="preserve">, neither of which is near zero without change, and give a conformal alarm rule with a finite-sample false-alarm guarantee. In synthetic event streams, balanced rewiring left </w:t>
      </w:r>
      <w:r>
        <w:rPr>
          <w:i/>
          <w:iCs/>
        </w:rPr>
        <w:t xml:space="preserve">τ</w:t>
      </w:r>
      <w:r>
        <w:rPr>
          <w:vertAlign w:val="subscript"/>
        </w:rPr>
        <w:t xml:space="preserve">s</w:t>
      </w:r>
      <w:r>
        <w:t xml:space="preserve"> at its false-alarm level while </w:t>
      </w:r>
      <w:r>
        <w:rPr>
          <w:i/>
          <w:iCs/>
        </w:rPr>
        <w:t xml:space="preserve">D</w:t>
      </w:r>
      <w:r>
        <w:t xml:space="preserve"> detected it in 95.0% of windows.</w:t>
      </w:r>
    </w:p>
    <w:p>
      <w:pPr>
        <w:pStyle w:val="BodyText"/>
      </w:pPr>
      <w:r>
        <w:t xml:space="preserve">Systemic Tau (</w:t>
      </w:r>
      <w:r>
        <w:rPr>
          <w:i/>
          <w:iCs/>
        </w:rPr>
        <w:t xml:space="preserve">τ</w:t>
      </w:r>
      <w:r>
        <w:rPr>
          <w:vertAlign w:val="subscript"/>
        </w:rPr>
        <w:t xml:space="preserve">s</w:t>
      </w:r>
      <w:r>
        <w:t xml:space="preserve">) summarizes the coordination of a multivariate system as the mean of pairwise concordances between the activity streams of its modules</w:t>
      </w:r>
      <w:r>
        <w:rPr>
          <w:vertAlign w:val="superscript"/>
        </w:rPr>
        <w:t xml:space="preserve">1–3</w:t>
      </w:r>
      <w:r>
        <w:t xml:space="preserve">, each computed as Kendall’s tie-corrected coefficient </w:t>
      </w:r>
      <w:r>
        <w:rPr>
          <w:i/>
          <w:iCs/>
        </w:rPr>
        <w:t xml:space="preserve">τ</w:t>
      </w:r>
      <w:r>
        <w:rPr>
          <w:i/>
          <w:iCs/>
          <w:vertAlign w:val="subscript"/>
        </w:rPr>
        <w:t xml:space="preserve">b</w:t>
      </w:r>
      <w:r>
        <w:t xml:space="preserve"> on a common event index</w:t>
      </w:r>
      <w:r>
        <w:rPr>
          <w:vertAlign w:val="superscript"/>
        </w:rPr>
        <w:t xml:space="preserve">4,5</w:t>
      </w:r>
      <w:r>
        <w:t xml:space="preserve">. In the companion article</w:t>
      </w:r>
      <w:r>
        <w:rPr>
          <w:vertAlign w:val="superscript"/>
        </w:rPr>
        <w:t xml:space="preserve">6</w:t>
      </w:r>
      <w:r>
        <w:t xml:space="preserve"> it serves as the essential variable of a regenerative controller, in the sense of Ashby’s ultrastable system</w:t>
      </w:r>
      <w:r>
        <w:rPr>
          <w:vertAlign w:val="superscript"/>
        </w:rPr>
        <w:t xml:space="preserve">7</w:t>
      </w:r>
      <w:r>
        <w:t xml:space="preserve"> and by analogy with the set points of homeostatic plasticity</w:t>
      </w:r>
      <w:r>
        <w:rPr>
          <w:vertAlign w:val="superscript"/>
        </w:rPr>
        <w:t xml:space="preserve">8</w:t>
      </w:r>
      <w:r>
        <w:t xml:space="preserve">. A signed mean has a structural blind spot, however. Networks that compute contain concordant and anti-concordant relations side by side, and a change that raises concordance on some pairs while lowering it on others can leave </w:t>
      </w:r>
      <w:r>
        <w:rPr>
          <w:i/>
          <w:iCs/>
        </w:rPr>
        <w:t xml:space="preserve">τ</w:t>
      </w:r>
      <w:r>
        <w:rPr>
          <w:vertAlign w:val="subscript"/>
        </w:rPr>
        <w:t xml:space="preserve">s</w:t>
      </w:r>
      <w:r>
        <w:t xml:space="preserve"> where it was. The companion article therefore makes the operative alarm a matrix statistic, the mean absolute change </w:t>
      </w:r>
      <w:r>
        <w:rPr>
          <w:i/>
          <w:iCs/>
        </w:rPr>
        <w:t xml:space="preserve">D</w:t>
      </w:r>
      <w:r>
        <w:t xml:space="preserve"> of pairwise concordance from its calibration baseline over the edges present at the end of calibration, and retains </w:t>
      </w:r>
      <w:r>
        <w:rPr>
          <w:i/>
          <w:iCs/>
        </w:rPr>
        <w:t xml:space="preserve">τ</w:t>
      </w:r>
      <w:r>
        <w:rPr>
          <w:vertAlign w:val="subscript"/>
        </w:rPr>
        <w:t xml:space="preserve">s</w:t>
      </w:r>
      <w:r>
        <w:t xml:space="preserve"> as a signed control.</w:t>
      </w:r>
    </w:p>
    <w:p>
      <w:pPr>
        <w:pStyle w:val="BodyText"/>
      </w:pPr>
      <w:r>
        <w:t xml:space="preserve">Two statistics raise three questions. How are they related? How much of the change registered by </w:t>
      </w:r>
      <w:r>
        <w:rPr>
          <w:i/>
          <w:iCs/>
        </w:rPr>
        <w:t xml:space="preserve">D</w:t>
      </w:r>
      <w:r>
        <w:t xml:space="preserve"> is invisible to the signed mean? And how should </w:t>
      </w:r>
      <w:r>
        <w:rPr>
          <w:i/>
          <w:iCs/>
        </w:rPr>
        <w:t xml:space="preserve">D</w:t>
      </w:r>
      <w:r>
        <w:t xml:space="preserve"> be thresholded, given that it is positive even when nothing has changed? Here we show that </w:t>
      </w:r>
      <w:r>
        <w:rPr>
          <w:i/>
          <w:iCs/>
        </w:rPr>
        <w:t xml:space="preserve">τ</w:t>
      </w:r>
      <w:r>
        <w:rPr>
          <w:vertAlign w:val="subscript"/>
        </w:rPr>
        <w:t xml:space="preserve">s</w:t>
      </w:r>
      <w:r>
        <w:t xml:space="preserve"> and </w:t>
      </w:r>
      <w:r>
        <w:rPr>
          <w:i/>
          <w:iCs/>
        </w:rPr>
        <w:t xml:space="preserve">D</w:t>
      </w:r>
      <w:r>
        <w:t xml:space="preserve"> are two instances of one averaging operator on the pairwise concordance matrix; that on a common edge set </w:t>
      </w:r>
      <w:r>
        <w:rPr>
          <w:i/>
          <w:iCs/>
        </w:rPr>
        <w:t xml:space="preserve">D</w:t>
      </w:r>
      <w:r>
        <w:t xml:space="preserve"> decomposes exactly into the absolute change of the signed mean and a non-negative cancellation term; that the ratio of the two defines a cancellation index with a direct interpretation; and that the no-change behaviour of both quantities, which is far from zero, can be predicted and calibrated. A conformal rule gives the alarm a finite-sample false-alarm guarantee, and synthetic event streams illustrate each result.</w:t>
      </w:r>
    </w:p>
    <w:p>
      <w:pPr>
        <w:pStyle w:val="Heading1"/>
      </w:pPr>
      <w:r>
        <w:t xml:space="preserve">One operator, two statistics</w:t>
      </w:r>
    </w:p>
    <w:p>
      <w:pPr>
        <w:pStyle w:val="BodyText"/>
      </w:pPr>
      <w:r>
        <w:t xml:space="preserve">Let </w:t>
      </w:r>
      <w:r>
        <w:rPr>
          <w:i/>
          <w:iCs/>
        </w:rPr>
        <w:t xml:space="preserve">τ</w:t>
      </w:r>
      <w:r>
        <w:rPr>
          <w:i/>
          <w:iCs/>
          <w:vertAlign w:val="subscript"/>
        </w:rPr>
        <w:t xml:space="preserve">b</w:t>
      </w:r>
      <w:r>
        <w:rPr>
          <w:vertAlign w:val="superscript"/>
        </w:rPr>
        <w:t xml:space="preserve">(</w:t>
      </w:r>
      <w:r>
        <w:rPr>
          <w:i/>
          <w:iCs/>
          <w:vertAlign w:val="superscript"/>
        </w:rPr>
        <w:t xml:space="preserve">p</w:t>
      </w:r>
      <w:r>
        <w:rPr>
          <w:vertAlign w:val="superscript"/>
        </w:rPr>
        <w:t xml:space="preserve">)</w:t>
      </w:r>
      <w:r>
        <w:t xml:space="preserve">(</w:t>
      </w:r>
      <w:r>
        <w:rPr>
          <w:i/>
          <w:iCs/>
        </w:rPr>
        <w:t xml:space="preserve">t</w:t>
      </w:r>
      <w:r>
        <w:t xml:space="preserve">)</w:t>
      </w:r>
      <w:r>
        <w:t xml:space="preserve"> be the concordance of pair </w:t>
      </w:r>
      <w:r>
        <w:rPr>
          <w:i/>
          <w:iCs/>
        </w:rPr>
        <w:t xml:space="preserve">p</w:t>
      </w:r>
      <w:r>
        <w:t xml:space="preserve">=(</w:t>
      </w:r>
      <w:r>
        <w:rPr>
          <w:i/>
          <w:iCs/>
        </w:rPr>
        <w:t xml:space="preserve">i</w:t>
      </w:r>
      <w:r>
        <w:t xml:space="preserve">,</w:t>
      </w:r>
      <w:r>
        <w:rPr>
          <w:i/>
          <w:iCs/>
        </w:rPr>
        <w:t xml:space="preserve">j</w:t>
      </w:r>
      <w:r>
        <w:t xml:space="preserve">)</w:t>
      </w:r>
      <w:r>
        <w:t xml:space="preserve"> in the window ending at </w:t>
      </w:r>
      <w:r>
        <w:rPr>
          <w:i/>
          <w:iCs/>
        </w:rPr>
        <w:t xml:space="preserve">t</w:t>
      </w:r>
      <w:r>
        <w:t xml:space="preserve"> (Methods, equation (9)), let </w:t>
      </w:r>
      <w:r>
        <w:rPr>
          <w:i/>
          <w:iCs/>
        </w:rPr>
        <w:t xml:space="preserve">P</w:t>
      </w:r>
      <w:r>
        <w:t xml:space="preserve"> be the set of all </w:t>
      </w:r>
      <w:r>
        <w:rPr>
          <w:i/>
          <w:iCs/>
        </w:rPr>
        <w:t xml:space="preserve">N</w:t>
      </w:r>
      <w:r>
        <w:t xml:space="preserve">(</w:t>
      </w:r>
      <w:r>
        <w:rPr>
          <w:i/>
          <w:iCs/>
        </w:rPr>
        <w:t xml:space="preserve">N</w:t>
      </w:r>
      <w:r>
        <w:t xml:space="preserve">−1)/2</w:t>
      </w:r>
      <w:r>
        <w:t xml:space="preserve"> pairs of </w:t>
      </w:r>
      <w:r>
        <w:rPr>
          <w:i/>
          <w:iCs/>
        </w:rPr>
        <w:t xml:space="preserve">N</w:t>
      </w:r>
      <w:r>
        <w:t xml:space="preserve"> modules, and let the matrix </w:t>
      </w:r>
      <w:r>
        <w:t xml:space="preserve">M(</w:t>
      </w:r>
      <w:r>
        <w:rPr>
          <w:i/>
          <w:iCs/>
        </w:rPr>
        <w:t xml:space="preserve">t</w:t>
      </w:r>
      <w:r>
        <w:t xml:space="preserve">)</w:t>
      </w:r>
      <w:r>
        <w:t xml:space="preserve"> collect these values. Calibration on a reference period yields a baseline </w:t>
      </w:r>
      <w:r>
        <w:rPr>
          <w:i/>
          <w:iCs/>
        </w:rPr>
        <w:t xml:space="preserve">B</w:t>
      </w:r>
      <w:r>
        <w:rPr>
          <w:i/>
          <w:iCs/>
          <w:vertAlign w:val="subscript"/>
        </w:rPr>
        <w:t xml:space="preserve">p</w:t>
      </w:r>
      <w:r>
        <w:t xml:space="preserve"> for each pair, the mean of </w:t>
      </w:r>
      <w:r>
        <w:rPr>
          <w:i/>
          <w:iCs/>
        </w:rPr>
        <w:t xml:space="preserve">τ</w:t>
      </w:r>
      <w:r>
        <w:rPr>
          <w:i/>
          <w:iCs/>
          <w:vertAlign w:val="subscript"/>
        </w:rPr>
        <w:t xml:space="preserve">b</w:t>
      </w:r>
      <w:r>
        <w:rPr>
          <w:vertAlign w:val="superscript"/>
        </w:rPr>
        <w:t xml:space="preserve">(</w:t>
      </w:r>
      <w:r>
        <w:rPr>
          <w:i/>
          <w:iCs/>
          <w:vertAlign w:val="superscript"/>
        </w:rPr>
        <w:t xml:space="preserve">p</w:t>
      </w:r>
      <w:r>
        <w:rPr>
          <w:vertAlign w:val="superscript"/>
        </w:rPr>
        <w:t xml:space="preserve">)</w:t>
      </w:r>
      <w:r>
        <w:t xml:space="preserve"> over </w:t>
      </w:r>
      <w:r>
        <w:rPr>
          <w:i/>
          <w:iCs/>
        </w:rPr>
        <w:t xml:space="preserve">n</w:t>
      </w:r>
      <w:r>
        <w:rPr>
          <w:vertAlign w:val="subscript"/>
        </w:rPr>
        <w:t xml:space="preserve">cal</w:t>
      </w:r>
      <w:r>
        <w:t xml:space="preserve"> calibration windows, and a set of edges </w:t>
      </w:r>
      <w:r>
        <w:rPr>
          <w:i/>
          <w:iCs/>
        </w:rPr>
        <w:t xml:space="preserve">E</w:t>
      </w:r>
      <w:r>
        <w:t xml:space="preserve">⊆</w:t>
      </w:r>
      <w:r>
        <w:rPr>
          <w:i/>
          <w:iCs/>
        </w:rPr>
        <w:t xml:space="preserve">P</w:t>
      </w:r>
      <w:r>
        <w:t xml:space="preserve"> fixed at the end of calibration. In the companion controller </w:t>
      </w:r>
      <w:r>
        <w:rPr>
          <w:i/>
          <w:iCs/>
        </w:rPr>
        <w:t xml:space="preserve">E</w:t>
      </w:r>
      <w:r>
        <w:t xml:space="preserve"> contains the pairs joined by a connection of the network, but nothing below depends on how </w:t>
      </w:r>
      <w:r>
        <w:rPr>
          <w:i/>
          <w:iCs/>
        </w:rPr>
        <w:t xml:space="preserve">E</w:t>
      </w:r>
      <w:r>
        <w:t xml:space="preserve"> is chosen, only on its being fixed before monitoring begins. For any set of pairs </w:t>
      </w:r>
      <w:r>
        <w:rPr>
          <w:i/>
          <w:iCs/>
        </w:rPr>
        <w:t xml:space="preserve">S</w:t>
      </w:r>
      <w:r>
        <w:t xml:space="preserve"> and any function </w:t>
      </w:r>
      <w:r>
        <w:rPr>
          <w:i/>
          <w:iCs/>
        </w:rPr>
        <w:t xml:space="preserve">f</w:t>
      </w:r>
      <w:r>
        <w:t xml:space="preserve"> of a current value </w:t>
      </w:r>
      <w:r>
        <w:rPr>
          <w:i/>
          <w:iCs/>
        </w:rPr>
        <w:t xml:space="preserve">x</w:t>
      </w:r>
      <w:r>
        <w:t xml:space="preserve"> and a baseline </w:t>
      </w:r>
      <w:r>
        <w:rPr>
          <w:i/>
          <w:iCs/>
        </w:rPr>
        <w:t xml:space="preserve">B</w:t>
      </w:r>
      <w:r>
        <w:t xml:space="preserve">, define</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
                  <m:e>
                    <m:r>
                      <m:t xml:space="preserve">F</m:t>
                    </m:r>
                  </m:e>
                  <m:sub>
                    <m:r>
                      <m:t xml:space="preserve">t</m:t>
                    </m:r>
                  </m:sub>
                </m:sSub>
                <m:r>
                  <m:rPr>
                    <m:sty m:val="p"/>
                  </m:rPr>
                  <m:t xml:space="preserve">(</m:t>
                </m:r>
                <m:r>
                  <m:t xml:space="preserve">S</m:t>
                </m:r>
                <m:r>
                  <m:rPr>
                    <m:sty m:val="p"/>
                  </m:rPr>
                  <m:t xml:space="preserve">,</m:t>
                </m:r>
                <m:r>
                  <m:t xml:space="preserve">f</m:t>
                </m:r>
                <m:r>
                  <m:rPr>
                    <m:sty m:val="p"/>
                  </m:rPr>
                  <m:t xml:space="preserve">)</m:t>
                </m:r>
                <m:r>
                  <m:rPr>
                    <m:sty m:val="p"/>
                  </m:rPr>
                  <m:t xml:space="preserve">=</m:t>
                </m:r>
                <m:f>
                  <m:num>
                    <m:r>
                      <m:rPr>
                        <m:sty m:val="p"/>
                      </m:rPr>
                      <m:t xml:space="preserve">1</m:t>
                    </m:r>
                  </m:num>
                  <m:den>
                    <m:d>
                      <m:dPr>
                        <m:begChr m:val="|"/>
                        <m:endChr m:val="|"/>
                      </m:dPr>
                      <m:e>
                        <m:r>
                          <m:t xml:space="preserve">S</m:t>
                        </m:r>
                      </m:e>
                    </m:d>
                  </m:den>
                </m:f>
                <m:nary>
                  <m:naryPr>
                    <m:chr m:val="∑"/>
                    <m:limLoc m:val="undOvr"/>
                    <m:supHide m:val="1"/>
                  </m:naryPr>
                  <m:sub>
                    <m:r>
                      <m:t xml:space="preserve">p</m:t>
                    </m:r>
                    <m:r>
                      <m:rPr>
                        <m:sty m:val="p"/>
                      </m:rPr>
                      <m:t xml:space="preserve">∈</m:t>
                    </m:r>
                    <m:r>
                      <m:t xml:space="preserve">S</m:t>
                    </m:r>
                  </m:sub>
                  <m:sup/>
                  <m:e>
                    <m:r>
                      <m:t xml:space="preserve">f</m:t>
                    </m:r>
                    <m:d>
                      <m:dPr>
                        <m:begChr m:val="("/>
                        <m:endChr m:val=")"/>
                      </m:dPr>
                      <m:e>
                        <m:sSubSup>
                          <m:e>
                            <m:r>
                              <m:t xml:space="preserve">τ</m:t>
                            </m:r>
                          </m:e>
                          <m:sub>
                            <m:r>
                              <m:t xml:space="preserve">b</m:t>
                            </m:r>
                          </m:sub>
                          <m:sup>
                            <m:r>
                              <m:rPr>
                                <m:sty m:val="p"/>
                              </m:rPr>
                              <m:t xml:space="preserve">(</m:t>
                            </m:r>
                            <m:r>
                              <m:t xml:space="preserve">p</m:t>
                            </m:r>
                            <m:r>
                              <m:rPr>
                                <m:sty m:val="p"/>
                              </m:rPr>
                              <m:t xml:space="preserve">)</m:t>
                            </m:r>
                          </m:sup>
                        </m:sSubSup>
                        <m:r>
                          <m:rPr>
                            <m:sty m:val="p"/>
                          </m:rPr>
                          <m:t xml:space="preserve">(</m:t>
                        </m:r>
                        <m:r>
                          <m:t xml:space="preserve">t</m:t>
                        </m:r>
                        <m:r>
                          <m:rPr>
                            <m:sty m:val="p"/>
                          </m:rPr>
                          <m:t xml:space="preserve">)</m:t>
                        </m:r>
                        <m:r>
                          <m:rPr>
                            <m:sty m:val="p"/>
                          </m:rPr>
                          <m:t xml:space="preserve">,</m:t>
                        </m:r>
                        <m:r>
                          <m:rPr>
                            <m:nor/>
                          </m:rPr>
                          <m:t xml:space="preserve"> </m:t>
                        </m:r>
                        <m:sSub>
                          <m:e>
                            <m:r>
                              <m:t xml:space="preserve">B</m:t>
                            </m:r>
                          </m:e>
                          <m:sub>
                            <m:r>
                              <m:t xml:space="preserve">p</m:t>
                            </m:r>
                          </m:sub>
                        </m:sSub>
                      </m:e>
                    </m:d>
                  </m:e>
                </m:nary>
                <m:r>
                  <m:rPr>
                    <m:sty m:val="p"/>
                  </m:rPr>
                  <m:t xml:space="preserve">,</m:t>
                </m:r>
                <m:r>
                  <m:rPr>
                    <m:nor/>
                  </m:rPr>
                  <m:t xml:space="preserve">  </m:t>
                </m:r>
                <m:sSub>
                  <m:e>
                    <m:r>
                      <m:t xml:space="preserve">B</m:t>
                    </m:r>
                  </m:e>
                  <m:sub>
                    <m:r>
                      <m:t xml:space="preserve">p</m:t>
                    </m:r>
                  </m:sub>
                </m:sSub>
                <m:r>
                  <m:rPr>
                    <m:sty m:val="p"/>
                  </m:rPr>
                  <m:t xml:space="preserve">=</m:t>
                </m:r>
                <m:f>
                  <m:num>
                    <m:r>
                      <m:rPr>
                        <m:sty m:val="p"/>
                      </m:rPr>
                      <m:t xml:space="preserve">1</m:t>
                    </m:r>
                  </m:num>
                  <m:den>
                    <m:sSub>
                      <m:e>
                        <m:r>
                          <m:t xml:space="preserve">n</m:t>
                        </m:r>
                      </m:e>
                      <m:sub>
                        <m:r>
                          <m:rPr>
                            <m:nor/>
                          </m:rPr>
                          <m:t xml:space="preserve">cal</m:t>
                        </m:r>
                      </m:sub>
                    </m:sSub>
                  </m:den>
                </m:f>
                <m:nary>
                  <m:naryPr>
                    <m:chr m:val="∑"/>
                    <m:limLoc m:val="undOvr"/>
                  </m:naryPr>
                  <m:sub>
                    <m:r>
                      <m:t xml:space="preserve">w</m:t>
                    </m:r>
                    <m:r>
                      <m:rPr>
                        <m:sty m:val="p"/>
                      </m:rPr>
                      <m:t xml:space="preserve">=</m:t>
                    </m:r>
                    <m:r>
                      <m:rPr>
                        <m:sty m:val="p"/>
                      </m:rPr>
                      <m:t xml:space="preserve">1</m:t>
                    </m:r>
                  </m:sub>
                  <m:sup>
                    <m:sSub>
                      <m:e>
                        <m:r>
                          <m:t xml:space="preserve">n</m:t>
                        </m:r>
                      </m:e>
                      <m:sub>
                        <m:r>
                          <m:rPr>
                            <m:nor/>
                          </m:rPr>
                          <m:t xml:space="preserve">cal</m:t>
                        </m:r>
                      </m:sub>
                    </m:sSub>
                  </m:sup>
                  <m:e>
                    <m:sSubSup>
                      <m:e>
                        <m:r>
                          <m:t xml:space="preserve">τ</m:t>
                        </m:r>
                      </m:e>
                      <m:sub>
                        <m:r>
                          <m:t xml:space="preserve">b</m:t>
                        </m:r>
                      </m:sub>
                      <m:sup>
                        <m:r>
                          <m:rPr>
                            <m:sty m:val="p"/>
                          </m:rPr>
                          <m:t xml:space="preserve">(</m:t>
                        </m:r>
                        <m:r>
                          <m:t xml:space="preserve">p</m:t>
                        </m:r>
                        <m:r>
                          <m:rPr>
                            <m:sty m:val="p"/>
                          </m:rPr>
                          <m:t xml:space="preserve">)</m:t>
                        </m:r>
                      </m:sup>
                    </m:sSubSup>
                    <m:r>
                      <m:rPr>
                        <m:sty m:val="p"/>
                      </m:rPr>
                      <m:t xml:space="preserve">(</m:t>
                    </m:r>
                    <m:r>
                      <m:t xml:space="preserve">w</m:t>
                    </m:r>
                    <m:r>
                      <m:rPr>
                        <m:sty m:val="p"/>
                      </m:rPr>
                      <m:t xml:space="preserve">)</m:t>
                    </m:r>
                  </m:e>
                </m:nary>
              </m:oMath>
            </m:oMathPara>
          </w:p>
        </w:tc>
        <w:tc>
          <w:tcPr>
            <w:tcW w:type="dxa" w:w="700"/>
            <w:vAlign w:val="center"/>
          </w:tcPr>
          <w:p>
            <w:pPr>
              <w:pStyle w:val="BodyText"/>
              <w:spacing w:before="60" w:after="60"/>
              <w:jc w:val="right"/>
            </w:pPr>
            <w:r>
              <w:t xml:space="preserve">(1)</w:t>
            </w:r>
          </w:p>
        </w:tc>
      </w:tr>
    </w:tbl>
    <w:p>
      <w:pPr>
        <w:pStyle w:val="BodyText"/>
        <w:keepNext/>
      </w:pPr>
      <w:r>
        <w:t xml:space="preserve">Systemic Tau and the operative alarm are two instances of </w:t>
      </w:r>
      <w:r>
        <w:rPr>
          <w:i/>
          <w:iCs/>
        </w:rPr>
        <w:t xml:space="preserve">F</w:t>
      </w:r>
      <w:r>
        <w:t xml:space="preserve">, as is the signed change on the edge set:</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
                  <m:e>
                    <m:r>
                      <m:t xml:space="preserve">τ</m:t>
                    </m:r>
                  </m:e>
                  <m:sub>
                    <m:r>
                      <m:rPr>
                        <m:nor/>
                      </m:rPr>
                      <m:t xml:space="preserve">s</m:t>
                    </m:r>
                  </m:sub>
                </m:sSub>
                <m:r>
                  <m:rPr>
                    <m:sty m:val="p"/>
                  </m:rPr>
                  <m:t xml:space="preserve">(</m:t>
                </m:r>
                <m:r>
                  <m:t xml:space="preserve">t</m:t>
                </m:r>
                <m:r>
                  <m:rPr>
                    <m:sty m:val="p"/>
                  </m:rPr>
                  <m:t xml:space="preserve">)</m:t>
                </m:r>
                <m:r>
                  <m:rPr>
                    <m:sty m:val="p"/>
                  </m:rPr>
                  <m:t xml:space="preserve">=</m:t>
                </m:r>
                <m:sSub>
                  <m:e>
                    <m:r>
                      <m:t xml:space="preserve">F</m:t>
                    </m:r>
                  </m:e>
                  <m:sub>
                    <m:r>
                      <m:t xml:space="preserve">t</m:t>
                    </m:r>
                  </m:sub>
                </m:sSub>
                <m:r>
                  <m:rPr>
                    <m:sty m:val="p"/>
                  </m:rPr>
                  <m:t xml:space="preserve">(</m:t>
                </m:r>
                <m:r>
                  <m:t xml:space="preserve">P</m:t>
                </m:r>
                <m:r>
                  <m:rPr>
                    <m:sty m:val="p"/>
                  </m:rPr>
                  <m:t xml:space="preserve">,</m:t>
                </m:r>
                <m:r>
                  <m:rPr>
                    <m:nor/>
                  </m:rPr>
                  <m:t xml:space="preserve"> </m:t>
                </m:r>
                <m:r>
                  <m:t xml:space="preserve">x</m:t>
                </m:r>
                <m:r>
                  <m:rPr>
                    <m:sty m:val="p"/>
                  </m:rPr>
                  <m:t xml:space="preserve">)</m:t>
                </m:r>
                <m:r>
                  <m:rPr>
                    <m:sty m:val="p"/>
                  </m:rPr>
                  <m:t xml:space="preserve">,</m:t>
                </m:r>
                <m:r>
                  <m:rPr>
                    <m:nor/>
                  </m:rPr>
                  <m:t xml:space="preserve">  </m:t>
                </m:r>
                <m:sSub>
                  <m:e>
                    <m:r>
                      <m:t xml:space="preserve">D</m:t>
                    </m:r>
                  </m:e>
                  <m:sub>
                    <m:r>
                      <m:t xml:space="preserve">E</m:t>
                    </m:r>
                  </m:sub>
                </m:sSub>
                <m:r>
                  <m:rPr>
                    <m:sty m:val="p"/>
                  </m:rPr>
                  <m:t xml:space="preserve">(</m:t>
                </m:r>
                <m:r>
                  <m:t xml:space="preserve">t</m:t>
                </m:r>
                <m:r>
                  <m:rPr>
                    <m:sty m:val="p"/>
                  </m:rPr>
                  <m:t xml:space="preserve">)</m:t>
                </m:r>
                <m:r>
                  <m:rPr>
                    <m:sty m:val="p"/>
                  </m:rPr>
                  <m:t xml:space="preserve">=</m:t>
                </m:r>
                <m:sSub>
                  <m:e>
                    <m:r>
                      <m:t xml:space="preserve">F</m:t>
                    </m:r>
                  </m:e>
                  <m:sub>
                    <m:r>
                      <m:t xml:space="preserve">t</m:t>
                    </m:r>
                  </m:sub>
                </m:sSub>
                <m:d>
                  <m:dPr>
                    <m:begChr m:val="("/>
                    <m:endChr m:val=")"/>
                  </m:dPr>
                  <m:e>
                    <m:r>
                      <m:t xml:space="preserve">E</m:t>
                    </m:r>
                    <m:r>
                      <m:rPr>
                        <m:sty m:val="p"/>
                      </m:rPr>
                      <m:t xml:space="preserve">,</m:t>
                    </m:r>
                    <m:r>
                      <m:rPr>
                        <m:nor/>
                      </m:rPr>
                      <m:t xml:space="preserve"> </m:t>
                    </m:r>
                    <m:d>
                      <m:dPr>
                        <m:begChr m:val="|"/>
                        <m:endChr m:val="|"/>
                      </m:dPr>
                      <m:e>
                        <m:r>
                          <m:t xml:space="preserve">x</m:t>
                        </m:r>
                        <m:r>
                          <m:rPr>
                            <m:sty m:val="p"/>
                          </m:rPr>
                          <m:t xml:space="preserve">−</m:t>
                        </m:r>
                        <m:r>
                          <m:t xml:space="preserve">B</m:t>
                        </m:r>
                      </m:e>
                    </m:d>
                  </m:e>
                </m:d>
                <m:r>
                  <m:rPr>
                    <m:sty m:val="p"/>
                  </m:rPr>
                  <m:t xml:space="preserve">,</m:t>
                </m:r>
                <m:r>
                  <m:rPr>
                    <m:nor/>
                  </m:rPr>
                  <m:t xml:space="preserve">  </m:t>
                </m:r>
                <m:sSub>
                  <m:e>
                    <m:bar>
                      <m:barPr>
                        <m:pos m:val="top"/>
                      </m:barPr>
                      <m:e>
                        <m:r>
                          <m:rPr>
                            <m:sty m:val="p"/>
                          </m:rPr>
                          <m:t xml:space="preserve">Δ</m:t>
                        </m:r>
                      </m:e>
                    </m:bar>
                  </m:e>
                  <m:sub>
                    <m:r>
                      <m:t xml:space="preserve">E</m:t>
                    </m:r>
                  </m:sub>
                </m:sSub>
                <m:r>
                  <m:rPr>
                    <m:sty m:val="p"/>
                  </m:rPr>
                  <m:t xml:space="preserve">(</m:t>
                </m:r>
                <m:r>
                  <m:t xml:space="preserve">t</m:t>
                </m:r>
                <m:r>
                  <m:rPr>
                    <m:sty m:val="p"/>
                  </m:rPr>
                  <m:t xml:space="preserve">)</m:t>
                </m:r>
                <m:r>
                  <m:rPr>
                    <m:sty m:val="p"/>
                  </m:rPr>
                  <m:t xml:space="preserve">=</m:t>
                </m:r>
                <m:sSub>
                  <m:e>
                    <m:r>
                      <m:t xml:space="preserve">F</m:t>
                    </m:r>
                  </m:e>
                  <m:sub>
                    <m:r>
                      <m:t xml:space="preserve">t</m:t>
                    </m:r>
                  </m:sub>
                </m:sSub>
                <m:r>
                  <m:rPr>
                    <m:sty m:val="p"/>
                  </m:rPr>
                  <m:t xml:space="preserve">(</m:t>
                </m:r>
                <m:r>
                  <m:t xml:space="preserve">E</m:t>
                </m:r>
                <m:r>
                  <m:rPr>
                    <m:sty m:val="p"/>
                  </m:rPr>
                  <m:t xml:space="preserve">,</m:t>
                </m:r>
                <m:r>
                  <m:rPr>
                    <m:nor/>
                  </m:rPr>
                  <m:t xml:space="preserve"> </m:t>
                </m:r>
                <m:r>
                  <m:t xml:space="preserve">x</m:t>
                </m:r>
                <m:r>
                  <m:rPr>
                    <m:sty m:val="p"/>
                  </m:rPr>
                  <m:t xml:space="preserve">−</m:t>
                </m:r>
                <m:r>
                  <m:t xml:space="preserve">B</m:t>
                </m:r>
                <m:r>
                  <m:rPr>
                    <m:sty m:val="p"/>
                  </m:rPr>
                  <m:t xml:space="preserve">)</m:t>
                </m:r>
                <m:r>
                  <m:rPr>
                    <m:sty m:val="p"/>
                  </m:rPr>
                  <m:t xml:space="preserve">=</m:t>
                </m:r>
                <m:sSub>
                  <m:e>
                    <m:r>
                      <m:t xml:space="preserve">τ</m:t>
                    </m:r>
                  </m:e>
                  <m:sub>
                    <m:r>
                      <m:rPr>
                        <m:nor/>
                      </m:rPr>
                      <m:t xml:space="preserve">s</m:t>
                    </m:r>
                    <m:r>
                      <m:rPr>
                        <m:sty m:val="p"/>
                      </m:rPr>
                      <m:t xml:space="preserve">,</m:t>
                    </m:r>
                    <m:r>
                      <m:t xml:space="preserve">E</m:t>
                    </m:r>
                  </m:sub>
                </m:sSub>
                <m:r>
                  <m:rPr>
                    <m:sty m:val="p"/>
                  </m:rPr>
                  <m:t xml:space="preserve">(</m:t>
                </m:r>
                <m:r>
                  <m:t xml:space="preserve">t</m:t>
                </m:r>
                <m:r>
                  <m:rPr>
                    <m:sty m:val="p"/>
                  </m:rPr>
                  <m:t xml:space="preserve">)</m:t>
                </m:r>
                <m:r>
                  <m:rPr>
                    <m:sty m:val="p"/>
                  </m:rPr>
                  <m:t xml:space="preserve">−</m:t>
                </m:r>
                <m:sSubSup>
                  <m:e>
                    <m:r>
                      <m:t xml:space="preserve">τ</m:t>
                    </m:r>
                  </m:e>
                  <m:sub>
                    <m:r>
                      <m:rPr>
                        <m:nor/>
                      </m:rPr>
                      <m:t xml:space="preserve">s</m:t>
                    </m:r>
                    <m:r>
                      <m:rPr>
                        <m:sty m:val="p"/>
                      </m:rPr>
                      <m:t xml:space="preserve">,</m:t>
                    </m:r>
                    <m:r>
                      <m:t xml:space="preserve">E</m:t>
                    </m:r>
                  </m:sub>
                  <m:sup>
                    <m:r>
                      <m:rPr>
                        <m:nor/>
                      </m:rPr>
                      <m:t xml:space="preserve">cal</m:t>
                    </m:r>
                  </m:sup>
                </m:sSubSup>
              </m:oMath>
            </m:oMathPara>
          </w:p>
        </w:tc>
        <w:tc>
          <w:tcPr>
            <w:tcW w:type="dxa" w:w="700"/>
            <w:vAlign w:val="center"/>
          </w:tcPr>
          <w:p>
            <w:pPr>
              <w:pStyle w:val="BodyText"/>
              <w:spacing w:before="60" w:after="60"/>
              <w:jc w:val="right"/>
            </w:pPr>
            <w:r>
              <w:t xml:space="preserve">(2)</w:t>
            </w:r>
          </w:p>
        </w:tc>
      </w:tr>
    </w:tbl>
    <w:p>
      <w:pPr>
        <w:pStyle w:val="BodyText"/>
      </w:pPr>
      <w:r>
        <w:t xml:space="preserve">where </w:t>
      </w:r>
      <w:r>
        <w:rPr>
          <w:i/>
          <w:iCs/>
        </w:rPr>
        <w:t xml:space="preserve">τ</w:t>
      </w:r>
      <w:r>
        <w:rPr>
          <w:vertAlign w:val="subscript"/>
        </w:rPr>
        <w:t xml:space="preserve">s,</w:t>
      </w:r>
      <w:r>
        <w:rPr>
          <w:i/>
          <w:iCs/>
          <w:vertAlign w:val="subscript"/>
        </w:rPr>
        <w:t xml:space="preserve">E</w:t>
      </w:r>
      <w:r>
        <w:t xml:space="preserve"> is the signed mean restricted to </w:t>
      </w:r>
      <w:r>
        <w:rPr>
          <w:i/>
          <w:iCs/>
        </w:rPr>
        <w:t xml:space="preserve">E</w:t>
      </w:r>
      <w:r>
        <w:t xml:space="preserve"> and </w:t>
      </w:r>
      <w:r>
        <w:rPr>
          <w:i/>
          <w:iCs/>
        </w:rPr>
        <w:t xml:space="preserve">τ</w:t>
      </w:r>
      <w:r>
        <w:rPr>
          <w:vertAlign w:val="subscript"/>
        </w:rPr>
        <w:t xml:space="preserve">s,</w:t>
      </w:r>
      <w:r>
        <w:rPr>
          <w:i/>
          <w:iCs/>
          <w:vertAlign w:val="subscript"/>
        </w:rPr>
        <w:t xml:space="preserve">E</w:t>
      </w:r>
      <w:r>
        <w:rPr>
          <w:vertAlign w:val="superscript"/>
        </w:rPr>
        <w:t xml:space="preserve">cal</w:t>
      </w:r>
      <w:r>
        <w:t xml:space="preserve"> its calibration mean; the last equality holds because the baselines are calibration means and </w:t>
      </w:r>
      <w:r>
        <w:rPr>
          <w:i/>
          <w:iCs/>
        </w:rPr>
        <w:t xml:space="preserve">F</w:t>
      </w:r>
      <w:r>
        <w:t xml:space="preserve"> is linear in </w:t>
      </w:r>
      <w:r>
        <w:rPr>
          <w:i/>
          <w:iCs/>
        </w:rPr>
        <w:t xml:space="preserve">f</w:t>
      </w:r>
      <w:r>
        <w:t xml:space="preserve">. The instances differ in two choices only: the set of pairs, which determines which relations are monitored, and the function, which determines whether the sign of a change is retained. What they share is the pairwise matrix </w:t>
      </w:r>
      <w:r>
        <w:t xml:space="preserve">M(</w:t>
      </w:r>
      <w:r>
        <w:rPr>
          <w:i/>
          <w:iCs/>
        </w:rPr>
        <w:t xml:space="preserve">t</w:t>
      </w:r>
      <w:r>
        <w:t xml:space="preserve">)</w:t>
      </w:r>
      <w:r>
        <w:t xml:space="preserve">. Statistics of ordinal structure beyond pairs, which the theory of hierarchical ordinal conjunctions addresses</w:t>
      </w:r>
      <w:r>
        <w:rPr>
          <w:vertAlign w:val="superscript"/>
        </w:rPr>
        <w:t xml:space="preserve">2,3</w:t>
      </w:r>
      <w:r>
        <w:t xml:space="preserve">, are not in general functions of </w:t>
      </w:r>
      <w:r>
        <w:t xml:space="preserve">M(</w:t>
      </w:r>
      <w:r>
        <w:rPr>
          <w:i/>
          <w:iCs/>
        </w:rPr>
        <w:t xml:space="preserve">t</w:t>
      </w:r>
      <w:r>
        <w:t xml:space="preserve">)</w:t>
      </w:r>
      <w:r>
        <w:t xml:space="preserve"> and lie outside this operator.</w:t>
      </w:r>
    </w:p>
    <w:p>
      <w:pPr>
        <w:pStyle w:val="Heading1"/>
      </w:pPr>
      <w:r>
        <w:t xml:space="preserve">An exact decomposition</w:t>
      </w:r>
    </w:p>
    <w:p>
      <w:pPr>
        <w:pStyle w:val="BodyText"/>
        <w:keepNext/>
      </w:pPr>
      <w:r>
        <w:t xml:space="preserve">Write </w:t>
      </w:r>
      <w:r>
        <w:t xml:space="preserve">Δ</w:t>
      </w:r>
      <w:r>
        <w:rPr>
          <w:i/>
          <w:iCs/>
          <w:vertAlign w:val="subscript"/>
        </w:rPr>
        <w:t xml:space="preserve">e</w:t>
      </w:r>
      <w:r>
        <w:t xml:space="preserve">(</w:t>
      </w:r>
      <w:r>
        <w:rPr>
          <w:i/>
          <w:iCs/>
        </w:rPr>
        <w:t xml:space="preserve">t</w:t>
      </w:r>
      <w:r>
        <w:t xml:space="preserve">)=</w:t>
      </w:r>
      <w:r>
        <w:rPr>
          <w:i/>
          <w:iCs/>
        </w:rPr>
        <w:t xml:space="preserve">τ</w:t>
      </w:r>
      <w:r>
        <w:rPr>
          <w:i/>
          <w:iCs/>
          <w:vertAlign w:val="subscript"/>
        </w:rPr>
        <w:t xml:space="preserve">b</w:t>
      </w:r>
      <w:r>
        <w:rPr>
          <w:vertAlign w:val="superscript"/>
        </w:rPr>
        <w:t xml:space="preserve">(</w:t>
      </w:r>
      <w:r>
        <w:rPr>
          <w:i/>
          <w:iCs/>
          <w:vertAlign w:val="superscript"/>
        </w:rPr>
        <w:t xml:space="preserve">e</w:t>
      </w:r>
      <w:r>
        <w:rPr>
          <w:vertAlign w:val="superscript"/>
        </w:rPr>
        <w:t xml:space="preserve">)</w:t>
      </w:r>
      <w:r>
        <w:t xml:space="preserve">(</w:t>
      </w:r>
      <w:r>
        <w:rPr>
          <w:i/>
          <w:iCs/>
        </w:rPr>
        <w:t xml:space="preserve">t</w:t>
      </w:r>
      <w:r>
        <w:t xml:space="preserve">)−</w:t>
      </w:r>
      <w:r>
        <w:rPr>
          <w:i/>
          <w:iCs/>
        </w:rPr>
        <w:t xml:space="preserve">B</w:t>
      </w:r>
      <w:r>
        <w:rPr>
          <w:i/>
          <w:iCs/>
          <w:vertAlign w:val="subscript"/>
        </w:rPr>
        <w:t xml:space="preserve">e</w:t>
      </w:r>
      <w:r>
        <w:t xml:space="preserve"> for the change on edge </w:t>
      </w:r>
      <w:r>
        <w:rPr>
          <w:i/>
          <w:iCs/>
        </w:rPr>
        <w:t xml:space="preserve">e</w:t>
      </w:r>
      <w:r>
        <w:t xml:space="preserve">, and let </w:t>
      </w:r>
      <w:r>
        <w:rPr>
          <w:i/>
          <w:iCs/>
        </w:rPr>
        <w:t xml:space="preserve">S</w:t>
      </w:r>
      <w:r>
        <w:rPr>
          <w:vertAlign w:val="subscript"/>
        </w:rPr>
        <w:t xml:space="preserve">+</w:t>
      </w:r>
      <w:r>
        <w:t xml:space="preserve"> and </w:t>
      </w:r>
      <w:r>
        <w:rPr>
          <w:i/>
          <w:iCs/>
        </w:rPr>
        <w:t xml:space="preserve">S</w:t>
      </w:r>
      <w:r>
        <w:rPr>
          <w:vertAlign w:val="subscript"/>
        </w:rPr>
        <w:t xml:space="preserve">−</w:t>
      </w:r>
      <w:r>
        <w:t xml:space="preserve"> be the total magnitudes of the positive and of the negative changes on </w:t>
      </w:r>
      <w:r>
        <w:rPr>
          <w:i/>
          <w:iCs/>
        </w:rPr>
        <w:t xml:space="preserve">E</w:t>
      </w:r>
      <w:r>
        <w:t xml:space="preserve">. Because the signed mean averages the same changes whose magnitudes </w:t>
      </w:r>
      <w:r>
        <w:rPr>
          <w:i/>
          <w:iCs/>
        </w:rPr>
        <w:t xml:space="preserve">D</w:t>
      </w:r>
      <w:r>
        <w:rPr>
          <w:i/>
          <w:iCs/>
          <w:vertAlign w:val="subscript"/>
        </w:rPr>
        <w:t xml:space="preserve">E</w:t>
      </w:r>
      <w:r>
        <w:t xml:space="preserve"> averages,</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
                  <m:e>
                    <m:r>
                      <m:t xml:space="preserve">D</m:t>
                    </m:r>
                  </m:e>
                  <m:sub>
                    <m:r>
                      <m:t xml:space="preserve">E</m:t>
                    </m:r>
                  </m:sub>
                </m:sSub>
                <m:r>
                  <m:rPr>
                    <m:sty m:val="p"/>
                  </m:rPr>
                  <m:t xml:space="preserve">=</m:t>
                </m:r>
                <m:d>
                  <m:dPr>
                    <m:begChr m:val="|"/>
                    <m:endChr m:val="|"/>
                  </m:dPr>
                  <m:e>
                    <m:sSub>
                      <m:e>
                        <m:bar>
                          <m:barPr>
                            <m:pos m:val="top"/>
                          </m:barPr>
                          <m:e>
                            <m:r>
                              <m:rPr>
                                <m:sty m:val="p"/>
                              </m:rPr>
                              <m:t xml:space="preserve">Δ</m:t>
                            </m:r>
                          </m:e>
                        </m:bar>
                      </m:e>
                      <m:sub>
                        <m:r>
                          <m:t xml:space="preserve">E</m:t>
                        </m:r>
                      </m:sub>
                    </m:sSub>
                  </m:e>
                </m:d>
                <m:r>
                  <m:rPr>
                    <m:sty m:val="p"/>
                  </m:rPr>
                  <m:t xml:space="preserve">+</m:t>
                </m:r>
                <m:sSub>
                  <m:e>
                    <m:r>
                      <m:t xml:space="preserve">C</m:t>
                    </m:r>
                  </m:e>
                  <m:sub>
                    <m:r>
                      <m:t xml:space="preserve">E</m:t>
                    </m:r>
                  </m:sub>
                </m:sSub>
                <m:r>
                  <m:rPr>
                    <m:sty m:val="p"/>
                  </m:rPr>
                  <m:t xml:space="preserve">,</m:t>
                </m:r>
                <m:r>
                  <m:rPr>
                    <m:nor/>
                  </m:rPr>
                  <m:t xml:space="preserve">  </m:t>
                </m:r>
                <m:sSub>
                  <m:e>
                    <m:r>
                      <m:t xml:space="preserve">C</m:t>
                    </m:r>
                  </m:e>
                  <m:sub>
                    <m:r>
                      <m:t xml:space="preserve">E</m:t>
                    </m:r>
                  </m:sub>
                </m:sSub>
                <m:r>
                  <m:rPr>
                    <m:sty m:val="p"/>
                  </m:rPr>
                  <m:t xml:space="preserve">=</m:t>
                </m:r>
                <m:f>
                  <m:num>
                    <m:r>
                      <m:rPr>
                        <m:sty m:val="p"/>
                      </m:rPr>
                      <m:t xml:space="preserve">2</m:t>
                    </m:r>
                  </m:num>
                  <m:den>
                    <m:d>
                      <m:dPr>
                        <m:begChr m:val="|"/>
                        <m:endChr m:val="|"/>
                      </m:dPr>
                      <m:e>
                        <m:r>
                          <m:t xml:space="preserve">E</m:t>
                        </m:r>
                      </m:e>
                    </m:d>
                  </m:den>
                </m:f>
                <m:nary>
                  <m:naryPr>
                    <m:chr m:val="∑"/>
                    <m:limLoc m:val="undOvr"/>
                    <m:supHide m:val="1"/>
                  </m:naryPr>
                  <m:sub>
                    <m:r>
                      <m:t xml:space="preserve">e</m:t>
                    </m:r>
                    <m:r>
                      <m:rPr>
                        <m:sty m:val="p"/>
                      </m:rPr>
                      <m:t xml:space="preserve">∈</m:t>
                    </m:r>
                    <m:sSup>
                      <m:e>
                        <m:r>
                          <m:t xml:space="preserve">E</m:t>
                        </m:r>
                      </m:e>
                      <m:sup>
                        <m:r>
                          <m:rPr>
                            <m:nor/>
                          </m:rPr>
                          <m:t xml:space="preserve">−</m:t>
                        </m:r>
                      </m:sup>
                    </m:sSup>
                  </m:sub>
                  <m:sup/>
                  <m:e>
                    <m:d>
                      <m:dPr>
                        <m:begChr m:val="|"/>
                        <m:endChr m:val="|"/>
                      </m:dPr>
                      <m:e>
                        <m:sSub>
                          <m:e>
                            <m:r>
                              <m:rPr>
                                <m:sty m:val="p"/>
                              </m:rPr>
                              <m:t xml:space="preserve">Δ</m:t>
                            </m:r>
                          </m:e>
                          <m:sub>
                            <m:r>
                              <m:t xml:space="preserve">e</m:t>
                            </m:r>
                          </m:sub>
                        </m:sSub>
                      </m:e>
                    </m:d>
                  </m:e>
                </m:nary>
                <m:r>
                  <m:rPr>
                    <m:sty m:val="p"/>
                  </m:rPr>
                  <m:t xml:space="preserve">=</m:t>
                </m:r>
                <m:f>
                  <m:num>
                    <m:r>
                      <m:rPr>
                        <m:sty m:val="p"/>
                      </m:rPr>
                      <m:t xml:space="preserve">2</m:t>
                    </m:r>
                  </m:num>
                  <m:den>
                    <m:d>
                      <m:dPr>
                        <m:begChr m:val="|"/>
                        <m:endChr m:val="|"/>
                      </m:dPr>
                      <m:e>
                        <m:r>
                          <m:t xml:space="preserve">E</m:t>
                        </m:r>
                      </m:e>
                    </m:d>
                  </m:den>
                </m:f>
                <m:r>
                  <m:rPr>
                    <m:nor/>
                  </m:rPr>
                  <m:t xml:space="preserve">min</m:t>
                </m:r>
                <m:r>
                  <m:rPr>
                    <m:sty m:val="p"/>
                  </m:rPr>
                  <m:t xml:space="preserve">(</m:t>
                </m:r>
                <m:sSub>
                  <m:e>
                    <m:r>
                      <m:t xml:space="preserve">S</m:t>
                    </m:r>
                  </m:e>
                  <m:sub>
                    <m:r>
                      <m:rPr>
                        <m:nor/>
                      </m:rPr>
                      <m:t xml:space="preserve">+</m:t>
                    </m:r>
                  </m:sub>
                </m:sSub>
                <m:r>
                  <m:rPr>
                    <m:sty m:val="p"/>
                  </m:rPr>
                  <m:t xml:space="preserve">,</m:t>
                </m:r>
                <m:sSub>
                  <m:e>
                    <m:r>
                      <m:t xml:space="preserve">S</m:t>
                    </m:r>
                  </m:e>
                  <m:sub>
                    <m:r>
                      <m:rPr>
                        <m:nor/>
                      </m:rPr>
                      <m:t xml:space="preserve">−</m:t>
                    </m:r>
                  </m:sub>
                </m:sSub>
                <m:r>
                  <m:rPr>
                    <m:sty m:val="p"/>
                  </m:rPr>
                  <m:t xml:space="preserve">)</m:t>
                </m:r>
                <m:r>
                  <m:rPr>
                    <m:sty m:val="p"/>
                  </m:rPr>
                  <m:t xml:space="preserve">≥</m:t>
                </m:r>
                <m:r>
                  <m:rPr>
                    <m:sty m:val="p"/>
                  </m:rPr>
                  <m:t xml:space="preserve">0</m:t>
                </m:r>
              </m:oMath>
            </m:oMathPara>
          </w:p>
        </w:tc>
        <w:tc>
          <w:tcPr>
            <w:tcW w:type="dxa" w:w="700"/>
            <w:vAlign w:val="center"/>
          </w:tcPr>
          <w:p>
            <w:pPr>
              <w:pStyle w:val="BodyText"/>
              <w:spacing w:before="60" w:after="60"/>
              <w:jc w:val="right"/>
            </w:pPr>
            <w:r>
              <w:t xml:space="preserve">(3)</w:t>
            </w:r>
          </w:p>
        </w:tc>
      </w:tr>
    </w:tbl>
    <w:p>
      <w:pPr>
        <w:pStyle w:val="BodyText"/>
        <w:keepNext/>
      </w:pPr>
      <w:r>
        <w:t xml:space="preserve">where </w:t>
      </w:r>
      <w:r>
        <w:rPr>
          <w:i/>
          <w:iCs/>
        </w:rPr>
        <w:t xml:space="preserve">E</w:t>
      </w:r>
      <w:r>
        <w:rPr>
          <w:vertAlign w:val="superscript"/>
        </w:rPr>
        <w:t xml:space="preserve">−</w:t>
      </w:r>
      <w:r>
        <w:t xml:space="preserve"> is the set of edges whose change has the sign opposite to that of </w:t>
      </w:r>
      <w:r>
        <w:t xml:space="preserve">Δ̄</w:t>
      </w:r>
      <w:r>
        <w:rPr>
          <w:i/>
          <w:iCs/>
          <w:vertAlign w:val="subscript"/>
        </w:rPr>
        <w:t xml:space="preserve">E</w:t>
      </w:r>
      <w:r>
        <w:t xml:space="preserve"> (Methods, Proposition 1). The first term is the part of the change that the signed control sees; the second, </w:t>
      </w:r>
      <w:r>
        <w:rPr>
          <w:i/>
          <w:iCs/>
        </w:rPr>
        <w:t xml:space="preserve">C</w:t>
      </w:r>
      <w:r>
        <w:rPr>
          <w:i/>
          <w:iCs/>
          <w:vertAlign w:val="subscript"/>
        </w:rPr>
        <w:t xml:space="preserve">E</w:t>
      </w:r>
      <w:r>
        <w:t xml:space="preserve">, is the part it loses to cancellation, twice the mass of the minority sign. The triangle inequality guarantees </w:t>
      </w:r>
      <w:r>
        <w:rPr>
          <w:i/>
          <w:iCs/>
        </w:rPr>
        <w:t xml:space="preserve">C</w:t>
      </w:r>
      <w:r>
        <w:rPr>
          <w:i/>
          <w:iCs/>
          <w:vertAlign w:val="subscript"/>
        </w:rPr>
        <w:t xml:space="preserve">E</w:t>
      </w:r>
      <w:r>
        <w:t xml:space="preserve">≥0</w:t>
      </w:r>
      <w:r>
        <w:t xml:space="preserve">, and the cancellation index</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
                  <m:e>
                    <m:r>
                      <m:t xml:space="preserve">κ</m:t>
                    </m:r>
                  </m:e>
                  <m:sub>
                    <m:r>
                      <m:t xml:space="preserve">E</m:t>
                    </m:r>
                  </m:sub>
                </m:sSub>
                <m:r>
                  <m:rPr>
                    <m:sty m:val="p"/>
                  </m:rPr>
                  <m:t xml:space="preserve">=</m:t>
                </m:r>
                <m:f>
                  <m:num>
                    <m:sSub>
                      <m:e>
                        <m:r>
                          <m:t xml:space="preserve">C</m:t>
                        </m:r>
                      </m:e>
                      <m:sub>
                        <m:r>
                          <m:t xml:space="preserve">E</m:t>
                        </m:r>
                      </m:sub>
                    </m:sSub>
                  </m:num>
                  <m:den>
                    <m:sSub>
                      <m:e>
                        <m:r>
                          <m:t xml:space="preserve">D</m:t>
                        </m:r>
                      </m:e>
                      <m:sub>
                        <m:r>
                          <m:t xml:space="preserve">E</m:t>
                        </m:r>
                      </m:sub>
                    </m:sSub>
                  </m:den>
                </m:f>
                <m:r>
                  <m:rPr>
                    <m:sty m:val="p"/>
                  </m:rPr>
                  <m:t xml:space="preserve">=</m:t>
                </m:r>
                <m:f>
                  <m:num>
                    <m:r>
                      <m:rPr>
                        <m:sty m:val="p"/>
                      </m:rPr>
                      <m:t xml:space="preserve">2</m:t>
                    </m:r>
                    <m:r>
                      <m:rPr>
                        <m:nor/>
                      </m:rPr>
                      <m:t xml:space="preserve">min</m:t>
                    </m:r>
                    <m:r>
                      <m:rPr>
                        <m:sty m:val="p"/>
                      </m:rPr>
                      <m:t xml:space="preserve">(</m:t>
                    </m:r>
                    <m:sSub>
                      <m:e>
                        <m:r>
                          <m:t xml:space="preserve">S</m:t>
                        </m:r>
                      </m:e>
                      <m:sub>
                        <m:r>
                          <m:rPr>
                            <m:nor/>
                          </m:rPr>
                          <m:t xml:space="preserve">+</m:t>
                        </m:r>
                      </m:sub>
                    </m:sSub>
                    <m:r>
                      <m:rPr>
                        <m:sty m:val="p"/>
                      </m:rPr>
                      <m:t xml:space="preserve">,</m:t>
                    </m:r>
                    <m:sSub>
                      <m:e>
                        <m:r>
                          <m:t xml:space="preserve">S</m:t>
                        </m:r>
                      </m:e>
                      <m:sub>
                        <m:r>
                          <m:rPr>
                            <m:nor/>
                          </m:rPr>
                          <m:t xml:space="preserve">−</m:t>
                        </m:r>
                      </m:sub>
                    </m:sSub>
                    <m:r>
                      <m:rPr>
                        <m:sty m:val="p"/>
                      </m:rPr>
                      <m:t xml:space="preserve">)</m:t>
                    </m:r>
                  </m:num>
                  <m:den>
                    <m:sSub>
                      <m:e>
                        <m:r>
                          <m:t xml:space="preserve">S</m:t>
                        </m:r>
                      </m:e>
                      <m:sub>
                        <m:r>
                          <m:rPr>
                            <m:nor/>
                          </m:rPr>
                          <m:t xml:space="preserve">+</m:t>
                        </m:r>
                      </m:sub>
                    </m:sSub>
                    <m:r>
                      <m:rPr>
                        <m:sty m:val="p"/>
                      </m:rPr>
                      <m:t xml:space="preserve">+</m:t>
                    </m:r>
                    <m:sSub>
                      <m:e>
                        <m:r>
                          <m:t xml:space="preserve">S</m:t>
                        </m:r>
                      </m:e>
                      <m:sub>
                        <m:r>
                          <m:rPr>
                            <m:nor/>
                          </m:rPr>
                          <m:t xml:space="preserve">−</m:t>
                        </m:r>
                      </m:sub>
                    </m:sSub>
                  </m:den>
                </m:f>
                <m:r>
                  <m:rPr>
                    <m:sty m:val="p"/>
                  </m:rPr>
                  <m:t xml:space="preserve">=</m:t>
                </m:r>
                <m:r>
                  <m:rPr>
                    <m:sty m:val="p"/>
                  </m:rPr>
                  <m:t xml:space="preserve">1</m:t>
                </m:r>
                <m:r>
                  <m:rPr>
                    <m:sty m:val="p"/>
                  </m:rPr>
                  <m:t xml:space="preserve">−</m:t>
                </m:r>
                <m:f>
                  <m:num>
                    <m:d>
                      <m:dPr>
                        <m:begChr m:val="|"/>
                        <m:endChr m:val="|"/>
                      </m:dPr>
                      <m:e>
                        <m:sSub>
                          <m:e>
                            <m:bar>
                              <m:barPr>
                                <m:pos m:val="top"/>
                              </m:barPr>
                              <m:e>
                                <m:r>
                                  <m:rPr>
                                    <m:sty m:val="p"/>
                                  </m:rPr>
                                  <m:t xml:space="preserve">Δ</m:t>
                                </m:r>
                              </m:e>
                            </m:bar>
                          </m:e>
                          <m:sub>
                            <m:r>
                              <m:t xml:space="preserve">E</m:t>
                            </m:r>
                          </m:sub>
                        </m:sSub>
                      </m:e>
                    </m:d>
                  </m:num>
                  <m:den>
                    <m:sSub>
                      <m:e>
                        <m:r>
                          <m:t xml:space="preserve">D</m:t>
                        </m:r>
                      </m:e>
                      <m:sub>
                        <m:r>
                          <m:t xml:space="preserve">E</m:t>
                        </m:r>
                      </m:sub>
                    </m:sSub>
                  </m:den>
                </m:f>
                <m:r>
                  <m:rPr>
                    <m:sty m:val="p"/>
                  </m:rPr>
                  <m:t xml:space="preserve">∈</m:t>
                </m:r>
                <m:r>
                  <m:rPr>
                    <m:sty m:val="p"/>
                  </m:rPr>
                  <m:t xml:space="preserve">[</m:t>
                </m:r>
                <m:r>
                  <m:rPr>
                    <m:sty m:val="p"/>
                  </m:rPr>
                  <m:t xml:space="preserve">0</m:t>
                </m:r>
                <m:r>
                  <m:rPr>
                    <m:sty m:val="p"/>
                  </m:rPr>
                  <m:t xml:space="preserve">,</m:t>
                </m:r>
                <m:r>
                  <m:rPr>
                    <m:sty m:val="p"/>
                  </m:rPr>
                  <m:t xml:space="preserve">1</m:t>
                </m:r>
                <m:r>
                  <m:rPr>
                    <m:sty m:val="p"/>
                  </m:rPr>
                  <m:t xml:space="preserve">]</m:t>
                </m:r>
              </m:oMath>
            </m:oMathPara>
          </w:p>
        </w:tc>
        <w:tc>
          <w:tcPr>
            <w:tcW w:type="dxa" w:w="700"/>
            <w:vAlign w:val="center"/>
          </w:tcPr>
          <w:p>
            <w:pPr>
              <w:pStyle w:val="BodyText"/>
              <w:spacing w:before="60" w:after="60"/>
              <w:jc w:val="right"/>
            </w:pPr>
            <w:r>
              <w:t xml:space="preserve">(4)</w:t>
            </w:r>
          </w:p>
        </w:tc>
      </w:tr>
    </w:tbl>
    <w:p>
      <w:pPr>
        <w:pStyle w:val="BodyText"/>
      </w:pPr>
      <w:r>
        <w:t xml:space="preserve">is the fraction of the total absolute change that is invisible to the signed mean. It is zero when all edges change in the same direction, in which case </w:t>
      </w:r>
      <w:r>
        <w:rPr>
          <w:i/>
          <w:iCs/>
        </w:rPr>
        <w:t xml:space="preserve">D</w:t>
      </w:r>
      <w:r>
        <w:rPr>
          <w:i/>
          <w:iCs/>
          <w:vertAlign w:val="subscript"/>
        </w:rPr>
        <w:t xml:space="preserve">E</w:t>
      </w:r>
      <w:r>
        <w:t xml:space="preserve"> and </w:t>
      </w:r>
      <w:r>
        <w:t xml:space="preserve">|Δ̄</w:t>
      </w:r>
      <w:r>
        <w:rPr>
          <w:i/>
          <w:iCs/>
          <w:vertAlign w:val="subscript"/>
        </w:rPr>
        <w:t xml:space="preserve">E</w:t>
      </w:r>
      <w:r>
        <w:t xml:space="preserve">|</w:t>
      </w:r>
      <w:r>
        <w:t xml:space="preserve"> coincide, and one when positive and negative changes balance exactly, in which case the signed control is blind however large </w:t>
      </w:r>
      <w:r>
        <w:rPr>
          <w:i/>
          <w:iCs/>
        </w:rPr>
        <w:t xml:space="preserve">D</w:t>
      </w:r>
      <w:r>
        <w:rPr>
          <w:i/>
          <w:iCs/>
          <w:vertAlign w:val="subscript"/>
        </w:rPr>
        <w:t xml:space="preserve">E</w:t>
      </w:r>
      <w:r>
        <w:t xml:space="preserve"> may be. The pair </w:t>
      </w:r>
      <w:r>
        <w:t xml:space="preserve">(|Δ̄</w:t>
      </w:r>
      <w:r>
        <w:rPr>
          <w:i/>
          <w:iCs/>
          <w:vertAlign w:val="subscript"/>
        </w:rPr>
        <w:t xml:space="preserve">E</w:t>
      </w:r>
      <w:r>
        <w:t xml:space="preserve">|,</w:t>
      </w:r>
      <w:r>
        <w:rPr>
          <w:i/>
          <w:iCs/>
        </w:rPr>
        <w:t xml:space="preserve">C</w:t>
      </w:r>
      <w:r>
        <w:rPr>
          <w:i/>
          <w:iCs/>
          <w:vertAlign w:val="subscript"/>
        </w:rPr>
        <w:t xml:space="preserve">E</w:t>
      </w:r>
      <w:r>
        <w:t xml:space="preserve">)</w:t>
      </w:r>
      <w:r>
        <w:t xml:space="preserve">, or equivalently </w:t>
      </w:r>
      <w:r>
        <w:t xml:space="preserve">(</w:t>
      </w:r>
      <w:r>
        <w:rPr>
          <w:i/>
          <w:iCs/>
        </w:rPr>
        <w:t xml:space="preserve">D</w:t>
      </w:r>
      <w:r>
        <w:rPr>
          <w:i/>
          <w:iCs/>
          <w:vertAlign w:val="subscript"/>
        </w:rPr>
        <w:t xml:space="preserve">E</w:t>
      </w:r>
      <w:r>
        <w:t xml:space="preserve">,</w:t>
      </w:r>
      <w:r>
        <w:rPr>
          <w:i/>
          <w:iCs/>
        </w:rPr>
        <w:t xml:space="preserve">κ</w:t>
      </w:r>
      <w:r>
        <w:rPr>
          <w:i/>
          <w:iCs/>
          <w:vertAlign w:val="subscript"/>
        </w:rPr>
        <w:t xml:space="preserve">E</w:t>
      </w:r>
      <w:r>
        <w:t xml:space="preserve">)</w:t>
      </w:r>
      <w:r>
        <w:t xml:space="preserve">, is therefore a two-coordinate description of the change with no free parameter: lines of constant </w:t>
      </w:r>
      <w:r>
        <w:rPr>
          <w:i/>
          <w:iCs/>
        </w:rPr>
        <w:t xml:space="preserve">D</w:t>
      </w:r>
      <w:r>
        <w:rPr>
          <w:i/>
          <w:iCs/>
          <w:vertAlign w:val="subscript"/>
        </w:rPr>
        <w:t xml:space="preserve">E</w:t>
      </w:r>
      <w:r>
        <w:t xml:space="preserve"> are anti-diagonals of the </w:t>
      </w:r>
      <w:r>
        <w:t xml:space="preserve">(|Δ̄</w:t>
      </w:r>
      <w:r>
        <w:rPr>
          <w:i/>
          <w:iCs/>
          <w:vertAlign w:val="subscript"/>
        </w:rPr>
        <w:t xml:space="preserve">E</w:t>
      </w:r>
      <w:r>
        <w:t xml:space="preserve">|,</w:t>
      </w:r>
      <w:r>
        <w:rPr>
          <w:i/>
          <w:iCs/>
        </w:rPr>
        <w:t xml:space="preserve">C</w:t>
      </w:r>
      <w:r>
        <w:rPr>
          <w:i/>
          <w:iCs/>
          <w:vertAlign w:val="subscript"/>
        </w:rPr>
        <w:t xml:space="preserve">E</w:t>
      </w:r>
      <w:r>
        <w:t xml:space="preserve">)</w:t>
      </w:r>
      <w:r>
        <w:t xml:space="preserve"> plane, and the position along such a line is fixed by </w:t>
      </w:r>
      <w:r>
        <w:rPr>
          <w:i/>
          <w:iCs/>
        </w:rPr>
        <w:t xml:space="preserve">κ</w:t>
      </w:r>
      <w:r>
        <w:rPr>
          <w:i/>
          <w:iCs/>
          <w:vertAlign w:val="subscript"/>
        </w:rPr>
        <w:t xml:space="preserve">E</w:t>
      </w:r>
      <w:r>
        <w:t xml:space="preserve"> (Fig. 1a).</w:t>
      </w:r>
    </w:p>
    <w:p>
      <w:pPr>
        <w:pStyle w:val="BodyText"/>
      </w:pPr>
      <w:r>
        <w:t xml:space="preserve">The decomposition also explains why scalar combinations of the two statistics are not used. A statistic such as </w:t>
      </w:r>
      <w:r>
        <w:rPr>
          <w:i/>
          <w:iCs/>
        </w:rPr>
        <w:t xml:space="preserve">D</w:t>
      </w:r>
      <w:r>
        <w:t xml:space="preserve">−</w:t>
      </w:r>
      <w:r>
        <w:rPr>
          <w:i/>
          <w:iCs/>
        </w:rPr>
        <w:t xml:space="preserve">λ</w:t>
      </w:r>
      <w:r>
        <w:t xml:space="preserve">|Δ</w:t>
      </w:r>
      <w:r>
        <w:rPr>
          <w:i/>
          <w:iCs/>
        </w:rPr>
        <w:t xml:space="preserve">τ</w:t>
      </w:r>
      <w:r>
        <w:rPr>
          <w:vertAlign w:val="subscript"/>
        </w:rPr>
        <w:t xml:space="preserve">s</w:t>
      </w:r>
      <w:r>
        <w:t xml:space="preserve">|</w:t>
      </w:r>
      <w:r>
        <w:t xml:space="preserve">, or a rule that fires on </w:t>
      </w:r>
      <w:r>
        <w:rPr>
          <w:i/>
          <w:iCs/>
        </w:rPr>
        <w:t xml:space="preserve">D</w:t>
      </w:r>
      <w:r>
        <w:t xml:space="preserve"> only while </w:t>
      </w:r>
      <w:r>
        <w:rPr>
          <w:i/>
          <w:iCs/>
        </w:rPr>
        <w:t xml:space="preserve">τ</w:t>
      </w:r>
      <w:r>
        <w:rPr>
          <w:vertAlign w:val="subscript"/>
        </w:rPr>
        <w:t xml:space="preserve">s</w:t>
      </w:r>
      <w:r>
        <w:t xml:space="preserve"> stays within its band, subtracts from </w:t>
      </w:r>
      <w:r>
        <w:rPr>
          <w:i/>
          <w:iCs/>
        </w:rPr>
        <w:t xml:space="preserve">D</w:t>
      </w:r>
      <w:r>
        <w:t xml:space="preserve"> the coherent component that </w:t>
      </w:r>
      <w:r>
        <w:rPr>
          <w:i/>
          <w:iCs/>
        </w:rPr>
        <w:t xml:space="preserve">D</w:t>
      </w:r>
      <w:r>
        <w:t xml:space="preserve"> already contains. Such constructions suppress the alarm precisely when the change is global and obvious, and their weight has no calibration principle. Equation (3) makes them unnecessary: the information on which they draw is carried, without a weight, by the coordinates </w:t>
      </w:r>
      <w:r>
        <w:t xml:space="preserve">(|Δ̄</w:t>
      </w:r>
      <w:r>
        <w:rPr>
          <w:i/>
          <w:iCs/>
          <w:vertAlign w:val="subscript"/>
        </w:rPr>
        <w:t xml:space="preserve">E</w:t>
      </w:r>
      <w:r>
        <w:t xml:space="preserve">|,</w:t>
      </w:r>
      <w:r>
        <w:rPr>
          <w:i/>
          <w:iCs/>
        </w:rPr>
        <w:t xml:space="preserve">C</w:t>
      </w:r>
      <w:r>
        <w:rPr>
          <w:i/>
          <w:iCs/>
          <w:vertAlign w:val="subscript"/>
        </w:rPr>
        <w:t xml:space="preserve">E</w:t>
      </w:r>
      <w:r>
        <w:t xml:space="preserve">)</w:t>
      </w:r>
      <w:r>
        <w:t xml:space="preserve">.</w:t>
      </w:r>
    </w:p>
    <w:p>
      <w:pPr>
        <w:pStyle w:val="BodyText"/>
        <w:keepNext/>
      </w:pPr>
      <w:r>
        <w:t xml:space="preserve">The identity is exact when the signed control is computed on the same edge set as </w:t>
      </w:r>
      <w:r>
        <w:rPr>
          <w:i/>
          <w:iCs/>
        </w:rPr>
        <w:t xml:space="preserve">D</w:t>
      </w:r>
      <w:r>
        <w:rPr>
          <w:i/>
          <w:iCs/>
          <w:vertAlign w:val="subscript"/>
        </w:rPr>
        <w:t xml:space="preserve">E</w:t>
      </w:r>
      <w:r>
        <w:t xml:space="preserve">. The Systemic Tau of the companion article averages over all pairs, of which </w:t>
      </w:r>
      <w:r>
        <w:rPr>
          <w:i/>
          <w:iCs/>
        </w:rPr>
        <w:t xml:space="preserve">E</w:t>
      </w:r>
      <w:r>
        <w:t xml:space="preserve"> is a subset of relative size </w:t>
      </w:r>
      <w:r>
        <w:rPr>
          <w:i/>
          <w:iCs/>
        </w:rPr>
        <w:t xml:space="preserve">ρ</w:t>
      </w:r>
      <w:r>
        <w:t xml:space="preserve">=|</w:t>
      </w:r>
      <w:r>
        <w:rPr>
          <w:i/>
          <w:iCs/>
        </w:rPr>
        <w:t xml:space="preserve">E</w:t>
      </w:r>
      <w:r>
        <w:t xml:space="preserve">|/|</w:t>
      </w:r>
      <w:r>
        <w:rPr>
          <w:i/>
          <w:iCs/>
        </w:rPr>
        <w:t xml:space="preserve">P</w:t>
      </w:r>
      <w:r>
        <w:t xml:space="preserve">|</w:t>
      </w:r>
      <w:r>
        <w:t xml:space="preserve">. Its change from calibration, </w:t>
      </w:r>
      <w:r>
        <w:t xml:space="preserve">Δ̄</w:t>
      </w:r>
      <w:r>
        <w:rPr>
          <w:i/>
          <w:iCs/>
          <w:vertAlign w:val="subscript"/>
        </w:rPr>
        <w:t xml:space="preserve">P</w:t>
      </w:r>
      <w:r>
        <w:t xml:space="preserve">=</w:t>
      </w:r>
      <w:r>
        <w:rPr>
          <w:i/>
          <w:iCs/>
        </w:rPr>
        <w:t xml:space="preserve">τ</w:t>
      </w:r>
      <w:r>
        <w:rPr>
          <w:vertAlign w:val="subscript"/>
        </w:rPr>
        <w:t xml:space="preserve">s</w:t>
      </w:r>
      <w:r>
        <w:t xml:space="preserve">(</w:t>
      </w:r>
      <w:r>
        <w:rPr>
          <w:i/>
          <w:iCs/>
        </w:rPr>
        <w:t xml:space="preserve">t</w:t>
      </w:r>
      <w:r>
        <w:t xml:space="preserve">)−</w:t>
      </w:r>
      <w:r>
        <w:rPr>
          <w:i/>
          <w:iCs/>
        </w:rPr>
        <w:t xml:space="preserve">τ</w:t>
      </w:r>
      <w:r>
        <w:rPr>
          <w:vertAlign w:val="subscript"/>
        </w:rPr>
        <w:t xml:space="preserve">s</w:t>
      </w:r>
      <w:r>
        <w:rPr>
          <w:vertAlign w:val="superscript"/>
        </w:rPr>
        <w:t xml:space="preserve">cal</w:t>
      </w:r>
      <w:r>
        <w:t xml:space="preserve">, mixes the signed changes on and off the edge set, and the decomposition acquires a remainder:</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
                  <m:e>
                    <m:bar>
                      <m:barPr>
                        <m:pos m:val="top"/>
                      </m:barPr>
                      <m:e>
                        <m:r>
                          <m:rPr>
                            <m:sty m:val="p"/>
                          </m:rPr>
                          <m:t xml:space="preserve">Δ</m:t>
                        </m:r>
                      </m:e>
                    </m:bar>
                  </m:e>
                  <m:sub>
                    <m:r>
                      <m:t xml:space="preserve">P</m:t>
                    </m:r>
                  </m:sub>
                </m:sSub>
                <m:r>
                  <m:rPr>
                    <m:sty m:val="p"/>
                  </m:rPr>
                  <m:t xml:space="preserve">=</m:t>
                </m:r>
                <m:r>
                  <m:t xml:space="preserve">ρ</m:t>
                </m:r>
                <m:r>
                  <m:rPr>
                    <m:nor/>
                  </m:rPr>
                  <m:t xml:space="preserve"> </m:t>
                </m:r>
                <m:sSub>
                  <m:e>
                    <m:bar>
                      <m:barPr>
                        <m:pos m:val="top"/>
                      </m:barPr>
                      <m:e>
                        <m:r>
                          <m:rPr>
                            <m:sty m:val="p"/>
                          </m:rPr>
                          <m:t xml:space="preserve">Δ</m:t>
                        </m:r>
                      </m:e>
                    </m:bar>
                  </m:e>
                  <m:sub>
                    <m:r>
                      <m:t xml:space="preserve">E</m:t>
                    </m:r>
                  </m:sub>
                </m:sSub>
                <m:r>
                  <m:rPr>
                    <m:sty m:val="p"/>
                  </m:rPr>
                  <m:t xml:space="preserve">+</m:t>
                </m:r>
                <m:r>
                  <m:rPr>
                    <m:sty m:val="p"/>
                  </m:rPr>
                  <m:t xml:space="preserve">(</m:t>
                </m:r>
                <m:r>
                  <m:rPr>
                    <m:sty m:val="p"/>
                  </m:rPr>
                  <m:t xml:space="preserve">1</m:t>
                </m:r>
                <m:r>
                  <m:rPr>
                    <m:sty m:val="p"/>
                  </m:rPr>
                  <m:t xml:space="preserve">−</m:t>
                </m:r>
                <m:r>
                  <m:t xml:space="preserve">ρ</m:t>
                </m:r>
                <m:r>
                  <m:rPr>
                    <m:sty m:val="p"/>
                  </m:rPr>
                  <m:t xml:space="preserve">)</m:t>
                </m:r>
                <m:r>
                  <m:rPr>
                    <m:nor/>
                  </m:rPr>
                  <m:t xml:space="preserve"> </m:t>
                </m:r>
                <m:sSub>
                  <m:e>
                    <m:bar>
                      <m:barPr>
                        <m:pos m:val="top"/>
                      </m:barPr>
                      <m:e>
                        <m:r>
                          <m:rPr>
                            <m:sty m:val="p"/>
                          </m:rPr>
                          <m:t xml:space="preserve">Δ</m:t>
                        </m:r>
                      </m:e>
                    </m:bar>
                  </m:e>
                  <m:sub>
                    <m:r>
                      <m:t xml:space="preserve">P</m:t>
                    </m:r>
                    <m:r>
                      <m:rPr>
                        <m:sty m:val="p"/>
                      </m:rPr>
                      <m:t xml:space="preserve">∖</m:t>
                    </m:r>
                    <m:r>
                      <m:t xml:space="preserve">E</m:t>
                    </m:r>
                  </m:sub>
                </m:sSub>
                <m:r>
                  <m:rPr>
                    <m:sty m:val="p"/>
                  </m:rPr>
                  <m:t xml:space="preserve">,</m:t>
                </m:r>
                <m:r>
                  <m:rPr>
                    <m:nor/>
                  </m:rPr>
                  <m:t xml:space="preserve">  </m:t>
                </m:r>
                <m:sSub>
                  <m:e>
                    <m:r>
                      <m:t xml:space="preserve">D</m:t>
                    </m:r>
                  </m:e>
                  <m:sub>
                    <m:r>
                      <m:t xml:space="preserve">E</m:t>
                    </m:r>
                  </m:sub>
                </m:sSub>
                <m:r>
                  <m:rPr>
                    <m:sty m:val="p"/>
                  </m:rPr>
                  <m:t xml:space="preserve">=</m:t>
                </m:r>
                <m:d>
                  <m:dPr>
                    <m:begChr m:val="|"/>
                    <m:endChr m:val="|"/>
                  </m:dPr>
                  <m:e>
                    <m:sSub>
                      <m:e>
                        <m:bar>
                          <m:barPr>
                            <m:pos m:val="top"/>
                          </m:barPr>
                          <m:e>
                            <m:r>
                              <m:rPr>
                                <m:sty m:val="p"/>
                              </m:rPr>
                              <m:t xml:space="preserve">Δ</m:t>
                            </m:r>
                          </m:e>
                        </m:bar>
                      </m:e>
                      <m:sub>
                        <m:r>
                          <m:t xml:space="preserve">P</m:t>
                        </m:r>
                      </m:sub>
                    </m:sSub>
                  </m:e>
                </m:d>
                <m:r>
                  <m:rPr>
                    <m:sty m:val="p"/>
                  </m:rPr>
                  <m:t xml:space="preserve">+</m:t>
                </m:r>
                <m:sSub>
                  <m:e>
                    <m:r>
                      <m:t xml:space="preserve">C</m:t>
                    </m:r>
                  </m:e>
                  <m:sub>
                    <m:r>
                      <m:t xml:space="preserve">E</m:t>
                    </m:r>
                  </m:sub>
                </m:sSub>
                <m:r>
                  <m:rPr>
                    <m:sty m:val="p"/>
                  </m:rPr>
                  <m:t xml:space="preserve">+</m:t>
                </m:r>
                <m:r>
                  <m:t xml:space="preserve">R</m:t>
                </m:r>
                <m:r>
                  <m:rPr>
                    <m:sty m:val="p"/>
                  </m:rPr>
                  <m:t xml:space="preserve">,</m:t>
                </m:r>
                <m:r>
                  <m:rPr>
                    <m:nor/>
                  </m:rPr>
                  <m:t xml:space="preserve">  </m:t>
                </m:r>
                <m:d>
                  <m:dPr>
                    <m:begChr m:val="|"/>
                    <m:endChr m:val="|"/>
                  </m:dPr>
                  <m:e>
                    <m:r>
                      <m:t xml:space="preserve">R</m:t>
                    </m:r>
                  </m:e>
                </m:d>
                <m:r>
                  <m:rPr>
                    <m:sty m:val="p"/>
                  </m:rPr>
                  <m:t xml:space="preserve">≤</m:t>
                </m:r>
                <m:r>
                  <m:rPr>
                    <m:sty m:val="p"/>
                  </m:rPr>
                  <m:t xml:space="preserve">(</m:t>
                </m:r>
                <m:r>
                  <m:rPr>
                    <m:sty m:val="p"/>
                  </m:rPr>
                  <m:t xml:space="preserve">1</m:t>
                </m:r>
                <m:r>
                  <m:rPr>
                    <m:sty m:val="p"/>
                  </m:rPr>
                  <m:t xml:space="preserve">−</m:t>
                </m:r>
                <m:r>
                  <m:t xml:space="preserve">ρ</m:t>
                </m:r>
                <m:r>
                  <m:rPr>
                    <m:sty m:val="p"/>
                  </m:rPr>
                  <m:t xml:space="preserve">)</m:t>
                </m:r>
                <m:d>
                  <m:dPr>
                    <m:begChr m:val="|"/>
                    <m:endChr m:val="|"/>
                  </m:dPr>
                  <m:e>
                    <m:sSub>
                      <m:e>
                        <m:bar>
                          <m:barPr>
                            <m:pos m:val="top"/>
                          </m:barPr>
                          <m:e>
                            <m:r>
                              <m:rPr>
                                <m:sty m:val="p"/>
                              </m:rPr>
                              <m:t xml:space="preserve">Δ</m:t>
                            </m:r>
                          </m:e>
                        </m:bar>
                      </m:e>
                      <m:sub>
                        <m:r>
                          <m:t xml:space="preserve">P</m:t>
                        </m:r>
                        <m:r>
                          <m:rPr>
                            <m:sty m:val="p"/>
                          </m:rPr>
                          <m:t xml:space="preserve">∖</m:t>
                        </m:r>
                        <m:r>
                          <m:t xml:space="preserve">E</m:t>
                        </m:r>
                      </m:sub>
                    </m:sSub>
                    <m:r>
                      <m:rPr>
                        <m:sty m:val="p"/>
                      </m:rPr>
                      <m:t xml:space="preserve">−</m:t>
                    </m:r>
                    <m:sSub>
                      <m:e>
                        <m:bar>
                          <m:barPr>
                            <m:pos m:val="top"/>
                          </m:barPr>
                          <m:e>
                            <m:r>
                              <m:rPr>
                                <m:sty m:val="p"/>
                              </m:rPr>
                              <m:t xml:space="preserve">Δ</m:t>
                            </m:r>
                          </m:e>
                        </m:bar>
                      </m:e>
                      <m:sub>
                        <m:r>
                          <m:t xml:space="preserve">E</m:t>
                        </m:r>
                      </m:sub>
                    </m:sSub>
                  </m:e>
                </m:d>
              </m:oMath>
            </m:oMathPara>
          </w:p>
        </w:tc>
        <w:tc>
          <w:tcPr>
            <w:tcW w:type="dxa" w:w="700"/>
            <w:vAlign w:val="center"/>
          </w:tcPr>
          <w:p>
            <w:pPr>
              <w:pStyle w:val="BodyText"/>
              <w:spacing w:before="60" w:after="60"/>
              <w:jc w:val="right"/>
            </w:pPr>
            <w:r>
              <w:t xml:space="preserve">(5)</w:t>
            </w:r>
          </w:p>
        </w:tc>
      </w:tr>
    </w:tbl>
    <w:p>
      <w:pPr>
        <w:pStyle w:val="BodyText"/>
      </w:pPr>
      <w:r>
        <w:t xml:space="preserve">The remainder vanishes when </w:t>
      </w:r>
      <w:r>
        <w:rPr>
          <w:i/>
          <w:iCs/>
        </w:rPr>
        <w:t xml:space="preserve">E</w:t>
      </w:r>
      <w:r>
        <w:t xml:space="preserve">=</w:t>
      </w:r>
      <w:r>
        <w:rPr>
          <w:i/>
          <w:iCs/>
        </w:rPr>
        <w:t xml:space="preserve">P</w:t>
      </w:r>
      <w:r>
        <w:t xml:space="preserve"> and is bounded by the disagreement between the signed changes on and off </w:t>
      </w:r>
      <w:r>
        <w:rPr>
          <w:i/>
          <w:iCs/>
        </w:rPr>
        <w:t xml:space="preserve">E</w:t>
      </w:r>
      <w:r>
        <w:t xml:space="preserve">. The all-pairs </w:t>
      </w:r>
      <w:r>
        <w:rPr>
          <w:i/>
          <w:iCs/>
        </w:rPr>
        <w:t xml:space="preserve">τ</w:t>
      </w:r>
      <w:r>
        <w:rPr>
          <w:vertAlign w:val="subscript"/>
        </w:rPr>
        <w:t xml:space="preserve">s</w:t>
      </w:r>
      <w:r>
        <w:t xml:space="preserve"> can therefore move while every monitored edge is unchanged, and it can stay still while the edge set cancels; we recommend reporting the edge-restricted control </w:t>
      </w:r>
      <w:r>
        <w:rPr>
          <w:i/>
          <w:iCs/>
        </w:rPr>
        <w:t xml:space="preserve">τ</w:t>
      </w:r>
      <w:r>
        <w:rPr>
          <w:vertAlign w:val="subscript"/>
        </w:rPr>
        <w:t xml:space="preserve">s,</w:t>
      </w:r>
      <w:r>
        <w:rPr>
          <w:i/>
          <w:iCs/>
          <w:vertAlign w:val="subscript"/>
        </w:rPr>
        <w:t xml:space="preserve">E</w:t>
      </w:r>
      <w:r>
        <w:t xml:space="preserve">, for which equation (3) holds exactly, alongside </w:t>
      </w:r>
      <w:r>
        <w:rPr>
          <w:i/>
          <w:iCs/>
        </w:rPr>
        <w:t xml:space="preserve">τ</w:t>
      </w:r>
      <w:r>
        <w:rPr>
          <w:vertAlign w:val="subscript"/>
        </w:rPr>
        <w:t xml:space="preserve">s</w:t>
      </w:r>
      <w:r>
        <w:t xml:space="preserve"> over all pairs.</w:t>
      </w:r>
    </w:p>
    <w:p>
      <w:pPr>
        <w:pStyle w:val="BodyText"/>
      </w:pPr>
      <w:r>
        <w:t xml:space="preserve">Because every </w:t>
      </w:r>
      <w:r>
        <w:rPr>
          <w:i/>
          <w:iCs/>
        </w:rPr>
        <w:t xml:space="preserve">τ</w:t>
      </w:r>
      <w:r>
        <w:rPr>
          <w:i/>
          <w:iCs/>
          <w:vertAlign w:val="subscript"/>
        </w:rPr>
        <w:t xml:space="preserve">b</w:t>
      </w:r>
      <w:r>
        <w:t xml:space="preserve"> lies in </w:t>
      </w:r>
      <w:r>
        <w:t xml:space="preserve">[−1,1]</w:t>
      </w:r>
      <w:r>
        <w:t xml:space="preserve">, </w:t>
      </w:r>
      <w:r>
        <w:t xml:space="preserve">0≤|Δ̄</w:t>
      </w:r>
      <w:r>
        <w:rPr>
          <w:i/>
          <w:iCs/>
          <w:vertAlign w:val="subscript"/>
        </w:rPr>
        <w:t xml:space="preserve">E</w:t>
      </w:r>
      <w:r>
        <w:t xml:space="preserve">|≤</w:t>
      </w:r>
      <w:r>
        <w:rPr>
          <w:i/>
          <w:iCs/>
        </w:rPr>
        <w:t xml:space="preserve">D</w:t>
      </w:r>
      <w:r>
        <w:rPr>
          <w:i/>
          <w:iCs/>
          <w:vertAlign w:val="subscript"/>
        </w:rPr>
        <w:t xml:space="preserve">E</w:t>
      </w:r>
      <w:r>
        <w:t xml:space="preserve">≤1+|</w:t>
      </w:r>
      <w:r>
        <w:rPr>
          <w:i/>
          <w:iCs/>
        </w:rPr>
        <w:t xml:space="preserve">E</w:t>
      </w:r>
      <w:r>
        <w:t xml:space="preserve">|</w:t>
      </w:r>
      <w:r>
        <w:rPr>
          <w:vertAlign w:val="superscript"/>
        </w:rPr>
        <w:t xml:space="preserve">−1</w:t>
      </w:r>
      <w:r>
        <w:t xml:space="preserve">Σ</w:t>
      </w:r>
      <w:r>
        <w:rPr>
          <w:i/>
          <w:iCs/>
          <w:vertAlign w:val="subscript"/>
        </w:rPr>
        <w:t xml:space="preserve">e</w:t>
      </w:r>
      <w:r>
        <w:t xml:space="preserve">|</w:t>
      </w:r>
      <w:r>
        <w:rPr>
          <w:i/>
          <w:iCs/>
        </w:rPr>
        <w:t xml:space="preserve">B</w:t>
      </w:r>
      <w:r>
        <w:rPr>
          <w:i/>
          <w:iCs/>
          <w:vertAlign w:val="subscript"/>
        </w:rPr>
        <w:t xml:space="preserve">e</w:t>
      </w:r>
      <w:r>
        <w:t xml:space="preserve">|≤2</w:t>
      </w:r>
      <w:r>
        <w:t xml:space="preserve"> and </w:t>
      </w:r>
      <w:r>
        <w:t xml:space="preserve">0≤</w:t>
      </w:r>
      <w:r>
        <w:rPr>
          <w:i/>
          <w:iCs/>
        </w:rPr>
        <w:t xml:space="preserve">C</w:t>
      </w:r>
      <w:r>
        <w:rPr>
          <w:i/>
          <w:iCs/>
          <w:vertAlign w:val="subscript"/>
        </w:rPr>
        <w:t xml:space="preserve">E</w:t>
      </w:r>
      <w:r>
        <w:t xml:space="preserve">≤</w:t>
      </w:r>
      <w:r>
        <w:rPr>
          <w:i/>
          <w:iCs/>
        </w:rPr>
        <w:t xml:space="preserve">D</w:t>
      </w:r>
      <w:r>
        <w:rPr>
          <w:i/>
          <w:iCs/>
          <w:vertAlign w:val="subscript"/>
        </w:rPr>
        <w:t xml:space="preserve">E</w:t>
      </w:r>
      <w:r>
        <w:t xml:space="preserve">. Being rank-based, like ordinal-pattern measures</w:t>
      </w:r>
      <w:r>
        <w:rPr>
          <w:vertAlign w:val="superscript"/>
        </w:rPr>
        <w:t xml:space="preserve">9</w:t>
      </w:r>
      <w:r>
        <w:t xml:space="preserve">, all these quantities are invariant to strictly increasing transformations of any stream and to relabelling of modules. Only </w:t>
      </w:r>
      <w:r>
        <w:rPr>
          <w:i/>
          <w:iCs/>
        </w:rPr>
        <w:t xml:space="preserve">D</w:t>
      </w:r>
      <w:r>
        <w:rPr>
          <w:i/>
          <w:iCs/>
          <w:vertAlign w:val="subscript"/>
        </w:rPr>
        <w:t xml:space="preserve">E</w:t>
      </w:r>
      <w:r>
        <w:t xml:space="preserve"> is also invariant to reversing the polarity of a module, for instance to the choice of which of two complementary codes counts as active: reversal negates every concordance involving that module, and with it the signs of its edge changes, which alters </w:t>
      </w:r>
      <w:r>
        <w:t xml:space="preserve">|Δ̄</w:t>
      </w:r>
      <w:r>
        <w:rPr>
          <w:i/>
          <w:iCs/>
          <w:vertAlign w:val="subscript"/>
        </w:rPr>
        <w:t xml:space="preserve">E</w:t>
      </w:r>
      <w:r>
        <w:t xml:space="preserve">|</w:t>
      </w:r>
      <w:r>
        <w:t xml:space="preserve">, </w:t>
      </w:r>
      <w:r>
        <w:rPr>
          <w:i/>
          <w:iCs/>
        </w:rPr>
        <w:t xml:space="preserve">C</w:t>
      </w:r>
      <w:r>
        <w:rPr>
          <w:i/>
          <w:iCs/>
          <w:vertAlign w:val="subscript"/>
        </w:rPr>
        <w:t xml:space="preserve">E</w:t>
      </w:r>
      <w:r>
        <w:t xml:space="preserve"> and </w:t>
      </w:r>
      <w:r>
        <w:rPr>
          <w:i/>
          <w:iCs/>
        </w:rPr>
        <w:t xml:space="preserve">κ</w:t>
      </w:r>
      <w:r>
        <w:rPr>
          <w:i/>
          <w:iCs/>
          <w:vertAlign w:val="subscript"/>
        </w:rPr>
        <w:t xml:space="preserve">E</w:t>
      </w:r>
      <w:r>
        <w:t xml:space="preserve"> but not their sum (Methods). The split between coherent and cancelled change is thus defined relative to the sign convention of each stream; </w:t>
      </w:r>
      <w:r>
        <w:rPr>
          <w:i/>
          <w:iCs/>
        </w:rPr>
        <w:t xml:space="preserve">D</w:t>
      </w:r>
      <w:r>
        <w:rPr>
          <w:i/>
          <w:iCs/>
          <w:vertAlign w:val="subscript"/>
        </w:rPr>
        <w:t xml:space="preserve">E</w:t>
      </w:r>
      <w:r>
        <w:t xml:space="preserve"> is not.</w:t>
      </w:r>
    </w:p>
    <w:p>
      <w:pPr>
        <w:pStyle w:val="Heading1"/>
      </w:pPr>
      <w:r>
        <w:t xml:space="preserve">Behaviour without change and a calibrated alarm</w:t>
      </w:r>
    </w:p>
    <w:p>
      <w:pPr>
        <w:pStyle w:val="BodyText"/>
        <w:keepNext/>
      </w:pPr>
      <w:r>
        <w:t xml:space="preserve">Neither </w:t>
      </w:r>
      <w:r>
        <w:rPr>
          <w:i/>
          <w:iCs/>
        </w:rPr>
        <w:t xml:space="preserve">D</w:t>
      </w:r>
      <w:r>
        <w:rPr>
          <w:i/>
          <w:iCs/>
          <w:vertAlign w:val="subscript"/>
        </w:rPr>
        <w:t xml:space="preserve">E</w:t>
      </w:r>
      <w:r>
        <w:t xml:space="preserve"> nor </w:t>
      </w:r>
      <w:r>
        <w:rPr>
          <w:i/>
          <w:iCs/>
        </w:rPr>
        <w:t xml:space="preserve">κ</w:t>
      </w:r>
      <w:r>
        <w:rPr>
          <w:i/>
          <w:iCs/>
          <w:vertAlign w:val="subscript"/>
        </w:rPr>
        <w:t xml:space="preserve">E</w:t>
      </w:r>
      <w:r>
        <w:t xml:space="preserve"> is near zero when nothing has changed. Each </w:t>
      </w:r>
      <w:r>
        <w:t xml:space="preserve">Δ</w:t>
      </w:r>
      <w:r>
        <w:rPr>
          <w:i/>
          <w:iCs/>
          <w:vertAlign w:val="subscript"/>
        </w:rPr>
        <w:t xml:space="preserve">e</w:t>
      </w:r>
      <w:r>
        <w:t xml:space="preserve"> then carries the estimation error of the current window and of the baseline, with a standard deviation </w:t>
      </w:r>
      <w:r>
        <w:rPr>
          <w:i/>
          <w:iCs/>
        </w:rPr>
        <w:t xml:space="preserve">σ</w:t>
      </w:r>
      <w:r>
        <w:rPr>
          <w:i/>
          <w:iCs/>
          <w:vertAlign w:val="subscript"/>
        </w:rPr>
        <w:t xml:space="preserve">e</w:t>
      </w:r>
      <w:r>
        <w:t xml:space="preserve"> that follows from Kendall’s null variance with ties</w:t>
      </w:r>
      <w:r>
        <w:rPr>
          <w:vertAlign w:val="superscript"/>
        </w:rPr>
        <w:t xml:space="preserve">5</w:t>
      </w:r>
      <w:r>
        <w:t xml:space="preserve">, the factor </w:t>
      </w:r>
      <w:r>
        <w:t xml:space="preserve">1+1/</w:t>
      </w:r>
      <w:r>
        <w:rPr>
          <w:i/>
          <w:iCs/>
        </w:rPr>
        <w:t xml:space="preserve">n</w:t>
      </w:r>
      <w:r>
        <w:rPr>
          <w:vertAlign w:val="subscript"/>
        </w:rPr>
        <w:t xml:space="preserve">cal</w:t>
      </w:r>
      <w:r>
        <w:t xml:space="preserve"> for the baseline, and a correction </w:t>
      </w:r>
      <w:r>
        <w:rPr>
          <w:i/>
          <w:iCs/>
        </w:rPr>
        <w:t xml:space="preserve">f</w:t>
      </w:r>
      <w:r>
        <w:rPr>
          <w:i/>
          <w:iCs/>
          <w:vertAlign w:val="subscript"/>
        </w:rPr>
        <w:t xml:space="preserve">e</w:t>
      </w:r>
      <w:r>
        <w:t xml:space="preserve">≥1</w:t>
      </w:r>
      <w:r>
        <w:t xml:space="preserve"> for serial correlation of the binned streams</w:t>
      </w:r>
      <w:r>
        <w:rPr>
          <w:vertAlign w:val="superscript"/>
        </w:rPr>
        <w:t xml:space="preserve">10</w:t>
      </w:r>
      <w:r>
        <w:t xml:space="preserve"> (Methods, equations (12) and (14)). For approximately Gaussian errors that are uncorrelated across edges, as for mutually independent modules,</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
                  <m:e>
                    <m:r>
                      <m:t xml:space="preserve">E</m:t>
                    </m:r>
                  </m:e>
                  <m:sub>
                    <m:r>
                      <m:rPr>
                        <m:sty m:val="p"/>
                      </m:rPr>
                      <m:t xml:space="preserve">0</m:t>
                    </m:r>
                  </m:sub>
                </m:sSub>
                <m:r>
                  <m:rPr>
                    <m:sty m:val="p"/>
                  </m:rPr>
                  <m:t xml:space="preserve">[</m:t>
                </m:r>
                <m:sSub>
                  <m:e>
                    <m:r>
                      <m:t xml:space="preserve">D</m:t>
                    </m:r>
                  </m:e>
                  <m:sub>
                    <m:r>
                      <m:t xml:space="preserve">E</m:t>
                    </m:r>
                  </m:sub>
                </m:sSub>
                <m:r>
                  <m:rPr>
                    <m:sty m:val="p"/>
                  </m:rPr>
                  <m:t xml:space="preserve">]</m:t>
                </m:r>
                <m:r>
                  <m:rPr>
                    <m:sty m:val="p"/>
                  </m:rPr>
                  <m:t xml:space="preserve">≈</m:t>
                </m:r>
                <m:rad>
                  <m:radPr>
                    <m:degHide m:val="1"/>
                  </m:radPr>
                  <m:deg/>
                  <m:e>
                    <m:f>
                      <m:num>
                        <m:r>
                          <m:rPr>
                            <m:sty m:val="p"/>
                          </m:rPr>
                          <m:t xml:space="preserve">2</m:t>
                        </m:r>
                      </m:num>
                      <m:den>
                        <m:r>
                          <m:t xml:space="preserve">π</m:t>
                        </m:r>
                      </m:den>
                    </m:f>
                  </m:e>
                </m:rad>
                <m:r>
                  <m:rPr>
                    <m:nor/>
                  </m:rPr>
                  <m:t xml:space="preserve"> </m:t>
                </m:r>
                <m:f>
                  <m:num>
                    <m:r>
                      <m:rPr>
                        <m:sty m:val="p"/>
                      </m:rPr>
                      <m:t xml:space="preserve">1</m:t>
                    </m:r>
                  </m:num>
                  <m:den>
                    <m:d>
                      <m:dPr>
                        <m:begChr m:val="|"/>
                        <m:endChr m:val="|"/>
                      </m:dPr>
                      <m:e>
                        <m:r>
                          <m:t xml:space="preserve">E</m:t>
                        </m:r>
                      </m:e>
                    </m:d>
                  </m:den>
                </m:f>
                <m:nary>
                  <m:naryPr>
                    <m:chr m:val="∑"/>
                    <m:limLoc m:val="undOvr"/>
                    <m:supHide m:val="1"/>
                  </m:naryPr>
                  <m:sub>
                    <m:r>
                      <m:t xml:space="preserve">e</m:t>
                    </m:r>
                    <m:r>
                      <m:rPr>
                        <m:sty m:val="p"/>
                      </m:rPr>
                      <m:t xml:space="preserve">∈</m:t>
                    </m:r>
                    <m:r>
                      <m:t xml:space="preserve">E</m:t>
                    </m:r>
                  </m:sub>
                  <m:sup/>
                  <m:e>
                    <m:sSub>
                      <m:e>
                        <m:r>
                          <m:t xml:space="preserve">σ</m:t>
                        </m:r>
                      </m:e>
                      <m:sub>
                        <m:r>
                          <m:t xml:space="preserve">e</m:t>
                        </m:r>
                      </m:sub>
                    </m:sSub>
                  </m:e>
                </m:nary>
                <m:r>
                  <m:rPr>
                    <m:sty m:val="p"/>
                  </m:rPr>
                  <m:t xml:space="preserve">,</m:t>
                </m:r>
                <m:r>
                  <m:rPr>
                    <m:nor/>
                  </m:rPr>
                  <m:t xml:space="preserve">  </m:t>
                </m:r>
                <m:sSub>
                  <m:e>
                    <m:r>
                      <m:t xml:space="preserve">E</m:t>
                    </m:r>
                  </m:e>
                  <m:sub>
                    <m:r>
                      <m:rPr>
                        <m:sty m:val="p"/>
                      </m:rPr>
                      <m:t xml:space="preserve">0</m:t>
                    </m:r>
                  </m:sub>
                </m:sSub>
                <m:d>
                  <m:dPr>
                    <m:begChr m:val="|"/>
                    <m:endChr m:val="|"/>
                  </m:dPr>
                  <m:e>
                    <m:sSub>
                      <m:e>
                        <m:bar>
                          <m:barPr>
                            <m:pos m:val="top"/>
                          </m:barPr>
                          <m:e>
                            <m:r>
                              <m:rPr>
                                <m:sty m:val="p"/>
                              </m:rPr>
                              <m:t xml:space="preserve">Δ</m:t>
                            </m:r>
                          </m:e>
                        </m:bar>
                      </m:e>
                      <m:sub>
                        <m:r>
                          <m:t xml:space="preserve">E</m:t>
                        </m:r>
                      </m:sub>
                    </m:sSub>
                  </m:e>
                </m:d>
                <m:r>
                  <m:rPr>
                    <m:sty m:val="p"/>
                  </m:rPr>
                  <m:t xml:space="preserve">≈</m:t>
                </m:r>
                <m:rad>
                  <m:radPr>
                    <m:degHide m:val="1"/>
                  </m:radPr>
                  <m:deg/>
                  <m:e>
                    <m:f>
                      <m:num>
                        <m:r>
                          <m:rPr>
                            <m:sty m:val="p"/>
                          </m:rPr>
                          <m:t xml:space="preserve">2</m:t>
                        </m:r>
                      </m:num>
                      <m:den>
                        <m:r>
                          <m:t xml:space="preserve">π</m:t>
                        </m:r>
                      </m:den>
                    </m:f>
                  </m:e>
                </m:rad>
                <m:r>
                  <m:rPr>
                    <m:nor/>
                  </m:rPr>
                  <m:t xml:space="preserve"> </m:t>
                </m:r>
                <m:f>
                  <m:num>
                    <m:r>
                      <m:rPr>
                        <m:sty m:val="p"/>
                      </m:rPr>
                      <m:t xml:space="preserve">1</m:t>
                    </m:r>
                  </m:num>
                  <m:den>
                    <m:d>
                      <m:dPr>
                        <m:begChr m:val="|"/>
                        <m:endChr m:val="|"/>
                      </m:dPr>
                      <m:e>
                        <m:r>
                          <m:t xml:space="preserve">E</m:t>
                        </m:r>
                      </m:e>
                    </m:d>
                  </m:den>
                </m:f>
                <m:sSup>
                  <m:e>
                    <m:d>
                      <m:dPr>
                        <m:begChr m:val="("/>
                        <m:endChr m:val=")"/>
                      </m:dPr>
                      <m:e>
                        <m:nary>
                          <m:naryPr>
                            <m:chr m:val="∑"/>
                            <m:limLoc m:val="undOvr"/>
                            <m:supHide m:val="1"/>
                          </m:naryPr>
                          <m:sub>
                            <m:r>
                              <m:t xml:space="preserve">e</m:t>
                            </m:r>
                            <m:r>
                              <m:rPr>
                                <m:sty m:val="p"/>
                              </m:rPr>
                              <m:t xml:space="preserve">∈</m:t>
                            </m:r>
                            <m:r>
                              <m:t xml:space="preserve">E</m:t>
                            </m:r>
                          </m:sub>
                          <m:sup/>
                          <m:e>
                            <m:sSubSup>
                              <m:e>
                                <m:r>
                                  <m:t xml:space="preserve">σ</m:t>
                                </m:r>
                              </m:e>
                              <m:sub>
                                <m:r>
                                  <m:t xml:space="preserve">e</m:t>
                                </m:r>
                              </m:sub>
                              <m:sup>
                                <m:r>
                                  <m:rPr>
                                    <m:sty m:val="p"/>
                                  </m:rPr>
                                  <m:t xml:space="preserve">2</m:t>
                                </m:r>
                              </m:sup>
                            </m:sSubSup>
                          </m:e>
                        </m:nary>
                      </m:e>
                    </m:d>
                  </m:e>
                  <m:sup>
                    <m:r>
                      <m:rPr>
                        <m:sty m:val="p"/>
                      </m:rPr>
                      <m:t xml:space="preserve">1</m:t>
                    </m:r>
                    <m:r>
                      <m:rPr>
                        <m:sty m:val="p"/>
                      </m:rPr>
                      <m:t xml:space="preserve">/</m:t>
                    </m:r>
                    <m:r>
                      <m:rPr>
                        <m:sty m:val="p"/>
                      </m:rPr>
                      <m:t xml:space="preserve">2</m:t>
                    </m:r>
                  </m:sup>
                </m:sSup>
                <m:r>
                  <m:rPr>
                    <m:sty m:val="p"/>
                  </m:rPr>
                  <m:t xml:space="preserve">,</m:t>
                </m:r>
                <m:r>
                  <m:rPr>
                    <m:nor/>
                  </m:rPr>
                  <m:t xml:space="preserve">  </m:t>
                </m:r>
                <m:sSub>
                  <m:e>
                    <m:r>
                      <m:t xml:space="preserve">κ</m:t>
                    </m:r>
                  </m:e>
                  <m:sub>
                    <m:r>
                      <m:rPr>
                        <m:sty m:val="p"/>
                      </m:rPr>
                      <m:t xml:space="preserve">0</m:t>
                    </m:r>
                  </m:sub>
                </m:sSub>
                <m:r>
                  <m:rPr>
                    <m:sty m:val="p"/>
                  </m:rPr>
                  <m:t xml:space="preserve">≈</m:t>
                </m:r>
                <m:r>
                  <m:rPr>
                    <m:sty m:val="p"/>
                  </m:rPr>
                  <m:t xml:space="preserve">1</m:t>
                </m:r>
                <m:r>
                  <m:rPr>
                    <m:sty m:val="p"/>
                  </m:rPr>
                  <m:t xml:space="preserve">−</m:t>
                </m:r>
                <m:f>
                  <m:num>
                    <m:sSup>
                      <m:e>
                        <m:d>
                          <m:dPr>
                            <m:begChr m:val="("/>
                            <m:endChr m:val=")"/>
                          </m:dPr>
                          <m:e>
                            <m:nary>
                              <m:naryPr>
                                <m:chr m:val="∑"/>
                                <m:limLoc m:val="undOvr"/>
                                <m:supHide m:val="1"/>
                              </m:naryPr>
                              <m:sub>
                                <m:r>
                                  <m:t xml:space="preserve">e</m:t>
                                </m:r>
                              </m:sub>
                              <m:sup/>
                              <m:e>
                                <m:sSubSup>
                                  <m:e>
                                    <m:r>
                                      <m:t xml:space="preserve">σ</m:t>
                                    </m:r>
                                  </m:e>
                                  <m:sub>
                                    <m:r>
                                      <m:t xml:space="preserve">e</m:t>
                                    </m:r>
                                  </m:sub>
                                  <m:sup>
                                    <m:r>
                                      <m:rPr>
                                        <m:sty m:val="p"/>
                                      </m:rPr>
                                      <m:t xml:space="preserve">2</m:t>
                                    </m:r>
                                  </m:sup>
                                </m:sSubSup>
                              </m:e>
                            </m:nary>
                          </m:e>
                        </m:d>
                      </m:e>
                      <m:sup>
                        <m:r>
                          <m:rPr>
                            <m:sty m:val="p"/>
                          </m:rPr>
                          <m:t xml:space="preserve">1</m:t>
                        </m:r>
                        <m:r>
                          <m:rPr>
                            <m:sty m:val="p"/>
                          </m:rPr>
                          <m:t xml:space="preserve">/</m:t>
                        </m:r>
                        <m:r>
                          <m:rPr>
                            <m:sty m:val="p"/>
                          </m:rPr>
                          <m:t xml:space="preserve">2</m:t>
                        </m:r>
                      </m:sup>
                    </m:sSup>
                  </m:num>
                  <m:den>
                    <m:nary>
                      <m:naryPr>
                        <m:chr m:val="∑"/>
                        <m:limLoc m:val="undOvr"/>
                        <m:supHide m:val="1"/>
                      </m:naryPr>
                      <m:sub>
                        <m:r>
                          <m:t xml:space="preserve">e</m:t>
                        </m:r>
                      </m:sub>
                      <m:sup/>
                      <m:e>
                        <m:sSub>
                          <m:e>
                            <m:r>
                              <m:t xml:space="preserve">σ</m:t>
                            </m:r>
                          </m:e>
                          <m:sub>
                            <m:r>
                              <m:t xml:space="preserve">e</m:t>
                            </m:r>
                          </m:sub>
                        </m:sSub>
                      </m:e>
                    </m:nary>
                  </m:den>
                </m:f>
              </m:oMath>
            </m:oMathPara>
          </w:p>
        </w:tc>
        <w:tc>
          <w:tcPr>
            <w:tcW w:type="dxa" w:w="700"/>
            <w:vAlign w:val="center"/>
          </w:tcPr>
          <w:p>
            <w:pPr>
              <w:pStyle w:val="BodyText"/>
              <w:spacing w:before="60" w:after="60"/>
              <w:jc w:val="right"/>
            </w:pPr>
            <w:r>
              <w:t xml:space="preserve">(6)</w:t>
            </w:r>
          </w:p>
        </w:tc>
      </w:tr>
    </w:tbl>
    <w:p>
      <w:pPr>
        <w:pStyle w:val="BodyText"/>
        <w:keepNext/>
      </w:pPr>
      <w:r>
        <w:t xml:space="preserve">and </w:t>
      </w:r>
      <w:r>
        <w:rPr>
          <w:i/>
          <w:iCs/>
        </w:rPr>
        <w:t xml:space="preserve">κ</w:t>
      </w:r>
      <w:r>
        <w:rPr>
          <w:vertAlign w:val="subscript"/>
        </w:rPr>
        <w:t xml:space="preserve">0</w:t>
      </w:r>
      <w:r>
        <w:t xml:space="preserve">≈1−|</w:t>
      </w:r>
      <w:r>
        <w:rPr>
          <w:i/>
          <w:iCs/>
        </w:rPr>
        <w:t xml:space="preserve">E</w:t>
      </w:r>
      <w:r>
        <w:t xml:space="preserve">|</w:t>
      </w:r>
      <w:r>
        <w:rPr>
          <w:vertAlign w:val="superscript"/>
        </w:rPr>
        <w:t xml:space="preserve">−1/2</w:t>
      </w:r>
      <w:r>
        <w:t xml:space="preserve"> when the </w:t>
      </w:r>
      <w:r>
        <w:rPr>
          <w:i/>
          <w:iCs/>
        </w:rPr>
        <w:t xml:space="preserve">σ</w:t>
      </w:r>
      <w:r>
        <w:rPr>
          <w:i/>
          <w:iCs/>
          <w:vertAlign w:val="subscript"/>
        </w:rPr>
        <w:t xml:space="preserve">e</w:t>
      </w:r>
      <w:r>
        <w:t xml:space="preserve"> are similar. The signed mean averages estimation noise away at the rate </w:t>
      </w:r>
      <w:r>
        <w:t xml:space="preserve">|</w:t>
      </w:r>
      <w:r>
        <w:rPr>
          <w:i/>
          <w:iCs/>
        </w:rPr>
        <w:t xml:space="preserve">E</w:t>
      </w:r>
      <w:r>
        <w:t xml:space="preserve">|</w:t>
      </w:r>
      <w:r>
        <w:rPr>
          <w:vertAlign w:val="superscript"/>
        </w:rPr>
        <w:t xml:space="preserve">−1/2</w:t>
      </w:r>
      <w:r>
        <w:t xml:space="preserve">, whereas the mean absolute value does not, so that without change </w:t>
      </w:r>
      <w:r>
        <w:rPr>
          <w:i/>
          <w:iCs/>
        </w:rPr>
        <w:t xml:space="preserve">κ</w:t>
      </w:r>
      <w:r>
        <w:rPr>
          <w:i/>
          <w:iCs/>
          <w:vertAlign w:val="subscript"/>
        </w:rPr>
        <w:t xml:space="preserve">E</w:t>
      </w:r>
      <w:r>
        <w:t xml:space="preserve"> approaches one as the edge set grows. A large </w:t>
      </w:r>
      <w:r>
        <w:rPr>
          <w:i/>
          <w:iCs/>
        </w:rPr>
        <w:t xml:space="preserve">κ</w:t>
      </w:r>
      <w:r>
        <w:rPr>
          <w:i/>
          <w:iCs/>
          <w:vertAlign w:val="subscript"/>
        </w:rPr>
        <w:t xml:space="preserve">E</w:t>
      </w:r>
      <w:r>
        <w:t xml:space="preserve"> is evidence of cancellation only when </w:t>
      </w:r>
      <w:r>
        <w:rPr>
          <w:i/>
          <w:iCs/>
        </w:rPr>
        <w:t xml:space="preserve">D</w:t>
      </w:r>
      <w:r>
        <w:rPr>
          <w:i/>
          <w:iCs/>
          <w:vertAlign w:val="subscript"/>
        </w:rPr>
        <w:t xml:space="preserve">E</w:t>
      </w:r>
      <w:r>
        <w:t xml:space="preserve"> itself exceeds its calibrated threshold. The same asymmetry governs sensitivity. For a coherent shift </w:t>
      </w:r>
      <w:r>
        <w:rPr>
          <w:i/>
          <w:iCs/>
        </w:rPr>
        <w:t xml:space="preserve">δ</w:t>
      </w:r>
      <w:r>
        <w:t xml:space="preserve"> on every edge with Gaussian error of standard deviation </w:t>
      </w:r>
      <w:r>
        <w:rPr>
          <w:i/>
          <w:iCs/>
        </w:rPr>
        <w:t xml:space="preserve">σ</w:t>
      </w:r>
      <w:r>
        <w:t xml:space="preserve">, the expected absolute change is that of a folded normal variable</w:t>
      </w:r>
      <w:r>
        <w:rPr>
          <w:vertAlign w:val="superscript"/>
        </w:rPr>
        <w:t xml:space="preserve">11</w:t>
      </w:r>
      <w:r>
        <w:t xml:space="preserve">,</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r>
                  <m:t xml:space="preserve">E</m:t>
                </m:r>
                <m:d>
                  <m:dPr>
                    <m:begChr m:val="|"/>
                    <m:endChr m:val="|"/>
                  </m:dPr>
                  <m:e>
                    <m:sSub>
                      <m:e>
                        <m:r>
                          <m:rPr>
                            <m:sty m:val="p"/>
                          </m:rPr>
                          <m:t xml:space="preserve">Δ</m:t>
                        </m:r>
                      </m:e>
                      <m:sub>
                        <m:r>
                          <m:t xml:space="preserve">e</m:t>
                        </m:r>
                      </m:sub>
                    </m:sSub>
                  </m:e>
                </m:d>
                <m:r>
                  <m:rPr>
                    <m:sty m:val="p"/>
                  </m:rPr>
                  <m:t xml:space="preserve">=</m:t>
                </m:r>
                <m:r>
                  <m:t xml:space="preserve">σ</m:t>
                </m:r>
                <m:r>
                  <m:rPr>
                    <m:nor/>
                  </m:rPr>
                  <m:t xml:space="preserve"> </m:t>
                </m:r>
                <m:r>
                  <m:t xml:space="preserve">h</m:t>
                </m:r>
                <m:d>
                  <m:dPr>
                    <m:begChr m:val="("/>
                    <m:endChr m:val=")"/>
                  </m:dPr>
                  <m:e>
                    <m:f>
                      <m:num>
                        <m:r>
                          <m:t xml:space="preserve">δ</m:t>
                        </m:r>
                      </m:num>
                      <m:den>
                        <m:r>
                          <m:t xml:space="preserve">σ</m:t>
                        </m:r>
                      </m:den>
                    </m:f>
                  </m:e>
                </m:d>
                <m:r>
                  <m:rPr>
                    <m:sty m:val="p"/>
                  </m:rPr>
                  <m:t xml:space="preserve">,</m:t>
                </m:r>
                <m:r>
                  <m:rPr>
                    <m:nor/>
                  </m:rPr>
                  <m:t xml:space="preserve">  </m:t>
                </m:r>
                <m:r>
                  <m:t xml:space="preserve">h</m:t>
                </m:r>
                <m:r>
                  <m:rPr>
                    <m:sty m:val="p"/>
                  </m:rPr>
                  <m:t xml:space="preserve">(</m:t>
                </m:r>
                <m:r>
                  <m:t xml:space="preserve">u</m:t>
                </m:r>
                <m:r>
                  <m:rPr>
                    <m:sty m:val="p"/>
                  </m:rPr>
                  <m:t xml:space="preserve">)</m:t>
                </m:r>
                <m:r>
                  <m:rPr>
                    <m:sty m:val="p"/>
                  </m:rPr>
                  <m:t xml:space="preserve">=</m:t>
                </m:r>
                <m:rad>
                  <m:radPr>
                    <m:degHide m:val="1"/>
                  </m:radPr>
                  <m:deg/>
                  <m:e>
                    <m:f>
                      <m:num>
                        <m:r>
                          <m:rPr>
                            <m:sty m:val="p"/>
                          </m:rPr>
                          <m:t xml:space="preserve">2</m:t>
                        </m:r>
                      </m:num>
                      <m:den>
                        <m:r>
                          <m:t xml:space="preserve">π</m:t>
                        </m:r>
                      </m:den>
                    </m:f>
                  </m:e>
                </m:rad>
                <m:r>
                  <m:rPr>
                    <m:nor/>
                  </m:rPr>
                  <m:t xml:space="preserve"> </m:t>
                </m:r>
                <m:r>
                  <m:rPr>
                    <m:nor/>
                  </m:rPr>
                  <m:t xml:space="preserve">exp</m:t>
                </m:r>
                <m:d>
                  <m:dPr>
                    <m:begChr m:val="("/>
                    <m:endChr m:val=")"/>
                  </m:dPr>
                  <m:e>
                    <m:r>
                      <m:rPr>
                        <m:sty m:val="p"/>
                      </m:rPr>
                      <m:t xml:space="preserve">−</m:t>
                    </m:r>
                    <m:f>
                      <m:num>
                        <m:sSup>
                          <m:e>
                            <m:r>
                              <m:t xml:space="preserve">u</m:t>
                            </m:r>
                          </m:e>
                          <m:sup>
                            <m:r>
                              <m:rPr>
                                <m:sty m:val="p"/>
                              </m:rPr>
                              <m:t xml:space="preserve">2</m:t>
                            </m:r>
                          </m:sup>
                        </m:sSup>
                      </m:num>
                      <m:den>
                        <m:r>
                          <m:rPr>
                            <m:sty m:val="p"/>
                          </m:rPr>
                          <m:t xml:space="preserve">2</m:t>
                        </m:r>
                      </m:den>
                    </m:f>
                  </m:e>
                </m:d>
                <m:r>
                  <m:rPr>
                    <m:sty m:val="p"/>
                  </m:rPr>
                  <m:t xml:space="preserve">+</m:t>
                </m:r>
                <m:r>
                  <m:t xml:space="preserve">u</m:t>
                </m:r>
                <m:d>
                  <m:dPr>
                    <m:begChr m:val="("/>
                    <m:endChr m:val=")"/>
                  </m:dPr>
                  <m:e>
                    <m:r>
                      <m:rPr>
                        <m:sty m:val="p"/>
                      </m:rPr>
                      <m:t xml:space="preserve">2</m:t>
                    </m:r>
                    <m:r>
                      <m:rPr>
                        <m:sty m:val="p"/>
                      </m:rPr>
                      <m:t xml:space="preserve">Φ</m:t>
                    </m:r>
                    <m:r>
                      <m:rPr>
                        <m:sty m:val="p"/>
                      </m:rPr>
                      <m:t xml:space="preserve">(</m:t>
                    </m:r>
                    <m:r>
                      <m:t xml:space="preserve">u</m:t>
                    </m:r>
                    <m:r>
                      <m:rPr>
                        <m:sty m:val="p"/>
                      </m:rPr>
                      <m:t xml:space="preserve">)</m:t>
                    </m:r>
                    <m:r>
                      <m:rPr>
                        <m:sty m:val="p"/>
                      </m:rPr>
                      <m:t xml:space="preserve">−</m:t>
                    </m:r>
                    <m:r>
                      <m:rPr>
                        <m:sty m:val="p"/>
                      </m:rPr>
                      <m:t xml:space="preserve">1</m:t>
                    </m:r>
                  </m:e>
                </m:d>
                <m:r>
                  <m:rPr>
                    <m:sty m:val="p"/>
                  </m:rPr>
                  <m:t xml:space="preserve">=</m:t>
                </m:r>
                <m:rad>
                  <m:radPr>
                    <m:degHide m:val="1"/>
                  </m:radPr>
                  <m:deg/>
                  <m:e>
                    <m:f>
                      <m:num>
                        <m:r>
                          <m:rPr>
                            <m:sty m:val="p"/>
                          </m:rPr>
                          <m:t xml:space="preserve">2</m:t>
                        </m:r>
                      </m:num>
                      <m:den>
                        <m:r>
                          <m:t xml:space="preserve">π</m:t>
                        </m:r>
                      </m:den>
                    </m:f>
                  </m:e>
                </m:rad>
                <m:d>
                  <m:dPr>
                    <m:begChr m:val="("/>
                    <m:endChr m:val=")"/>
                  </m:dPr>
                  <m:e>
                    <m:r>
                      <m:rPr>
                        <m:sty m:val="p"/>
                      </m:rPr>
                      <m:t xml:space="preserve">1</m:t>
                    </m:r>
                    <m:r>
                      <m:rPr>
                        <m:sty m:val="p"/>
                      </m:rPr>
                      <m:t xml:space="preserve">+</m:t>
                    </m:r>
                    <m:f>
                      <m:num>
                        <m:sSup>
                          <m:e>
                            <m:r>
                              <m:t xml:space="preserve">u</m:t>
                            </m:r>
                          </m:e>
                          <m:sup>
                            <m:r>
                              <m:rPr>
                                <m:sty m:val="p"/>
                              </m:rPr>
                              <m:t xml:space="preserve">2</m:t>
                            </m:r>
                          </m:sup>
                        </m:sSup>
                      </m:num>
                      <m:den>
                        <m:r>
                          <m:rPr>
                            <m:sty m:val="p"/>
                          </m:rPr>
                          <m:t xml:space="preserve">2</m:t>
                        </m:r>
                      </m:den>
                    </m:f>
                  </m:e>
                </m:d>
                <m:r>
                  <m:rPr>
                    <m:sty m:val="p"/>
                  </m:rPr>
                  <m:t xml:space="preserve">+</m:t>
                </m:r>
                <m:r>
                  <m:t xml:space="preserve">O</m:t>
                </m:r>
                <m:r>
                  <m:rPr>
                    <m:sty m:val="p"/>
                  </m:rPr>
                  <m:t xml:space="preserve">(</m:t>
                </m:r>
                <m:sSup>
                  <m:e>
                    <m:r>
                      <m:t xml:space="preserve">u</m:t>
                    </m:r>
                  </m:e>
                  <m:sup>
                    <m:r>
                      <m:rPr>
                        <m:sty m:val="p"/>
                      </m:rPr>
                      <m:t xml:space="preserve">4</m:t>
                    </m:r>
                  </m:sup>
                </m:sSup>
                <m:r>
                  <m:rPr>
                    <m:sty m:val="p"/>
                  </m:rPr>
                  <m:t xml:space="preserve">)</m:t>
                </m:r>
              </m:oMath>
            </m:oMathPara>
          </w:p>
        </w:tc>
        <w:tc>
          <w:tcPr>
            <w:tcW w:type="dxa" w:w="700"/>
            <w:vAlign w:val="center"/>
          </w:tcPr>
          <w:p>
            <w:pPr>
              <w:pStyle w:val="BodyText"/>
              <w:spacing w:before="60" w:after="60"/>
              <w:jc w:val="right"/>
            </w:pPr>
            <w:r>
              <w:t xml:space="preserve">(7)</w:t>
            </w:r>
          </w:p>
        </w:tc>
      </w:tr>
    </w:tbl>
    <w:p>
      <w:pPr>
        <w:pStyle w:val="BodyText"/>
      </w:pPr>
      <w:r>
        <w:t xml:space="preserve">so that near the noise floor </w:t>
      </w:r>
      <w:r>
        <w:rPr>
          <w:i/>
          <w:iCs/>
        </w:rPr>
        <w:t xml:space="preserve">D</w:t>
      </w:r>
      <w:r>
        <w:rPr>
          <w:i/>
          <w:iCs/>
          <w:vertAlign w:val="subscript"/>
        </w:rPr>
        <w:t xml:space="preserve">E</w:t>
      </w:r>
      <w:r>
        <w:t xml:space="preserve"> grows quadratically in </w:t>
      </w:r>
      <w:r>
        <w:rPr>
          <w:i/>
          <w:iCs/>
        </w:rPr>
        <w:t xml:space="preserve">δ</w:t>
      </w:r>
      <w:r>
        <w:t xml:space="preserve"> while the signed mean grows linearly, and for </w:t>
      </w:r>
      <w:r>
        <w:rPr>
          <w:i/>
          <w:iCs/>
        </w:rPr>
        <w:t xml:space="preserve">δ</w:t>
      </w:r>
      <w:r>
        <w:t xml:space="preserve"> small relative to </w:t>
      </w:r>
      <w:r>
        <w:rPr>
          <w:i/>
          <w:iCs/>
        </w:rPr>
        <w:t xml:space="preserve">σ</w:t>
      </w:r>
      <w:r>
        <w:t xml:space="preserve"> the signed control detects coherent change earlier (Methods). </w:t>
      </w:r>
      <w:r>
        <w:rPr>
          <w:i/>
          <w:iCs/>
        </w:rPr>
        <w:t xml:space="preserve">D</w:t>
      </w:r>
      <w:r>
        <w:rPr>
          <w:i/>
          <w:iCs/>
          <w:vertAlign w:val="subscript"/>
        </w:rPr>
        <w:t xml:space="preserve">E</w:t>
      </w:r>
      <w:r>
        <w:t xml:space="preserve">, by contrast, detects balanced change, which the signed control cannot detect at all, and responds most strongly to change concentrated on a few edges.</w:t>
      </w:r>
    </w:p>
    <w:p>
      <w:pPr>
        <w:pStyle w:val="BodyText"/>
        <w:keepNext/>
      </w:pPr>
      <w:r>
        <w:t xml:space="preserve">These properties determine the alarm rule. The threshold for </w:t>
      </w:r>
      <w:r>
        <w:rPr>
          <w:i/>
          <w:iCs/>
        </w:rPr>
        <w:t xml:space="preserve">D</w:t>
      </w:r>
      <w:r>
        <w:rPr>
          <w:i/>
          <w:iCs/>
          <w:vertAlign w:val="subscript"/>
        </w:rPr>
        <w:t xml:space="preserve">E</w:t>
      </w:r>
      <w:r>
        <w:t xml:space="preserve"> must come from the no-change distribution of </w:t>
      </w:r>
      <w:r>
        <w:rPr>
          <w:i/>
          <w:iCs/>
        </w:rPr>
        <w:t xml:space="preserve">D</w:t>
      </w:r>
      <w:r>
        <w:rPr>
          <w:i/>
          <w:iCs/>
          <w:vertAlign w:val="subscript"/>
        </w:rPr>
        <w:t xml:space="preserve">E</w:t>
      </w:r>
      <w:r>
        <w:t xml:space="preserve"> itself, not from zero and not from a band around </w:t>
      </w:r>
      <w:r>
        <w:rPr>
          <w:i/>
          <w:iCs/>
        </w:rPr>
        <w:t xml:space="preserve">τ</w:t>
      </w:r>
      <w:r>
        <w:rPr>
          <w:vertAlign w:val="subscript"/>
        </w:rPr>
        <w:t xml:space="preserve">s</w:t>
      </w:r>
      <w:r>
        <w:t xml:space="preserve">. We use the calibration windows as a conformal reference</w:t>
      </w:r>
      <w:r>
        <w:rPr>
          <w:vertAlign w:val="superscript"/>
        </w:rPr>
        <w:t xml:space="preserve">12</w:t>
      </w:r>
      <w:r>
        <w:t xml:space="preserve">: each calibration window </w:t>
      </w:r>
      <w:r>
        <w:rPr>
          <w:i/>
          <w:iCs/>
        </w:rPr>
        <w:t xml:space="preserve">w</w:t>
      </w:r>
      <w:r>
        <w:t xml:space="preserve"> receives a score </w:t>
      </w:r>
      <w:r>
        <w:rPr>
          <w:i/>
          <w:iCs/>
        </w:rPr>
        <w:t xml:space="preserve">s</w:t>
      </w:r>
      <w:r>
        <w:rPr>
          <w:i/>
          <w:iCs/>
          <w:vertAlign w:val="subscript"/>
        </w:rPr>
        <w:t xml:space="preserve">w</w:t>
      </w:r>
      <w:r>
        <w:t xml:space="preserve">, its mean absolute deviation from the mean of the other windows (Methods, equation (15)), and</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
                  <m:e>
                    <m:r>
                      <m:t xml:space="preserve">p</m:t>
                    </m:r>
                  </m:e>
                  <m:sub>
                    <m:r>
                      <m:t xml:space="preserve">D</m:t>
                    </m:r>
                  </m:sub>
                </m:sSub>
                <m:r>
                  <m:rPr>
                    <m:sty m:val="p"/>
                  </m:rPr>
                  <m:t xml:space="preserve">(</m:t>
                </m:r>
                <m:r>
                  <m:t xml:space="preserve">t</m:t>
                </m:r>
                <m:r>
                  <m:rPr>
                    <m:sty m:val="p"/>
                  </m:rPr>
                  <m:t xml:space="preserve">)</m:t>
                </m:r>
                <m:r>
                  <m:rPr>
                    <m:sty m:val="p"/>
                  </m:rPr>
                  <m:t xml:space="preserve">=</m:t>
                </m:r>
                <m:f>
                  <m:num>
                    <m:r>
                      <m:rPr>
                        <m:sty m:val="p"/>
                      </m:rPr>
                      <m:t xml:space="preserve">1</m:t>
                    </m:r>
                    <m:r>
                      <m:rPr>
                        <m:sty m:val="p"/>
                      </m:rPr>
                      <m:t xml:space="preserve">+</m:t>
                    </m:r>
                    <m:nary>
                      <m:naryPr>
                        <m:chr m:val="∑"/>
                        <m:limLoc m:val="undOvr"/>
                      </m:naryPr>
                      <m:sub>
                        <m:r>
                          <m:t xml:space="preserve">w</m:t>
                        </m:r>
                        <m:r>
                          <m:rPr>
                            <m:sty m:val="p"/>
                          </m:rPr>
                          <m:t xml:space="preserve">=</m:t>
                        </m:r>
                        <m:r>
                          <m:rPr>
                            <m:sty m:val="p"/>
                          </m:rPr>
                          <m:t xml:space="preserve">1</m:t>
                        </m:r>
                      </m:sub>
                      <m:sup>
                        <m:sSub>
                          <m:e>
                            <m:r>
                              <m:t xml:space="preserve">n</m:t>
                            </m:r>
                          </m:e>
                          <m:sub>
                            <m:r>
                              <m:rPr>
                                <m:nor/>
                              </m:rPr>
                              <m:t xml:space="preserve">cal</m:t>
                            </m:r>
                          </m:sub>
                        </m:sSub>
                      </m:sup>
                      <m:e>
                        <m:r>
                          <m:rPr>
                            <m:nor/>
                          </m:rPr>
                          <m:t xml:space="preserve">1</m:t>
                        </m:r>
                        <m:d>
                          <m:dPr>
                            <m:begChr m:val="["/>
                            <m:endChr m:val="]"/>
                          </m:dPr>
                          <m:e>
                            <m:sSub>
                              <m:e>
                                <m:r>
                                  <m:t xml:space="preserve">s</m:t>
                                </m:r>
                              </m:e>
                              <m:sub>
                                <m:r>
                                  <m:t xml:space="preserve">w</m:t>
                                </m:r>
                              </m:sub>
                            </m:sSub>
                            <m:r>
                              <m:rPr>
                                <m:sty m:val="p"/>
                              </m:rPr>
                              <m:t xml:space="preserve">≥</m:t>
                            </m:r>
                            <m:sSub>
                              <m:e>
                                <m:r>
                                  <m:t xml:space="preserve">D</m:t>
                                </m:r>
                              </m:e>
                              <m:sub>
                                <m:r>
                                  <m:t xml:space="preserve">E</m:t>
                                </m:r>
                              </m:sub>
                            </m:sSub>
                            <m:r>
                              <m:rPr>
                                <m:sty m:val="p"/>
                              </m:rPr>
                              <m:t xml:space="preserve">(</m:t>
                            </m:r>
                            <m:r>
                              <m:t xml:space="preserve">t</m:t>
                            </m:r>
                            <m:r>
                              <m:rPr>
                                <m:sty m:val="p"/>
                              </m:rPr>
                              <m:t xml:space="preserve">)</m:t>
                            </m:r>
                          </m:e>
                        </m:d>
                      </m:e>
                    </m:nary>
                  </m:num>
                  <m:den>
                    <m:sSub>
                      <m:e>
                        <m:r>
                          <m:t xml:space="preserve">n</m:t>
                        </m:r>
                      </m:e>
                      <m:sub>
                        <m:r>
                          <m:rPr>
                            <m:nor/>
                          </m:rPr>
                          <m:t xml:space="preserve">cal</m:t>
                        </m:r>
                      </m:sub>
                    </m:sSub>
                    <m:r>
                      <m:rPr>
                        <m:sty m:val="p"/>
                      </m:rPr>
                      <m:t xml:space="preserve">+</m:t>
                    </m:r>
                    <m:r>
                      <m:rPr>
                        <m:sty m:val="p"/>
                      </m:rPr>
                      <m:t xml:space="preserve">1</m:t>
                    </m:r>
                  </m:den>
                </m:f>
                <m:r>
                  <m:rPr>
                    <m:sty m:val="p"/>
                  </m:rPr>
                  <m:t xml:space="preserve">,</m:t>
                </m:r>
                <m:r>
                  <m:rPr>
                    <m:nor/>
                  </m:rPr>
                  <m:t xml:space="preserve">  </m:t>
                </m:r>
                <m:r>
                  <m:rPr>
                    <m:nor/>
                  </m:rPr>
                  <m:t xml:space="preserve">alarm</m:t>
                </m:r>
                <m:r>
                  <m:rPr>
                    <m:nor/>
                  </m:rPr>
                  <m:t xml:space="preserve"> </m:t>
                </m:r>
                <m:r>
                  <m:rPr>
                    <m:sty m:val="p"/>
                  </m:rPr>
                  <m:t xml:space="preserve">⇔</m:t>
                </m:r>
                <m:r>
                  <m:rPr>
                    <m:nor/>
                  </m:rPr>
                  <m:t xml:space="preserve"> </m:t>
                </m:r>
                <m:sSub>
                  <m:e>
                    <m:r>
                      <m:t xml:space="preserve">p</m:t>
                    </m:r>
                  </m:e>
                  <m:sub>
                    <m:r>
                      <m:t xml:space="preserve">D</m:t>
                    </m:r>
                  </m:sub>
                </m:sSub>
                <m:r>
                  <m:rPr>
                    <m:sty m:val="p"/>
                  </m:rPr>
                  <m:t xml:space="preserve">(</m:t>
                </m:r>
                <m:r>
                  <m:t xml:space="preserve">t</m:t>
                </m:r>
                <m:r>
                  <m:rPr>
                    <m:sty m:val="p"/>
                  </m:rPr>
                  <m:t xml:space="preserve">)</m:t>
                </m:r>
                <m:r>
                  <m:rPr>
                    <m:sty m:val="p"/>
                  </m:rPr>
                  <m:t xml:space="preserve">≤</m:t>
                </m:r>
                <m:r>
                  <m:t xml:space="preserve">α</m:t>
                </m:r>
                <m:r>
                  <m:rPr>
                    <m:sty m:val="p"/>
                  </m:rPr>
                  <m:t xml:space="preserve">,</m:t>
                </m:r>
                <m:r>
                  <m:rPr>
                    <m:nor/>
                  </m:rPr>
                  <m:t xml:space="preserve">  </m:t>
                </m:r>
                <m:sSup>
                  <m:e>
                    <m:r>
                      <m:t xml:space="preserve">e</m:t>
                    </m:r>
                  </m:e>
                  <m:sup>
                    <m:r>
                      <m:rPr>
                        <m:nor/>
                      </m:rPr>
                      <m:t xml:space="preserve">*</m:t>
                    </m:r>
                  </m:sup>
                </m:sSup>
                <m:r>
                  <m:rPr>
                    <m:sty m:val="p"/>
                  </m:rPr>
                  <m:t xml:space="preserve">=</m:t>
                </m:r>
                <m:r>
                  <m:rPr>
                    <m:nor/>
                  </m:rPr>
                  <m:t xml:space="preserve">arg</m:t>
                </m:r>
                <m:limLow>
                  <m:e>
                    <m:r>
                      <m:rPr>
                        <m:nor/>
                      </m:rPr>
                      <m:t xml:space="preserve">max</m:t>
                    </m:r>
                  </m:e>
                  <m:lim>
                    <m:r>
                      <m:t xml:space="preserve">e</m:t>
                    </m:r>
                    <m:r>
                      <m:rPr>
                        <m:sty m:val="p"/>
                      </m:rPr>
                      <m:t xml:space="preserve">∈</m:t>
                    </m:r>
                    <m:r>
                      <m:t xml:space="preserve">E</m:t>
                    </m:r>
                  </m:lim>
                </m:limLow>
                <m:d>
                  <m:dPr>
                    <m:begChr m:val="|"/>
                    <m:endChr m:val="|"/>
                  </m:dPr>
                  <m:e>
                    <m:sSub>
                      <m:e>
                        <m:r>
                          <m:rPr>
                            <m:sty m:val="p"/>
                          </m:rPr>
                          <m:t xml:space="preserve">Δ</m:t>
                        </m:r>
                      </m:e>
                      <m:sub>
                        <m:r>
                          <m:t xml:space="preserve">e</m:t>
                        </m:r>
                      </m:sub>
                    </m:sSub>
                    <m:r>
                      <m:rPr>
                        <m:sty m:val="p"/>
                      </m:rPr>
                      <m:t xml:space="preserve">(</m:t>
                    </m:r>
                    <m:r>
                      <m:t xml:space="preserve">t</m:t>
                    </m:r>
                    <m:r>
                      <m:rPr>
                        <m:sty m:val="p"/>
                      </m:rPr>
                      <m:t xml:space="preserve">)</m:t>
                    </m:r>
                  </m:e>
                </m:d>
              </m:oMath>
            </m:oMathPara>
          </w:p>
        </w:tc>
        <w:tc>
          <w:tcPr>
            <w:tcW w:type="dxa" w:w="700"/>
            <w:vAlign w:val="center"/>
          </w:tcPr>
          <w:p>
            <w:pPr>
              <w:pStyle w:val="BodyText"/>
              <w:spacing w:before="60" w:after="60"/>
              <w:jc w:val="right"/>
            </w:pPr>
            <w:r>
              <w:t xml:space="preserve">(8)</w:t>
            </w:r>
          </w:p>
        </w:tc>
      </w:tr>
    </w:tbl>
    <w:p>
      <w:pPr>
        <w:pStyle w:val="BodyText"/>
      </w:pPr>
      <w:r>
        <w:t xml:space="preserve">fires with probability at most </w:t>
      </w:r>
      <w:r>
        <w:rPr>
          <w:i/>
          <w:iCs/>
        </w:rPr>
        <w:t xml:space="preserve">α</w:t>
      </w:r>
      <w:r>
        <w:t xml:space="preserve"> when the windows are exchangeable, as they are for an unchanged stationary process with nearly independent windows (Methods). Each alarm is reported with its diagnostic pair </w:t>
      </w:r>
      <w:r>
        <w:t xml:space="preserve">(|Δ̄</w:t>
      </w:r>
      <w:r>
        <w:rPr>
          <w:i/>
          <w:iCs/>
          <w:vertAlign w:val="subscript"/>
        </w:rPr>
        <w:t xml:space="preserve">E</w:t>
      </w:r>
      <w:r>
        <w:t xml:space="preserve">|,</w:t>
      </w:r>
      <w:r>
        <w:rPr>
          <w:i/>
          <w:iCs/>
        </w:rPr>
        <w:t xml:space="preserve">C</w:t>
      </w:r>
      <w:r>
        <w:rPr>
          <w:i/>
          <w:iCs/>
          <w:vertAlign w:val="subscript"/>
        </w:rPr>
        <w:t xml:space="preserve">E</w:t>
      </w:r>
      <w:r>
        <w:t xml:space="preserve">)</w:t>
      </w:r>
      <w:r>
        <w:t xml:space="preserve">, or </w:t>
      </w:r>
      <w:r>
        <w:t xml:space="preserve">(</w:t>
      </w:r>
      <w:r>
        <w:rPr>
          <w:i/>
          <w:iCs/>
        </w:rPr>
        <w:t xml:space="preserve">D</w:t>
      </w:r>
      <w:r>
        <w:rPr>
          <w:i/>
          <w:iCs/>
          <w:vertAlign w:val="subscript"/>
        </w:rPr>
        <w:t xml:space="preserve">E</w:t>
      </w:r>
      <w:r>
        <w:t xml:space="preserve">,</w:t>
      </w:r>
      <w:r>
        <w:rPr>
          <w:i/>
          <w:iCs/>
        </w:rPr>
        <w:t xml:space="preserve">κ</w:t>
      </w:r>
      <w:r>
        <w:rPr>
          <w:i/>
          <w:iCs/>
          <w:vertAlign w:val="subscript"/>
        </w:rPr>
        <w:t xml:space="preserve">E</w:t>
      </w:r>
      <w:r>
        <w:t xml:space="preserve">)</w:t>
      </w:r>
      <w:r>
        <w:t xml:space="preserve">, and with its source </w:t>
      </w:r>
      <w:r>
        <w:rPr>
          <w:i/>
          <w:iCs/>
        </w:rPr>
        <w:t xml:space="preserve">e</w:t>
      </w:r>
      <w:r>
        <w:rPr>
          <w:vertAlign w:val="superscript"/>
        </w:rPr>
        <w:t xml:space="preserve">*</w:t>
      </w:r>
      <w:r>
        <w:t xml:space="preserve">, the edge that contributes most to </w:t>
      </w:r>
      <w:r>
        <w:rPr>
          <w:i/>
          <w:iCs/>
        </w:rPr>
        <w:t xml:space="preserve">D</w:t>
      </w:r>
      <w:r>
        <w:rPr>
          <w:i/>
          <w:iCs/>
          <w:vertAlign w:val="subscript"/>
        </w:rPr>
        <w:t xml:space="preserve">E</w:t>
      </w:r>
      <w:r>
        <w:t xml:space="preserve">. No-dependence references, circular-shift surrogates</w:t>
      </w:r>
      <w:r>
        <w:rPr>
          <w:vertAlign w:val="superscript"/>
        </w:rPr>
        <w:t xml:space="preserve">13–15</w:t>
      </w:r>
      <w:r>
        <w:t xml:space="preserve"> and rate-matched independent streams, keep the role they have for </w:t>
      </w:r>
      <w:r>
        <w:rPr>
          <w:i/>
          <w:iCs/>
        </w:rPr>
        <w:t xml:space="preserve">τ</w:t>
      </w:r>
      <w:r>
        <w:rPr>
          <w:vertAlign w:val="subscript"/>
        </w:rPr>
        <w:t xml:space="preserve">s</w:t>
      </w:r>
      <w:r>
        <w:rPr>
          <w:vertAlign w:val="superscript"/>
        </w:rPr>
        <w:t xml:space="preserve">6</w:t>
      </w:r>
      <w:r>
        <w:t xml:space="preserve">: they establish that the baselines differ from what independent streams would produce, and they supply the noise floor of equation (6) against which </w:t>
      </w:r>
      <w:r>
        <w:rPr>
          <w:i/>
          <w:iCs/>
        </w:rPr>
        <w:t xml:space="preserve">D</w:t>
      </w:r>
      <w:r>
        <w:rPr>
          <w:i/>
          <w:iCs/>
          <w:vertAlign w:val="subscript"/>
        </w:rPr>
        <w:t xml:space="preserve">E</w:t>
      </w:r>
      <w:r>
        <w:t xml:space="preserve"> and </w:t>
      </w:r>
      <w:r>
        <w:rPr>
          <w:i/>
          <w:iCs/>
        </w:rPr>
        <w:t xml:space="preserve">κ</w:t>
      </w:r>
      <w:r>
        <w:rPr>
          <w:i/>
          <w:iCs/>
          <w:vertAlign w:val="subscript"/>
        </w:rPr>
        <w:t xml:space="preserve">E</w:t>
      </w:r>
      <w:r>
        <w:t xml:space="preserve"> are read. Where weak coherent change must also be caught, the signed control on </w:t>
      </w:r>
      <w:r>
        <w:rPr>
          <w:i/>
          <w:iCs/>
        </w:rPr>
        <w:t xml:space="preserve">E</w:t>
      </w:r>
      <w:r>
        <w:t xml:space="preserve"> can be monitored with its own conformal band and the alarm raised when either p-value falls to </w:t>
      </w:r>
      <w:r>
        <w:rPr>
          <w:i/>
          <w:iCs/>
        </w:rPr>
        <w:t xml:space="preserve">α</w:t>
      </w:r>
      <w:r>
        <w:t xml:space="preserve">/2</w:t>
      </w:r>
      <w:r>
        <w:t xml:space="preserve"> or below, a union of two calibrated tests that keeps the false-alarm probability at most </w:t>
      </w:r>
      <w:r>
        <w:rPr>
          <w:i/>
          <w:iCs/>
        </w:rPr>
        <w:t xml:space="preserve">α</w:t>
      </w:r>
      <w:r>
        <w:t xml:space="preserve"> without introducing a weight.</w:t>
      </w:r>
    </w:p>
    <w:p>
      <w:pPr>
        <w:pStyle w:val="Heading1"/>
      </w:pPr>
      <w:r>
        <w:t xml:space="preserve">Numerical illustration</w:t>
      </w:r>
    </w:p>
    <w:p>
      <w:pPr>
        <w:pStyle w:val="BodyText"/>
      </w:pPr>
      <w:r>
        <w:t xml:space="preserve">We simulated binned event streams from </w:t>
      </w:r>
      <w:r>
        <w:rPr>
          <w:i/>
          <w:iCs/>
        </w:rPr>
        <w:t xml:space="preserve">N</w:t>
      </w:r>
      <w:r>
        <w:t xml:space="preserve">=10</w:t>
      </w:r>
      <w:r>
        <w:t xml:space="preserve"> modules whose firing probabilities are modulated by latent binary states, one per edge of a fixed coupling graph with </w:t>
      </w:r>
      <w:r>
        <w:t xml:space="preserve">|</w:t>
      </w:r>
      <w:r>
        <w:rPr>
          <w:i/>
          <w:iCs/>
        </w:rPr>
        <w:t xml:space="preserve">E</w:t>
      </w:r>
      <w:r>
        <w:t xml:space="preserve">|=16</w:t>
      </w:r>
      <w:r>
        <w:t xml:space="preserve"> edges among the 45 pairs, half concordant and half anti-concordant (Methods, equation (16)). Each replicate was calibrated on 39 windows and then monitored for five windows under one of four conditions: no change; a coherent shift, produced by a common drive that raises every pairwise concordance; balanced rewiring, in which four concordant and four anti-concordant edges invert their polarity; and independent streams matched in rate and autocorrelation, used for calibration and monitoring alike. The calibrated baselines lay far from the no-dependence floor (mean </w:t>
      </w:r>
      <w:r>
        <w:t xml:space="preserve">|</w:t>
      </w:r>
      <w:r>
        <w:rPr>
          <w:i/>
          <w:iCs/>
        </w:rPr>
        <w:t xml:space="preserve">B</w:t>
      </w:r>
      <w:r>
        <w:rPr>
          <w:i/>
          <w:iCs/>
          <w:vertAlign w:val="subscript"/>
        </w:rPr>
        <w:t xml:space="preserve">e</w:t>
      </w:r>
      <w:r>
        <w:t xml:space="preserve">|</w:t>
      </w:r>
      <w:r>
        <w:t xml:space="preserve"> of 0.124 against 0.016 for circular-shift surrogates).</w:t>
      </w:r>
    </w:p>
    <w:p>
      <w:pPr>
        <w:pStyle w:val="BodyText"/>
      </w:pPr>
      <w:r>
        <w:t xml:space="preserve">Table 1 and Fig. 1 summarize 200 replicates. Without change, the three conformal alarms fired in 4.4–5.1% of windows in the coupled system and in 4.6–5.7% for independent streams, close to the nominal 5%. </w:t>
      </w:r>
      <w:r>
        <w:rPr>
          <w:i/>
          <w:iCs/>
        </w:rPr>
        <w:t xml:space="preserve">D</w:t>
      </w:r>
      <w:r>
        <w:rPr>
          <w:i/>
          <w:iCs/>
          <w:vertAlign w:val="subscript"/>
        </w:rPr>
        <w:t xml:space="preserve">E</w:t>
      </w:r>
      <w:r>
        <w:t xml:space="preserve"> was far from zero under both nulls: for independent streams its mean was 0.098, against 0.098 predicted by equation (6) and 0.098 from circular-shift surrogates; without the serial-correlation factor the prediction was 0.086. The mean of </w:t>
      </w:r>
      <w:r>
        <w:rPr>
          <w:i/>
          <w:iCs/>
        </w:rPr>
        <w:t xml:space="preserve">κ</w:t>
      </w:r>
      <w:r>
        <w:rPr>
          <w:i/>
          <w:iCs/>
          <w:vertAlign w:val="subscript"/>
        </w:rPr>
        <w:t xml:space="preserve">E</w:t>
      </w:r>
      <w:r>
        <w:t xml:space="preserve"> was 0.75 against a predicted 0.75. Balanced rewiring left both signed statistics at their false-alarm level (alarms in 3.6% of windows on </w:t>
      </w:r>
      <w:r>
        <w:rPr>
          <w:i/>
          <w:iCs/>
        </w:rPr>
        <w:t xml:space="preserve">E</w:t>
      </w:r>
      <w:r>
        <w:t xml:space="preserve"> and 4.9% over all pairs), whereas </w:t>
      </w:r>
      <w:r>
        <w:rPr>
          <w:i/>
          <w:iCs/>
        </w:rPr>
        <w:t xml:space="preserve">D</w:t>
      </w:r>
      <w:r>
        <w:rPr>
          <w:i/>
          <w:iCs/>
          <w:vertAlign w:val="subscript"/>
        </w:rPr>
        <w:t xml:space="preserve">E</w:t>
      </w:r>
      <w:r>
        <w:t xml:space="preserve"> fired in 95.0%, with </w:t>
      </w:r>
      <w:r>
        <w:rPr>
          <w:i/>
          <w:iCs/>
        </w:rPr>
        <w:t xml:space="preserve">κ</w:t>
      </w:r>
      <w:r>
        <w:rPr>
          <w:i/>
          <w:iCs/>
          <w:vertAlign w:val="subscript"/>
        </w:rPr>
        <w:t xml:space="preserve">E</w:t>
      </w:r>
      <w:r>
        <w:t xml:space="preserve">=0.86</w:t>
      </w:r>
      <w:r>
        <w:t xml:space="preserve"> (Fig. 1b); the edge with the largest change was a rewired edge in 98.3% of these alarms, against 50% expected by chance. Coherent change of similar mean magnitude lay mostly in the signed component (</w:t>
      </w:r>
      <w:r>
        <w:rPr>
          <w:i/>
          <w:iCs/>
        </w:rPr>
        <w:t xml:space="preserve">κ</w:t>
      </w:r>
      <w:r>
        <w:rPr>
          <w:i/>
          <w:iCs/>
          <w:vertAlign w:val="subscript"/>
        </w:rPr>
        <w:t xml:space="preserve">E</w:t>
      </w:r>
      <w:r>
        <w:t xml:space="preserve">=0.23</w:t>
      </w:r>
      <w:r>
        <w:t xml:space="preserve">). It was detected by the signed control on </w:t>
      </w:r>
      <w:r>
        <w:rPr>
          <w:i/>
          <w:iCs/>
        </w:rPr>
        <w:t xml:space="preserve">E</w:t>
      </w:r>
      <w:r>
        <w:t xml:space="preserve"> in 84.2% of windows and by the all-pairs </w:t>
      </w:r>
      <w:r>
        <w:rPr>
          <w:i/>
          <w:iCs/>
        </w:rPr>
        <w:t xml:space="preserve">τ</w:t>
      </w:r>
      <w:r>
        <w:rPr>
          <w:vertAlign w:val="subscript"/>
        </w:rPr>
        <w:t xml:space="preserve">s</w:t>
      </w:r>
      <w:r>
        <w:t xml:space="preserve">, whose non-edge pairs shared the drive, in 99.1%, but by </w:t>
      </w:r>
      <w:r>
        <w:rPr>
          <w:i/>
          <w:iCs/>
        </w:rPr>
        <w:t xml:space="preserve">D</w:t>
      </w:r>
      <w:r>
        <w:rPr>
          <w:i/>
          <w:iCs/>
          <w:vertAlign w:val="subscript"/>
        </w:rPr>
        <w:t xml:space="preserve">E</w:t>
      </w:r>
      <w:r>
        <w:t xml:space="preserve"> in only 48.6%. Across magnitudes (Fig. 1c), </w:t>
      </w:r>
      <w:r>
        <w:rPr>
          <w:i/>
          <w:iCs/>
        </w:rPr>
        <w:t xml:space="preserve">D</w:t>
      </w:r>
      <w:r>
        <w:rPr>
          <w:i/>
          <w:iCs/>
          <w:vertAlign w:val="subscript"/>
        </w:rPr>
        <w:t xml:space="preserve">E</w:t>
      </w:r>
      <w:r>
        <w:t xml:space="preserve"> dominated for balanced change and the signed control for weak coherent change, as equations (6) and (7) predict; the union rule detected 78.9% of coherent and 88.7% of balanced windows.</w:t>
      </w:r>
    </w:p>
    <w:p>
      <w:pPr>
        <w:pStyle w:val="BodyText"/>
        <w:keepNext/>
        <w:spacing w:before="160" w:after="60"/>
        <w:jc w:val="center"/>
      </w:pPr>
      <w:r>
        <w:drawing>
          <wp:inline distT="0" distB="0" distL="0" distR="0">
            <wp:extent cx="5943600" cy="2105025"/>
            <wp:effectExtent l="0" t="0" r="0" b="0"/>
            <wp:docPr id="101" name="Figure 1" descr="Figure 1"/>
            <wp:cNvGraphicFramePr>
              <a:graphicFrameLocks noChangeAspect="1"/>
            </wp:cNvGraphicFramePr>
            <a:graphic>
              <a:graphicData uri="http://schemas.openxmlformats.org/drawingml/2006/picture">
                <pic:pic>
                  <pic:nvPicPr>
                    <pic:cNvPr id="102" name="fig1.png"/>
                    <pic:cNvPicPr/>
                  </pic:nvPicPr>
                  <pic:blipFill>
                    <a:blip r:embed="rId10"/>
                    <a:stretch>
                      <a:fillRect/>
                    </a:stretch>
                  </pic:blipFill>
                  <pic:spPr>
                    <a:xfrm>
                      <a:off x="0" y="0"/>
                      <a:ext cx="5943600" cy="2105025"/>
                    </a:xfrm>
                    <a:prstGeom prst="rect">
                      <a:avLst/>
                    </a:prstGeom>
                  </pic:spPr>
                </pic:pic>
              </a:graphicData>
            </a:graphic>
          </wp:inline>
        </w:drawing>
      </w:r>
    </w:p>
    <w:p>
      <w:pPr>
        <w:pStyle w:val="FigCap"/>
      </w:pPr>
      <w:r>
        <w:rPr>
          <w:b/>
          <w:bCs/>
        </w:rPr>
        <w:t xml:space="preserve">Fig. 1 | Decomposition of absolute concordance change in synthetic event streams.</w:t>
      </w:r>
      <w:r>
        <w:t xml:space="preserve"> </w:t>
      </w:r>
      <w:r>
        <w:rPr>
          <w:b/>
          <w:bCs/>
        </w:rPr>
        <w:t xml:space="preserve">a</w:t>
      </w:r>
      <w:r>
        <w:t xml:space="preserve">, Monitored windows (250 randomly chosen per condition) placed by their signed component </w:t>
      </w:r>
      <w:r>
        <w:t xml:space="preserve">|Δ̄</w:t>
      </w:r>
      <w:r>
        <w:rPr>
          <w:i/>
          <w:iCs/>
          <w:vertAlign w:val="subscript"/>
        </w:rPr>
        <w:t xml:space="preserve">E</w:t>
      </w:r>
      <w:r>
        <w:t xml:space="preserve">|</w:t>
      </w:r>
      <w:r>
        <w:t xml:space="preserve"> and cancelled component </w:t>
      </w:r>
      <w:r>
        <w:rPr>
          <w:i/>
          <w:iCs/>
        </w:rPr>
        <w:t xml:space="preserve">C</w:t>
      </w:r>
      <w:r>
        <w:rPr>
          <w:i/>
          <w:iCs/>
          <w:vertAlign w:val="subscript"/>
        </w:rPr>
        <w:t xml:space="preserve">E</w:t>
      </w:r>
      <w:r>
        <w:t xml:space="preserve">. Grey anti-diagonals are lines of constant </w:t>
      </w:r>
      <w:r>
        <w:rPr>
          <w:i/>
          <w:iCs/>
        </w:rPr>
        <w:t xml:space="preserve">D</w:t>
      </w:r>
      <w:r>
        <w:rPr>
          <w:i/>
          <w:iCs/>
          <w:vertAlign w:val="subscript"/>
        </w:rPr>
        <w:t xml:space="preserve">E</w:t>
      </w:r>
      <w:r>
        <w:t xml:space="preserve">=|Δ̄</w:t>
      </w:r>
      <w:r>
        <w:rPr>
          <w:i/>
          <w:iCs/>
          <w:vertAlign w:val="subscript"/>
        </w:rPr>
        <w:t xml:space="preserve">E</w:t>
      </w:r>
      <w:r>
        <w:t xml:space="preserve">|+</w:t>
      </w:r>
      <w:r>
        <w:rPr>
          <w:i/>
          <w:iCs/>
        </w:rPr>
        <w:t xml:space="preserve">C</w:t>
      </w:r>
      <w:r>
        <w:rPr>
          <w:i/>
          <w:iCs/>
          <w:vertAlign w:val="subscript"/>
        </w:rPr>
        <w:t xml:space="preserve">E</w:t>
      </w:r>
      <w:r>
        <w:t xml:space="preserve">; the black line is the median conformal alarm threshold without change (</w:t>
      </w:r>
      <w:r>
        <w:rPr>
          <w:i/>
          <w:iCs/>
        </w:rPr>
        <w:t xml:space="preserve">α</w:t>
      </w:r>
      <w:r>
        <w:t xml:space="preserve">=0.05</w:t>
      </w:r>
      <w:r>
        <w:t xml:space="preserve">). Coherent change moves windows along the horizontal axis and balanced rewiring along the vertical axis; both null conditions lie near the origin with </w:t>
      </w:r>
      <w:r>
        <w:rPr>
          <w:i/>
          <w:iCs/>
        </w:rPr>
        <w:t xml:space="preserve">C</w:t>
      </w:r>
      <w:r>
        <w:rPr>
          <w:i/>
          <w:iCs/>
          <w:vertAlign w:val="subscript"/>
        </w:rPr>
        <w:t xml:space="preserve">E</w:t>
      </w:r>
      <w:r>
        <w:t xml:space="preserve">&gt;|Δ̄</w:t>
      </w:r>
      <w:r>
        <w:rPr>
          <w:i/>
          <w:iCs/>
          <w:vertAlign w:val="subscript"/>
        </w:rPr>
        <w:t xml:space="preserve">E</w:t>
      </w:r>
      <w:r>
        <w:t xml:space="preserve">|</w:t>
      </w:r>
      <w:r>
        <w:t xml:space="preserve">. </w:t>
      </w:r>
      <w:r>
        <w:rPr>
          <w:b/>
          <w:bCs/>
        </w:rPr>
        <w:t xml:space="preserve">b</w:t>
      </w:r>
      <w:r>
        <w:t xml:space="preserve">, One realization of balanced rewiring. Top, the signed control </w:t>
      </w:r>
      <w:r>
        <w:rPr>
          <w:i/>
          <w:iCs/>
        </w:rPr>
        <w:t xml:space="preserve">τ</w:t>
      </w:r>
      <w:r>
        <w:rPr>
          <w:vertAlign w:val="subscript"/>
        </w:rPr>
        <w:t xml:space="preserve">s,</w:t>
      </w:r>
      <w:r>
        <w:rPr>
          <w:i/>
          <w:iCs/>
          <w:vertAlign w:val="subscript"/>
        </w:rPr>
        <w:t xml:space="preserve">E</w:t>
      </w:r>
      <w:r>
        <w:t xml:space="preserve"> with its calibration mean (dotted) and alarm band (shaded). Bottom, </w:t>
      </w:r>
      <w:r>
        <w:rPr>
          <w:i/>
          <w:iCs/>
        </w:rPr>
        <w:t xml:space="preserve">D</w:t>
      </w:r>
      <w:r>
        <w:rPr>
          <w:i/>
          <w:iCs/>
          <w:vertAlign w:val="subscript"/>
        </w:rPr>
        <w:t xml:space="preserve">E</w:t>
      </w:r>
      <w:r>
        <w:t xml:space="preserve"> stacked as </w:t>
      </w:r>
      <w:r>
        <w:t xml:space="preserve">|Δ̄</w:t>
      </w:r>
      <w:r>
        <w:rPr>
          <w:i/>
          <w:iCs/>
          <w:vertAlign w:val="subscript"/>
        </w:rPr>
        <w:t xml:space="preserve">E</w:t>
      </w:r>
      <w:r>
        <w:t xml:space="preserve">|</w:t>
      </w:r>
      <w:r>
        <w:t xml:space="preserve"> (blue) plus </w:t>
      </w:r>
      <w:r>
        <w:rPr>
          <w:i/>
          <w:iCs/>
        </w:rPr>
        <w:t xml:space="preserve">C</w:t>
      </w:r>
      <w:r>
        <w:rPr>
          <w:i/>
          <w:iCs/>
          <w:vertAlign w:val="subscript"/>
        </w:rPr>
        <w:t xml:space="preserve">E</w:t>
      </w:r>
      <w:r>
        <w:t xml:space="preserve"> (orange), with its alarm threshold; calibration windows are shown against leave-one-out baselines. After the change (dashed line) the increase is carried almost entirely by </w:t>
      </w:r>
      <w:r>
        <w:rPr>
          <w:i/>
          <w:iCs/>
        </w:rPr>
        <w:t xml:space="preserve">C</w:t>
      </w:r>
      <w:r>
        <w:rPr>
          <w:i/>
          <w:iCs/>
          <w:vertAlign w:val="subscript"/>
        </w:rPr>
        <w:t xml:space="preserve">E</w:t>
      </w:r>
      <w:r>
        <w:t xml:space="preserve">. </w:t>
      </w:r>
      <w:r>
        <w:rPr>
          <w:b/>
          <w:bCs/>
        </w:rPr>
        <w:t xml:space="preserve">c</w:t>
      </w:r>
      <w:r>
        <w:t xml:space="preserve">, Alarm rates of </w:t>
      </w:r>
      <w:r>
        <w:rPr>
          <w:i/>
          <w:iCs/>
        </w:rPr>
        <w:t xml:space="preserve">D</w:t>
      </w:r>
      <w:r>
        <w:rPr>
          <w:i/>
          <w:iCs/>
          <w:vertAlign w:val="subscript"/>
        </w:rPr>
        <w:t xml:space="preserve">E</w:t>
      </w:r>
      <w:r>
        <w:t xml:space="preserve"> (solid) and of the signed control (dashed) against the mean absolute expected edge change, for coherent shifts of increasing strength and for progressive polarity rewiring; each point summarizes 1,000 windows (200 replicates × 5 windows); dotted line, </w:t>
      </w:r>
      <w:r>
        <w:rPr>
          <w:i/>
          <w:iCs/>
        </w:rPr>
        <w:t xml:space="preserve">α</w:t>
      </w:r>
      <w:r>
        <w:t xml:space="preserve">.</w:t>
      </w:r>
    </w:p>
    <w:p>
      <w:pPr>
        <w:pStyle w:val="Heading1"/>
      </w:pPr>
      <w:r>
        <w:t xml:space="preserve">Scope</w:t>
      </w:r>
    </w:p>
    <w:p>
      <w:pPr>
        <w:pStyle w:val="BodyText"/>
      </w:pPr>
      <w:r>
        <w:t xml:space="preserve">The decomposition is an algebraic identity. It holds in every window and for every edge set, and it applies to any signed average of pairwise changes, whatever the association measure. Its statistical companions, the no-change predictions and the conformal rule, rest on approximations (Gaussian edge errors, weak correlation between edge errors, exchangeable windows) that the simulation supports but that must be checked in each application, which is why every threshold here is calibrated rather than fixed. The illustration is synthetic and small; it shows how the statistics behave when the ground truth is known and says nothing about any particular neural or artificial system. Nor does it establish when cancellation occurs in practice. Early-warning signals for critical transitions</w:t>
      </w:r>
      <w:r>
        <w:rPr>
          <w:vertAlign w:val="superscript"/>
        </w:rPr>
        <w:t xml:space="preserve">16</w:t>
      </w:r>
      <w:r>
        <w:t xml:space="preserve"> are also read from system-level statistics, but whether balanced reorganization, and hence cancellation, accompanies such transitions is an empirical question that this note does not address. What the decomposition provides is an accounting: whenever </w:t>
      </w:r>
      <w:r>
        <w:rPr>
          <w:i/>
          <w:iCs/>
        </w:rPr>
        <w:t xml:space="preserve">D</w:t>
      </w:r>
      <w:r>
        <w:rPr>
          <w:i/>
          <w:iCs/>
          <w:vertAlign w:val="subscript"/>
        </w:rPr>
        <w:t xml:space="preserve">E</w:t>
      </w:r>
      <w:r>
        <w:t xml:space="preserve"> raises an alarm, it states how much of the change the signed Systemic Tau would have seen and how much it would have missed.</w:t>
      </w:r>
    </w:p>
    <w:p>
      <w:pPr>
        <w:pStyle w:val="TabCap"/>
      </w:pPr>
      <w:r>
        <w:rPr>
          <w:b/>
          <w:bCs/>
        </w:rPr>
        <w:t xml:space="preserve">Table 1 | Decomposition and alarm rates in four synthetic conditions.</w:t>
      </w:r>
      <w:r>
        <w:t xml:space="preserve"> Means over 1,000 monitored windows (200 replicates × 5 windows); </w:t>
      </w:r>
      <w:r>
        <w:rPr>
          <w:i/>
          <w:iCs/>
        </w:rPr>
        <w:t xml:space="preserve">N</w:t>
      </w:r>
      <w:r>
        <w:t xml:space="preserve">=10</w:t>
      </w:r>
      <w:r>
        <w:t xml:space="preserve"> modules, </w:t>
      </w:r>
      <w:r>
        <w:t xml:space="preserve">|</w:t>
      </w:r>
      <w:r>
        <w:rPr>
          <w:i/>
          <w:iCs/>
        </w:rPr>
        <w:t xml:space="preserve">E</w:t>
      </w:r>
      <w:r>
        <w:t xml:space="preserve">|=16</w:t>
      </w:r>
      <w:r>
        <w:t xml:space="preserve"> edges, 45 pairs. </w:t>
      </w:r>
      <w:r>
        <w:t xml:space="preserve">Δ</w:t>
      </w:r>
      <w:r>
        <w:rPr>
          <w:i/>
          <w:iCs/>
        </w:rPr>
        <w:t xml:space="preserve">τ</w:t>
      </w:r>
      <w:r>
        <w:rPr>
          <w:vertAlign w:val="subscript"/>
        </w:rPr>
        <w:t xml:space="preserve">s</w:t>
      </w:r>
      <w:r>
        <w:t xml:space="preserve">, change of </w:t>
      </w:r>
      <w:r>
        <w:rPr>
          <w:i/>
          <w:iCs/>
        </w:rPr>
        <w:t xml:space="preserve">τ</w:t>
      </w:r>
      <w:r>
        <w:rPr>
          <w:vertAlign w:val="subscript"/>
        </w:rPr>
        <w:t xml:space="preserve">s</w:t>
      </w:r>
      <w:r>
        <w:t xml:space="preserve"> over all pairs; </w:t>
      </w:r>
      <w:r>
        <w:t xml:space="preserve">Δ̄</w:t>
      </w:r>
      <w:r>
        <w:rPr>
          <w:i/>
          <w:iCs/>
          <w:vertAlign w:val="subscript"/>
        </w:rPr>
        <w:t xml:space="preserve">E</w:t>
      </w:r>
      <w:r>
        <w:t xml:space="preserve">, </w:t>
      </w:r>
      <w:r>
        <w:rPr>
          <w:i/>
          <w:iCs/>
        </w:rPr>
        <w:t xml:space="preserve">D</w:t>
      </w:r>
      <w:r>
        <w:rPr>
          <w:i/>
          <w:iCs/>
          <w:vertAlign w:val="subscript"/>
        </w:rPr>
        <w:t xml:space="preserve">E</w:t>
      </w:r>
      <w:r>
        <w:t xml:space="preserve">, </w:t>
      </w:r>
      <w:r>
        <w:rPr>
          <w:i/>
          <w:iCs/>
        </w:rPr>
        <w:t xml:space="preserve">C</w:t>
      </w:r>
      <w:r>
        <w:rPr>
          <w:i/>
          <w:iCs/>
          <w:vertAlign w:val="subscript"/>
        </w:rPr>
        <w:t xml:space="preserve">E</w:t>
      </w:r>
      <w:r>
        <w:t xml:space="preserve">, </w:t>
      </w:r>
      <w:r>
        <w:rPr>
          <w:i/>
          <w:iCs/>
        </w:rPr>
        <w:t xml:space="preserve">κ</w:t>
      </w:r>
      <w:r>
        <w:rPr>
          <w:i/>
          <w:iCs/>
          <w:vertAlign w:val="subscript"/>
        </w:rPr>
        <w:t xml:space="preserve">E</w:t>
      </w:r>
      <w:r>
        <w:t xml:space="preserve">, signed change, mean absolute change, cancelled component and cancellation index on </w:t>
      </w:r>
      <w:r>
        <w:rPr>
          <w:i/>
          <w:iCs/>
        </w:rPr>
        <w:t xml:space="preserve">E</w:t>
      </w:r>
      <w:r>
        <w:t xml:space="preserve">. Alarm rates use conformal thresholds at </w:t>
      </w:r>
      <w:r>
        <w:rPr>
          <w:i/>
          <w:iCs/>
        </w:rPr>
        <w:t xml:space="preserve">α</w:t>
      </w:r>
      <w:r>
        <w:t xml:space="preserve">=0.05</w:t>
      </w:r>
      <w:r>
        <w:t xml:space="preserve"> from 39 calibration windows; the union rule fires when </w:t>
      </w:r>
      <w:r>
        <w:rPr>
          <w:i/>
          <w:iCs/>
        </w:rPr>
        <w:t xml:space="preserve">D</w:t>
      </w:r>
      <w:r>
        <w:rPr>
          <w:i/>
          <w:iCs/>
          <w:vertAlign w:val="subscript"/>
        </w:rPr>
        <w:t xml:space="preserve">E</w:t>
      </w:r>
      <w:r>
        <w:t xml:space="preserve"> or the signed control on </w:t>
      </w:r>
      <w:r>
        <w:rPr>
          <w:i/>
          <w:iCs/>
        </w:rPr>
        <w:t xml:space="preserve">E</w:t>
      </w:r>
      <w:r>
        <w:t xml:space="preserve"> reaches </w:t>
      </w:r>
      <w:r>
        <w:rPr>
          <w:i/>
          <w:iCs/>
        </w:rPr>
        <w:t xml:space="preserve">p</w:t>
      </w:r>
      <w:r>
        <w:t xml:space="preserve">≤</w:t>
      </w:r>
      <w:r>
        <w:rPr>
          <w:i/>
          <w:iCs/>
        </w:rPr>
        <w:t xml:space="preserve">α</w:t>
      </w:r>
      <w:r>
        <w:t xml:space="preserve">/2</w:t>
      </w:r>
      <w:r>
        <w:t xml:space="preserve">. Source, fraction of </w:t>
      </w:r>
      <w:r>
        <w:rPr>
          <w:i/>
          <w:iCs/>
        </w:rPr>
        <w:t xml:space="preserve">D</w:t>
      </w:r>
      <w:r>
        <w:rPr>
          <w:i/>
          <w:iCs/>
          <w:vertAlign w:val="subscript"/>
        </w:rPr>
        <w:t xml:space="preserve">E</w:t>
      </w:r>
      <w:r>
        <w:t xml:space="preserve"> alarms whose largest edge change lies on a rewired edge (chance 50%). Wilson 95% intervals of all rates are within ±3.1 percentage points.</w:t>
      </w:r>
    </w:p>
    <w:tbl>
      <w:tblPr>
        <w:tblStyle w:val="Table"/>
        <w:tblW w:type="dxa" w:w="8800"/>
        <w:jc w:val="center"/>
        <w:tblLayout w:type="fixed"/>
        <w:tblBorders>
          <w:top w:val="single" w:sz="10" w:space="0" w:color="1F3864"/>
          <w:bottom w:val="single" w:sz="10" w:space="0" w:color="1F3864"/>
          <w:insideH w:val="single" w:sz="2" w:space="0" w:color="C8C8C8"/>
          <w:left w:val="nil"/>
          <w:right w:val="nil"/>
          <w:insideV w:val="nil"/>
        </w:tblBorders>
        <w:tblCellMar>
          <w:top w:w="25" w:type="dxa"/>
          <w:left w:w="50" w:type="dxa"/>
          <w:bottom w:w="25" w:type="dxa"/>
          <w:right w:w="50" w:type="dxa"/>
        </w:tblCellMar>
        <w:tblLook w:val="0020" w:firstRow="1" w:lastRow="0" w:firstColumn="0" w:lastColumn="0" w:noHBand="0" w:noVBand="0"/>
      </w:tblPr>
      <w:tblGrid>
        <w:gridCol w:w="1640"/>
        <w:gridCol w:w="700"/>
        <w:gridCol w:w="700"/>
        <w:gridCol w:w="700"/>
        <w:gridCol w:w="700"/>
        <w:gridCol w:w="640"/>
        <w:gridCol w:w="720"/>
        <w:gridCol w:w="800"/>
        <w:gridCol w:w="800"/>
        <w:gridCol w:w="700"/>
        <w:gridCol w:w="700"/>
      </w:tblGrid>
      <w:tr>
        <w:trPr>
          <w:tblHeader/>
          <w:cantSplit/>
        </w:trPr>
        <w:tc>
          <w:tcPr>
            <w:tcW w:type="dxa" w:w="1640"/>
            <w:vAlign w:val="bottom"/>
          </w:tcPr>
          <w:p>
            <w:pPr>
              <w:pStyle w:val="Compact"/>
              <w:keepNext/>
              <w:spacing w:before="20" w:after="20" w:line="240" w:lineRule="auto"/>
              <w:jc w:val="left"/>
            </w:pPr>
          </w:p>
        </w:tc>
        <w:tc>
          <w:tcPr>
            <w:tcW w:type="dxa" w:w="3440"/>
            <w:gridSpan w:val="5"/>
            <w:tcBorders>
              <w:bottom w:val="single" w:sz="4" w:space="0" w:color="1F3864"/>
            </w:tcBorders>
            <w:vAlign w:val="bottom"/>
          </w:tcPr>
          <w:p>
            <w:pPr>
              <w:pStyle w:val="Compact"/>
              <w:keepNext/>
              <w:spacing w:before="20" w:after="20" w:line="240" w:lineRule="auto"/>
              <w:jc w:val="center"/>
            </w:pPr>
            <w:r>
              <w:rPr>
                <w:rFonts w:ascii="Calibri" w:hAnsi="Calibri" w:eastAsia="Calibri" w:cs="Calibri"/>
                <w:b/>
                <w:bCs/>
                <w:color w:val="1F3864"/>
                <w:sz w:val="17"/>
                <w:szCs w:val="17"/>
              </w:rPr>
              <w:t xml:space="preserve">Mean over windows</w:t>
            </w:r>
          </w:p>
        </w:tc>
        <w:tc>
          <w:tcPr>
            <w:tcW w:type="dxa" w:w="3020"/>
            <w:gridSpan w:val="4"/>
            <w:tcBorders>
              <w:bottom w:val="single" w:sz="4" w:space="0" w:color="1F3864"/>
            </w:tcBorders>
            <w:vAlign w:val="bottom"/>
          </w:tcPr>
          <w:p>
            <w:pPr>
              <w:pStyle w:val="Compact"/>
              <w:keepNext/>
              <w:spacing w:before="20" w:after="20" w:line="240" w:lineRule="auto"/>
              <w:jc w:val="center"/>
            </w:pPr>
            <w:r>
              <w:rPr>
                <w:rFonts w:ascii="Calibri" w:hAnsi="Calibri" w:eastAsia="Calibri" w:cs="Calibri"/>
                <w:b/>
                <w:bCs/>
                <w:color w:val="1F3864"/>
                <w:sz w:val="17"/>
                <w:szCs w:val="17"/>
              </w:rPr>
              <w:t xml:space="preserve">Alarm rate (%)</w:t>
            </w:r>
          </w:p>
        </w:tc>
        <w:tc>
          <w:tcPr>
            <w:tcW w:type="dxa" w:w="700"/>
            <w:vAlign w:val="bottom"/>
          </w:tcPr>
          <w:p>
            <w:pPr>
              <w:pStyle w:val="Compact"/>
              <w:keepNext/>
              <w:spacing w:before="20" w:after="20" w:line="240" w:lineRule="auto"/>
              <w:jc w:val="center"/>
            </w:pPr>
          </w:p>
        </w:tc>
      </w:tr>
      <w:tr>
        <w:trPr>
          <w:tblHeader/>
          <w:cantSplit/>
        </w:trPr>
        <w:tc>
          <w:tcPr>
            <w:tcW w:type="dxa" w:w="1640"/>
            <w:vAlign w:val="bottom"/>
          </w:tcPr>
          <w:p>
            <w:pPr>
              <w:pStyle w:val="Compact"/>
              <w:keepNext/>
              <w:spacing w:before="20" w:after="20" w:line="240" w:lineRule="auto"/>
              <w:jc w:val="left"/>
            </w:pPr>
            <w:r>
              <w:rPr>
                <w:rFonts w:ascii="Calibri" w:hAnsi="Calibri" w:eastAsia="Calibri" w:cs="Calibri"/>
                <w:b/>
                <w:bCs/>
                <w:color w:val="1F3864"/>
                <w:sz w:val="17"/>
                <w:szCs w:val="17"/>
              </w:rPr>
              <w:t xml:space="preserve">Condition</w:t>
            </w:r>
          </w:p>
        </w:tc>
        <w:tc>
          <w:tcPr>
            <w:tcW w:type="dxa" w:w="700"/>
            <w:vAlign w:val="bottom"/>
          </w:tcPr>
          <w:p>
            <w:pPr>
              <w:pStyle w:val="Compact"/>
              <w:keepNext/>
              <w:spacing w:before="20" w:after="20" w:line="240" w:lineRule="auto"/>
              <w:jc w:val="center"/>
            </w:pPr>
            <w:r>
              <w:rPr>
                <w:rFonts w:ascii="Calibri" w:hAnsi="Calibri" w:eastAsia="Calibri" w:cs="Calibri"/>
                <w:b/>
                <w:bCs/>
                <w:color w:val="1F3864"/>
                <w:sz w:val="17"/>
                <w:szCs w:val="17"/>
              </w:rPr>
              <w:t xml:space="preserve">Δ</w:t>
            </w:r>
            <w:r>
              <w:rPr>
                <w:rFonts w:ascii="Calibri" w:hAnsi="Calibri" w:eastAsia="Calibri" w:cs="Calibri"/>
                <w:b/>
                <w:bCs/>
                <w:i/>
                <w:iCs/>
                <w:color w:val="1F3864"/>
                <w:sz w:val="17"/>
                <w:szCs w:val="17"/>
              </w:rPr>
              <w:t xml:space="preserve">τ</w:t>
            </w:r>
            <w:r>
              <w:rPr>
                <w:rFonts w:ascii="Calibri" w:hAnsi="Calibri" w:eastAsia="Calibri" w:cs="Calibri"/>
                <w:b/>
                <w:bCs/>
                <w:color w:val="1F3864"/>
                <w:sz w:val="17"/>
                <w:szCs w:val="17"/>
                <w:vertAlign w:val="subscript"/>
              </w:rPr>
              <w:t xml:space="preserve">s</w:t>
            </w:r>
          </w:p>
        </w:tc>
        <w:tc>
          <w:tcPr>
            <w:tcW w:type="dxa" w:w="700"/>
            <w:vAlign w:val="bottom"/>
          </w:tcPr>
          <w:p>
            <w:pPr>
              <w:pStyle w:val="Compact"/>
              <w:keepNext/>
              <w:spacing w:before="20" w:after="20" w:line="240" w:lineRule="auto"/>
              <w:jc w:val="center"/>
            </w:pPr>
            <w:r>
              <w:rPr>
                <w:rFonts w:ascii="Calibri" w:hAnsi="Calibri" w:eastAsia="Calibri" w:cs="Calibri"/>
                <w:b/>
                <w:bCs/>
                <w:color w:val="1F3864"/>
                <w:sz w:val="17"/>
                <w:szCs w:val="17"/>
              </w:rPr>
              <w:t xml:space="preserve">Δ̄</w:t>
            </w:r>
            <w:r>
              <w:rPr>
                <w:rFonts w:ascii="Calibri" w:hAnsi="Calibri" w:eastAsia="Calibri" w:cs="Calibri"/>
                <w:b/>
                <w:bCs/>
                <w:i/>
                <w:iCs/>
                <w:color w:val="1F3864"/>
                <w:sz w:val="17"/>
                <w:szCs w:val="17"/>
                <w:vertAlign w:val="subscript"/>
              </w:rPr>
              <w:t xml:space="preserve">E</w:t>
            </w:r>
          </w:p>
        </w:tc>
        <w:tc>
          <w:tcPr>
            <w:tcW w:type="dxa" w:w="700"/>
            <w:vAlign w:val="bottom"/>
          </w:tcPr>
          <w:p>
            <w:pPr>
              <w:pStyle w:val="Compact"/>
              <w:keepNext/>
              <w:spacing w:before="20" w:after="20" w:line="240" w:lineRule="auto"/>
              <w:jc w:val="center"/>
            </w:pPr>
            <w:r>
              <w:rPr>
                <w:rFonts w:ascii="Calibri" w:hAnsi="Calibri" w:eastAsia="Calibri" w:cs="Calibri"/>
                <w:b/>
                <w:bCs/>
                <w:i/>
                <w:iCs/>
                <w:color w:val="1F3864"/>
                <w:sz w:val="17"/>
                <w:szCs w:val="17"/>
              </w:rPr>
              <w:t xml:space="preserve">D</w:t>
            </w:r>
            <w:r>
              <w:rPr>
                <w:rFonts w:ascii="Calibri" w:hAnsi="Calibri" w:eastAsia="Calibri" w:cs="Calibri"/>
                <w:b/>
                <w:bCs/>
                <w:i/>
                <w:iCs/>
                <w:color w:val="1F3864"/>
                <w:sz w:val="17"/>
                <w:szCs w:val="17"/>
                <w:vertAlign w:val="subscript"/>
              </w:rPr>
              <w:t xml:space="preserve">E</w:t>
            </w:r>
          </w:p>
        </w:tc>
        <w:tc>
          <w:tcPr>
            <w:tcW w:type="dxa" w:w="700"/>
            <w:vAlign w:val="bottom"/>
          </w:tcPr>
          <w:p>
            <w:pPr>
              <w:pStyle w:val="Compact"/>
              <w:keepNext/>
              <w:spacing w:before="20" w:after="20" w:line="240" w:lineRule="auto"/>
              <w:jc w:val="center"/>
            </w:pPr>
            <w:r>
              <w:rPr>
                <w:rFonts w:ascii="Calibri" w:hAnsi="Calibri" w:eastAsia="Calibri" w:cs="Calibri"/>
                <w:b/>
                <w:bCs/>
                <w:i/>
                <w:iCs/>
                <w:color w:val="1F3864"/>
                <w:sz w:val="17"/>
                <w:szCs w:val="17"/>
              </w:rPr>
              <w:t xml:space="preserve">C</w:t>
            </w:r>
            <w:r>
              <w:rPr>
                <w:rFonts w:ascii="Calibri" w:hAnsi="Calibri" w:eastAsia="Calibri" w:cs="Calibri"/>
                <w:b/>
                <w:bCs/>
                <w:i/>
                <w:iCs/>
                <w:color w:val="1F3864"/>
                <w:sz w:val="17"/>
                <w:szCs w:val="17"/>
                <w:vertAlign w:val="subscript"/>
              </w:rPr>
              <w:t xml:space="preserve">E</w:t>
            </w:r>
          </w:p>
        </w:tc>
        <w:tc>
          <w:tcPr>
            <w:tcW w:type="dxa" w:w="640"/>
            <w:vAlign w:val="bottom"/>
          </w:tcPr>
          <w:p>
            <w:pPr>
              <w:pStyle w:val="Compact"/>
              <w:keepNext/>
              <w:spacing w:before="20" w:after="20" w:line="240" w:lineRule="auto"/>
              <w:jc w:val="center"/>
            </w:pPr>
            <w:r>
              <w:rPr>
                <w:rFonts w:ascii="Calibri" w:hAnsi="Calibri" w:eastAsia="Calibri" w:cs="Calibri"/>
                <w:b/>
                <w:bCs/>
                <w:i/>
                <w:iCs/>
                <w:color w:val="1F3864"/>
                <w:sz w:val="17"/>
                <w:szCs w:val="17"/>
              </w:rPr>
              <w:t xml:space="preserve">κ</w:t>
            </w:r>
            <w:r>
              <w:rPr>
                <w:rFonts w:ascii="Calibri" w:hAnsi="Calibri" w:eastAsia="Calibri" w:cs="Calibri"/>
                <w:b/>
                <w:bCs/>
                <w:i/>
                <w:iCs/>
                <w:color w:val="1F3864"/>
                <w:sz w:val="17"/>
                <w:szCs w:val="17"/>
                <w:vertAlign w:val="subscript"/>
              </w:rPr>
              <w:t xml:space="preserve">E</w:t>
            </w:r>
          </w:p>
        </w:tc>
        <w:tc>
          <w:tcPr>
            <w:tcW w:type="dxa" w:w="720"/>
            <w:vAlign w:val="bottom"/>
          </w:tcPr>
          <w:p>
            <w:pPr>
              <w:pStyle w:val="Compact"/>
              <w:keepNext/>
              <w:spacing w:before="20" w:after="20" w:line="240" w:lineRule="auto"/>
              <w:jc w:val="center"/>
            </w:pPr>
            <w:r>
              <w:rPr>
                <w:rFonts w:ascii="Calibri" w:hAnsi="Calibri" w:eastAsia="Calibri" w:cs="Calibri"/>
                <w:b/>
                <w:bCs/>
                <w:i/>
                <w:iCs/>
                <w:color w:val="1F3864"/>
                <w:sz w:val="17"/>
                <w:szCs w:val="17"/>
              </w:rPr>
              <w:t xml:space="preserve">D</w:t>
            </w:r>
            <w:r>
              <w:rPr>
                <w:rFonts w:ascii="Calibri" w:hAnsi="Calibri" w:eastAsia="Calibri" w:cs="Calibri"/>
                <w:b/>
                <w:bCs/>
                <w:i/>
                <w:iCs/>
                <w:color w:val="1F3864"/>
                <w:sz w:val="17"/>
                <w:szCs w:val="17"/>
                <w:vertAlign w:val="subscript"/>
              </w:rPr>
              <w:t xml:space="preserve">E</w:t>
            </w:r>
          </w:p>
        </w:tc>
        <w:tc>
          <w:tcPr>
            <w:tcW w:type="dxa" w:w="800"/>
            <w:vAlign w:val="bottom"/>
          </w:tcPr>
          <w:p>
            <w:pPr>
              <w:pStyle w:val="Compact"/>
              <w:keepNext/>
              <w:spacing w:before="20" w:after="20" w:line="240" w:lineRule="auto"/>
              <w:jc w:val="center"/>
            </w:pPr>
            <w:r>
              <w:rPr>
                <w:rFonts w:ascii="Calibri" w:hAnsi="Calibri" w:eastAsia="Calibri" w:cs="Calibri"/>
                <w:b/>
                <w:bCs/>
                <w:i/>
                <w:iCs/>
                <w:color w:val="1F3864"/>
                <w:sz w:val="17"/>
                <w:szCs w:val="17"/>
              </w:rPr>
              <w:t xml:space="preserve">τ</w:t>
            </w:r>
            <w:r>
              <w:rPr>
                <w:rFonts w:ascii="Calibri" w:hAnsi="Calibri" w:eastAsia="Calibri" w:cs="Calibri"/>
                <w:b/>
                <w:bCs/>
                <w:color w:val="1F3864"/>
                <w:sz w:val="17"/>
                <w:szCs w:val="17"/>
                <w:vertAlign w:val="subscript"/>
              </w:rPr>
              <w:t xml:space="preserve">s,</w:t>
            </w:r>
            <w:r>
              <w:rPr>
                <w:rFonts w:ascii="Calibri" w:hAnsi="Calibri" w:eastAsia="Calibri" w:cs="Calibri"/>
                <w:b/>
                <w:bCs/>
                <w:i/>
                <w:iCs/>
                <w:color w:val="1F3864"/>
                <w:sz w:val="17"/>
                <w:szCs w:val="17"/>
                <w:vertAlign w:val="subscript"/>
              </w:rPr>
              <w:t xml:space="preserve">E</w:t>
            </w:r>
          </w:p>
        </w:tc>
        <w:tc>
          <w:tcPr>
            <w:tcW w:type="dxa" w:w="800"/>
            <w:vAlign w:val="bottom"/>
          </w:tcPr>
          <w:p>
            <w:pPr>
              <w:pStyle w:val="Compact"/>
              <w:keepNext/>
              <w:spacing w:before="20" w:after="20" w:line="240" w:lineRule="auto"/>
              <w:jc w:val="center"/>
            </w:pPr>
            <w:r>
              <w:rPr>
                <w:rFonts w:ascii="Calibri" w:hAnsi="Calibri" w:eastAsia="Calibri" w:cs="Calibri"/>
                <w:b/>
                <w:bCs/>
                <w:i/>
                <w:iCs/>
                <w:color w:val="1F3864"/>
                <w:sz w:val="17"/>
                <w:szCs w:val="17"/>
              </w:rPr>
              <w:t xml:space="preserve">τ</w:t>
            </w:r>
            <w:r>
              <w:rPr>
                <w:rFonts w:ascii="Calibri" w:hAnsi="Calibri" w:eastAsia="Calibri" w:cs="Calibri"/>
                <w:b/>
                <w:bCs/>
                <w:color w:val="1F3864"/>
                <w:sz w:val="17"/>
                <w:szCs w:val="17"/>
                <w:vertAlign w:val="subscript"/>
              </w:rPr>
              <w:t xml:space="preserve">s</w:t>
            </w:r>
            <w:r>
              <w:rPr>
                <w:rFonts w:ascii="Calibri" w:hAnsi="Calibri" w:eastAsia="Calibri" w:cs="Calibri"/>
                <w:b/>
                <w:bCs/>
                <w:color w:val="1F3864"/>
                <w:sz w:val="17"/>
                <w:szCs w:val="17"/>
              </w:rPr>
              <w:t xml:space="preserve">, all pairs</w:t>
            </w:r>
          </w:p>
        </w:tc>
        <w:tc>
          <w:tcPr>
            <w:tcW w:type="dxa" w:w="700"/>
            <w:vAlign w:val="bottom"/>
          </w:tcPr>
          <w:p>
            <w:pPr>
              <w:pStyle w:val="Compact"/>
              <w:keepNext/>
              <w:spacing w:before="20" w:after="20" w:line="240" w:lineRule="auto"/>
              <w:jc w:val="center"/>
            </w:pPr>
            <w:r>
              <w:rPr>
                <w:rFonts w:ascii="Calibri" w:hAnsi="Calibri" w:eastAsia="Calibri" w:cs="Calibri"/>
                <w:b/>
                <w:bCs/>
                <w:color w:val="1F3864"/>
                <w:sz w:val="17"/>
                <w:szCs w:val="17"/>
              </w:rPr>
              <w:t xml:space="preserve">Union</w:t>
            </w:r>
          </w:p>
        </w:tc>
        <w:tc>
          <w:tcPr>
            <w:tcW w:type="dxa" w:w="700"/>
            <w:vAlign w:val="bottom"/>
          </w:tcPr>
          <w:p>
            <w:pPr>
              <w:pStyle w:val="Compact"/>
              <w:keepNext/>
              <w:spacing w:before="20" w:after="20" w:line="240" w:lineRule="auto"/>
              <w:jc w:val="center"/>
            </w:pPr>
            <w:r>
              <w:rPr>
                <w:rFonts w:ascii="Calibri" w:hAnsi="Calibri" w:eastAsia="Calibri" w:cs="Calibri"/>
                <w:b/>
                <w:bCs/>
                <w:color w:val="1F3864"/>
                <w:sz w:val="17"/>
                <w:szCs w:val="17"/>
              </w:rPr>
              <w:t xml:space="preserve">Source (%)</w:t>
            </w:r>
          </w:p>
        </w:tc>
      </w:tr>
      <w:tr>
        <w:trPr>
          <w:cantSplit/>
        </w:trPr>
        <w:tc>
          <w:tcPr>
            <w:tcW w:type="dxa" w:w="1640"/>
            <w:vAlign w:val="bottom"/>
          </w:tcPr>
          <w:p>
            <w:pPr>
              <w:pStyle w:val="Compact"/>
              <w:keepNext/>
              <w:spacing w:before="20" w:after="20" w:line="240" w:lineRule="auto"/>
              <w:jc w:val="left"/>
            </w:pPr>
            <w:r>
              <w:rPr>
                <w:rFonts w:ascii="Calibri" w:hAnsi="Calibri" w:eastAsia="Calibri" w:cs="Calibri"/>
                <w:sz w:val="17"/>
                <w:szCs w:val="17"/>
              </w:rPr>
              <w:t xml:space="preserve">No change</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−0.000</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0.001</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0.095</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0.070</w:t>
            </w:r>
          </w:p>
        </w:tc>
        <w:tc>
          <w:tcPr>
            <w:tcW w:type="dxa" w:w="640"/>
            <w:vAlign w:val="bottom"/>
          </w:tcPr>
          <w:p>
            <w:pPr>
              <w:pStyle w:val="Compact"/>
              <w:keepNext/>
              <w:spacing w:before="20" w:after="20" w:line="240" w:lineRule="auto"/>
              <w:jc w:val="center"/>
            </w:pPr>
            <w:r>
              <w:rPr>
                <w:rFonts w:ascii="Calibri" w:hAnsi="Calibri" w:eastAsia="Calibri" w:cs="Calibri"/>
                <w:sz w:val="17"/>
                <w:szCs w:val="17"/>
              </w:rPr>
              <w:t xml:space="preserve">0.74</w:t>
            </w:r>
          </w:p>
        </w:tc>
        <w:tc>
          <w:tcPr>
            <w:tcW w:type="dxa" w:w="720"/>
            <w:vAlign w:val="bottom"/>
          </w:tcPr>
          <w:p>
            <w:pPr>
              <w:pStyle w:val="Compact"/>
              <w:keepNext/>
              <w:spacing w:before="20" w:after="20" w:line="240" w:lineRule="auto"/>
              <w:jc w:val="center"/>
            </w:pPr>
            <w:r>
              <w:rPr>
                <w:rFonts w:ascii="Calibri" w:hAnsi="Calibri" w:eastAsia="Calibri" w:cs="Calibri"/>
                <w:sz w:val="17"/>
                <w:szCs w:val="17"/>
              </w:rPr>
              <w:t xml:space="preserve">5.1</w:t>
            </w:r>
          </w:p>
        </w:tc>
        <w:tc>
          <w:tcPr>
            <w:tcW w:type="dxa" w:w="800"/>
            <w:vAlign w:val="bottom"/>
          </w:tcPr>
          <w:p>
            <w:pPr>
              <w:pStyle w:val="Compact"/>
              <w:keepNext/>
              <w:spacing w:before="20" w:after="20" w:line="240" w:lineRule="auto"/>
              <w:jc w:val="center"/>
            </w:pPr>
            <w:r>
              <w:rPr>
                <w:rFonts w:ascii="Calibri" w:hAnsi="Calibri" w:eastAsia="Calibri" w:cs="Calibri"/>
                <w:sz w:val="17"/>
                <w:szCs w:val="17"/>
              </w:rPr>
              <w:t xml:space="preserve">5.1</w:t>
            </w:r>
          </w:p>
        </w:tc>
        <w:tc>
          <w:tcPr>
            <w:tcW w:type="dxa" w:w="800"/>
            <w:vAlign w:val="bottom"/>
          </w:tcPr>
          <w:p>
            <w:pPr>
              <w:pStyle w:val="Compact"/>
              <w:keepNext/>
              <w:spacing w:before="20" w:after="20" w:line="240" w:lineRule="auto"/>
              <w:jc w:val="center"/>
            </w:pPr>
            <w:r>
              <w:rPr>
                <w:rFonts w:ascii="Calibri" w:hAnsi="Calibri" w:eastAsia="Calibri" w:cs="Calibri"/>
                <w:sz w:val="17"/>
                <w:szCs w:val="17"/>
              </w:rPr>
              <w:t xml:space="preserve">4.4</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3.6</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w:t>
            </w:r>
          </w:p>
        </w:tc>
      </w:tr>
      <w:tr>
        <w:trPr>
          <w:cantSplit/>
        </w:trPr>
        <w:tc>
          <w:tcPr>
            <w:tcW w:type="dxa" w:w="1640"/>
            <w:vAlign w:val="bottom"/>
          </w:tcPr>
          <w:p>
            <w:pPr>
              <w:pStyle w:val="Compact"/>
              <w:keepNext/>
              <w:spacing w:before="20" w:after="20" w:line="240" w:lineRule="auto"/>
              <w:jc w:val="left"/>
            </w:pPr>
            <w:r>
              <w:rPr>
                <w:rFonts w:ascii="Calibri" w:hAnsi="Calibri" w:eastAsia="Calibri" w:cs="Calibri"/>
                <w:sz w:val="17"/>
                <w:szCs w:val="17"/>
              </w:rPr>
              <w:t xml:space="preserve">Coherent shift (</w:t>
            </w:r>
            <w:r>
              <w:rPr>
                <w:rFonts w:ascii="Calibri" w:hAnsi="Calibri" w:eastAsia="Calibri" w:cs="Calibri"/>
                <w:i/>
                <w:iCs/>
                <w:sz w:val="17"/>
                <w:szCs w:val="17"/>
              </w:rPr>
              <w:t xml:space="preserve">γ</w:t>
            </w:r>
            <w:r>
              <w:rPr>
                <w:rFonts w:ascii="Calibri" w:hAnsi="Calibri" w:eastAsia="Calibri" w:cs="Calibri"/>
                <w:sz w:val="17"/>
                <w:szCs w:val="17"/>
              </w:rPr>
              <w:t xml:space="preserve">=0.5</w:t>
            </w:r>
            <w:r>
              <w:rPr>
                <w:rFonts w:ascii="Calibri" w:hAnsi="Calibri" w:eastAsia="Calibri" w:cs="Calibri"/>
                <w:sz w:val="17"/>
                <w:szCs w:val="17"/>
              </w:rPr>
              <w:t xml:space="preserve">)</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0.106</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0.104</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0.131</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0.027</w:t>
            </w:r>
          </w:p>
        </w:tc>
        <w:tc>
          <w:tcPr>
            <w:tcW w:type="dxa" w:w="640"/>
            <w:vAlign w:val="bottom"/>
          </w:tcPr>
          <w:p>
            <w:pPr>
              <w:pStyle w:val="Compact"/>
              <w:keepNext/>
              <w:spacing w:before="20" w:after="20" w:line="240" w:lineRule="auto"/>
              <w:jc w:val="center"/>
            </w:pPr>
            <w:r>
              <w:rPr>
                <w:rFonts w:ascii="Calibri" w:hAnsi="Calibri" w:eastAsia="Calibri" w:cs="Calibri"/>
                <w:sz w:val="17"/>
                <w:szCs w:val="17"/>
              </w:rPr>
              <w:t xml:space="preserve">0.23</w:t>
            </w:r>
          </w:p>
        </w:tc>
        <w:tc>
          <w:tcPr>
            <w:tcW w:type="dxa" w:w="720"/>
            <w:vAlign w:val="bottom"/>
          </w:tcPr>
          <w:p>
            <w:pPr>
              <w:pStyle w:val="Compact"/>
              <w:keepNext/>
              <w:spacing w:before="20" w:after="20" w:line="240" w:lineRule="auto"/>
              <w:jc w:val="center"/>
            </w:pPr>
            <w:r>
              <w:rPr>
                <w:rFonts w:ascii="Calibri" w:hAnsi="Calibri" w:eastAsia="Calibri" w:cs="Calibri"/>
                <w:sz w:val="17"/>
                <w:szCs w:val="17"/>
              </w:rPr>
              <w:t xml:space="preserve">48.6</w:t>
            </w:r>
          </w:p>
        </w:tc>
        <w:tc>
          <w:tcPr>
            <w:tcW w:type="dxa" w:w="800"/>
            <w:vAlign w:val="bottom"/>
          </w:tcPr>
          <w:p>
            <w:pPr>
              <w:pStyle w:val="Compact"/>
              <w:keepNext/>
              <w:spacing w:before="20" w:after="20" w:line="240" w:lineRule="auto"/>
              <w:jc w:val="center"/>
            </w:pPr>
            <w:r>
              <w:rPr>
                <w:rFonts w:ascii="Calibri" w:hAnsi="Calibri" w:eastAsia="Calibri" w:cs="Calibri"/>
                <w:sz w:val="17"/>
                <w:szCs w:val="17"/>
              </w:rPr>
              <w:t xml:space="preserve">84.2</w:t>
            </w:r>
          </w:p>
        </w:tc>
        <w:tc>
          <w:tcPr>
            <w:tcW w:type="dxa" w:w="800"/>
            <w:vAlign w:val="bottom"/>
          </w:tcPr>
          <w:p>
            <w:pPr>
              <w:pStyle w:val="Compact"/>
              <w:keepNext/>
              <w:spacing w:before="20" w:after="20" w:line="240" w:lineRule="auto"/>
              <w:jc w:val="center"/>
            </w:pPr>
            <w:r>
              <w:rPr>
                <w:rFonts w:ascii="Calibri" w:hAnsi="Calibri" w:eastAsia="Calibri" w:cs="Calibri"/>
                <w:sz w:val="17"/>
                <w:szCs w:val="17"/>
              </w:rPr>
              <w:t xml:space="preserve">99.1</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78.9</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w:t>
            </w:r>
          </w:p>
        </w:tc>
      </w:tr>
      <w:tr>
        <w:trPr>
          <w:cantSplit/>
        </w:trPr>
        <w:tc>
          <w:tcPr>
            <w:tcW w:type="dxa" w:w="1640"/>
            <w:vAlign w:val="bottom"/>
          </w:tcPr>
          <w:p>
            <w:pPr>
              <w:pStyle w:val="Compact"/>
              <w:keepNext/>
              <w:spacing w:before="20" w:after="20" w:line="240" w:lineRule="auto"/>
              <w:jc w:val="left"/>
            </w:pPr>
            <w:r>
              <w:rPr>
                <w:rFonts w:ascii="Calibri" w:hAnsi="Calibri" w:eastAsia="Calibri" w:cs="Calibri"/>
                <w:sz w:val="17"/>
                <w:szCs w:val="17"/>
              </w:rPr>
              <w:t xml:space="preserve">Balanced rewiring</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−0.001</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−0.001</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0.167</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0.144</w:t>
            </w:r>
          </w:p>
        </w:tc>
        <w:tc>
          <w:tcPr>
            <w:tcW w:type="dxa" w:w="640"/>
            <w:vAlign w:val="bottom"/>
          </w:tcPr>
          <w:p>
            <w:pPr>
              <w:pStyle w:val="Compact"/>
              <w:keepNext/>
              <w:spacing w:before="20" w:after="20" w:line="240" w:lineRule="auto"/>
              <w:jc w:val="center"/>
            </w:pPr>
            <w:r>
              <w:rPr>
                <w:rFonts w:ascii="Calibri" w:hAnsi="Calibri" w:eastAsia="Calibri" w:cs="Calibri"/>
                <w:sz w:val="17"/>
                <w:szCs w:val="17"/>
              </w:rPr>
              <w:t xml:space="preserve">0.86</w:t>
            </w:r>
          </w:p>
        </w:tc>
        <w:tc>
          <w:tcPr>
            <w:tcW w:type="dxa" w:w="720"/>
            <w:vAlign w:val="bottom"/>
          </w:tcPr>
          <w:p>
            <w:pPr>
              <w:pStyle w:val="Compact"/>
              <w:keepNext/>
              <w:spacing w:before="20" w:after="20" w:line="240" w:lineRule="auto"/>
              <w:jc w:val="center"/>
            </w:pPr>
            <w:r>
              <w:rPr>
                <w:rFonts w:ascii="Calibri" w:hAnsi="Calibri" w:eastAsia="Calibri" w:cs="Calibri"/>
                <w:sz w:val="17"/>
                <w:szCs w:val="17"/>
              </w:rPr>
              <w:t xml:space="preserve">95.0</w:t>
            </w:r>
          </w:p>
        </w:tc>
        <w:tc>
          <w:tcPr>
            <w:tcW w:type="dxa" w:w="800"/>
            <w:vAlign w:val="bottom"/>
          </w:tcPr>
          <w:p>
            <w:pPr>
              <w:pStyle w:val="Compact"/>
              <w:keepNext/>
              <w:spacing w:before="20" w:after="20" w:line="240" w:lineRule="auto"/>
              <w:jc w:val="center"/>
            </w:pPr>
            <w:r>
              <w:rPr>
                <w:rFonts w:ascii="Calibri" w:hAnsi="Calibri" w:eastAsia="Calibri" w:cs="Calibri"/>
                <w:sz w:val="17"/>
                <w:szCs w:val="17"/>
              </w:rPr>
              <w:t xml:space="preserve">3.6</w:t>
            </w:r>
          </w:p>
        </w:tc>
        <w:tc>
          <w:tcPr>
            <w:tcW w:type="dxa" w:w="800"/>
            <w:vAlign w:val="bottom"/>
          </w:tcPr>
          <w:p>
            <w:pPr>
              <w:pStyle w:val="Compact"/>
              <w:keepNext/>
              <w:spacing w:before="20" w:after="20" w:line="240" w:lineRule="auto"/>
              <w:jc w:val="center"/>
            </w:pPr>
            <w:r>
              <w:rPr>
                <w:rFonts w:ascii="Calibri" w:hAnsi="Calibri" w:eastAsia="Calibri" w:cs="Calibri"/>
                <w:sz w:val="17"/>
                <w:szCs w:val="17"/>
              </w:rPr>
              <w:t xml:space="preserve">4.9</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88.7</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98.3</w:t>
            </w:r>
          </w:p>
        </w:tc>
      </w:tr>
      <w:tr>
        <w:trPr>
          <w:cantSplit/>
        </w:trPr>
        <w:tc>
          <w:tcPr>
            <w:tcW w:type="dxa" w:w="1640"/>
            <w:vAlign w:val="bottom"/>
          </w:tcPr>
          <w:p>
            <w:pPr>
              <w:pStyle w:val="Compact"/>
              <w:keepNext/>
              <w:spacing w:before="20" w:after="20" w:line="240" w:lineRule="auto"/>
              <w:jc w:val="left"/>
            </w:pPr>
            <w:r>
              <w:rPr>
                <w:rFonts w:ascii="Calibri" w:hAnsi="Calibri" w:eastAsia="Calibri" w:cs="Calibri"/>
                <w:sz w:val="17"/>
                <w:szCs w:val="17"/>
              </w:rPr>
              <w:t xml:space="preserve">Independent null</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−0.000</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−0.002</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0.098</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0.074</w:t>
            </w:r>
          </w:p>
        </w:tc>
        <w:tc>
          <w:tcPr>
            <w:tcW w:type="dxa" w:w="640"/>
            <w:vAlign w:val="bottom"/>
          </w:tcPr>
          <w:p>
            <w:pPr>
              <w:pStyle w:val="Compact"/>
              <w:keepNext/>
              <w:spacing w:before="20" w:after="20" w:line="240" w:lineRule="auto"/>
              <w:jc w:val="center"/>
            </w:pPr>
            <w:r>
              <w:rPr>
                <w:rFonts w:ascii="Calibri" w:hAnsi="Calibri" w:eastAsia="Calibri" w:cs="Calibri"/>
                <w:sz w:val="17"/>
                <w:szCs w:val="17"/>
              </w:rPr>
              <w:t xml:space="preserve">0.75</w:t>
            </w:r>
          </w:p>
        </w:tc>
        <w:tc>
          <w:tcPr>
            <w:tcW w:type="dxa" w:w="720"/>
            <w:vAlign w:val="bottom"/>
          </w:tcPr>
          <w:p>
            <w:pPr>
              <w:pStyle w:val="Compact"/>
              <w:keepNext/>
              <w:spacing w:before="20" w:after="20" w:line="240" w:lineRule="auto"/>
              <w:jc w:val="center"/>
            </w:pPr>
            <w:r>
              <w:rPr>
                <w:rFonts w:ascii="Calibri" w:hAnsi="Calibri" w:eastAsia="Calibri" w:cs="Calibri"/>
                <w:sz w:val="17"/>
                <w:szCs w:val="17"/>
              </w:rPr>
              <w:t xml:space="preserve">5.1</w:t>
            </w:r>
          </w:p>
        </w:tc>
        <w:tc>
          <w:tcPr>
            <w:tcW w:type="dxa" w:w="800"/>
            <w:vAlign w:val="bottom"/>
          </w:tcPr>
          <w:p>
            <w:pPr>
              <w:pStyle w:val="Compact"/>
              <w:keepNext/>
              <w:spacing w:before="20" w:after="20" w:line="240" w:lineRule="auto"/>
              <w:jc w:val="center"/>
            </w:pPr>
            <w:r>
              <w:rPr>
                <w:rFonts w:ascii="Calibri" w:hAnsi="Calibri" w:eastAsia="Calibri" w:cs="Calibri"/>
                <w:sz w:val="17"/>
                <w:szCs w:val="17"/>
              </w:rPr>
              <w:t xml:space="preserve">5.7</w:t>
            </w:r>
          </w:p>
        </w:tc>
        <w:tc>
          <w:tcPr>
            <w:tcW w:type="dxa" w:w="800"/>
            <w:vAlign w:val="bottom"/>
          </w:tcPr>
          <w:p>
            <w:pPr>
              <w:pStyle w:val="Compact"/>
              <w:keepNext/>
              <w:spacing w:before="20" w:after="20" w:line="240" w:lineRule="auto"/>
              <w:jc w:val="center"/>
            </w:pPr>
            <w:r>
              <w:rPr>
                <w:rFonts w:ascii="Calibri" w:hAnsi="Calibri" w:eastAsia="Calibri" w:cs="Calibri"/>
                <w:sz w:val="17"/>
                <w:szCs w:val="17"/>
              </w:rPr>
              <w:t xml:space="preserve">4.6</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5.1</w:t>
            </w:r>
          </w:p>
        </w:tc>
        <w:tc>
          <w:tcPr>
            <w:tcW w:type="dxa" w:w="700"/>
            <w:vAlign w:val="bottom"/>
          </w:tcPr>
          <w:p>
            <w:pPr>
              <w:pStyle w:val="Compact"/>
              <w:keepNext/>
              <w:spacing w:before="20" w:after="20" w:line="240" w:lineRule="auto"/>
              <w:jc w:val="center"/>
            </w:pPr>
            <w:r>
              <w:rPr>
                <w:rFonts w:ascii="Calibri" w:hAnsi="Calibri" w:eastAsia="Calibri" w:cs="Calibri"/>
                <w:sz w:val="17"/>
                <w:szCs w:val="17"/>
              </w:rPr>
              <w:t xml:space="preserve">—</w:t>
            </w:r>
          </w:p>
        </w:tc>
      </w:tr>
    </w:tbl>
    <w:p>
      <w:pPr>
        <w:pStyle w:val="BodyText"/>
        <w:spacing w:after="0"/>
      </w:pPr>
    </w:p>
    <w:p>
      <w:pPr>
        <w:pStyle w:val="Heading1"/>
      </w:pPr>
      <w:r>
        <w:t xml:space="preserve">Methods</w:t>
      </w:r>
    </w:p>
    <w:p>
      <w:pPr>
        <w:pStyle w:val="Heading2"/>
      </w:pPr>
      <w:r>
        <w:t xml:space="preserve">Pairwise concordance and baselines</w:t>
      </w:r>
    </w:p>
    <w:p>
      <w:pPr>
        <w:pStyle w:val="BodyText"/>
        <w:keepNext/>
      </w:pPr>
      <w:r>
        <w:t xml:space="preserve">Module </w:t>
      </w:r>
      <w:r>
        <w:rPr>
          <w:i/>
          <w:iCs/>
        </w:rPr>
        <w:t xml:space="preserve">i</w:t>
      </w:r>
      <w:r>
        <w:t xml:space="preserve"> contributes a binned activity stream </w:t>
      </w:r>
      <w:r>
        <w:rPr>
          <w:i/>
          <w:iCs/>
        </w:rPr>
        <w:t xml:space="preserve">z</w:t>
      </w:r>
      <w:r>
        <w:rPr>
          <w:i/>
          <w:iCs/>
          <w:vertAlign w:val="subscript"/>
        </w:rPr>
        <w:t xml:space="preserve">i</w:t>
      </w:r>
      <w:r>
        <w:t xml:space="preserve">(</w:t>
      </w:r>
      <w:r>
        <w:rPr>
          <w:i/>
          <w:iCs/>
        </w:rPr>
        <w:t xml:space="preserve">k</w:t>
      </w:r>
      <w:r>
        <w:t xml:space="preserve">)</w:t>
      </w:r>
      <w:r>
        <w:t xml:space="preserve"> on a common discrete event index, for example event counts in bins of </w:t>
      </w:r>
      <w:r>
        <w:rPr>
          <w:i/>
          <w:iCs/>
        </w:rPr>
        <w:t xml:space="preserve">b</w:t>
      </w:r>
      <w:r>
        <w:t xml:space="preserve"> ticks. For bins </w:t>
      </w:r>
      <w:r>
        <w:rPr>
          <w:i/>
          <w:iCs/>
        </w:rPr>
        <w:t xml:space="preserve">k</w:t>
      </w:r>
      <w:r>
        <w:t xml:space="preserve">&lt;</w:t>
      </w:r>
      <w:r>
        <w:rPr>
          <w:i/>
          <w:iCs/>
        </w:rPr>
        <w:t xml:space="preserve">l</w:t>
      </w:r>
      <w:r>
        <w:t xml:space="preserve"> of a window of </w:t>
      </w:r>
      <w:r>
        <w:rPr>
          <w:i/>
          <w:iCs/>
        </w:rPr>
        <w:t xml:space="preserve">W</w:t>
      </w:r>
      <w:r>
        <w:t xml:space="preserve"> bins, Kendall’s tie-corrected coefficient</w:t>
      </w:r>
      <w:r>
        <w:rPr>
          <w:vertAlign w:val="superscript"/>
        </w:rPr>
        <w:t xml:space="preserve">5</w:t>
      </w:r>
      <w:r>
        <w:t xml:space="preserve"> is the cosine between the sign vectors of two streams,</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Sup>
                  <m:e>
                    <m:r>
                      <m:t xml:space="preserve">τ</m:t>
                    </m:r>
                  </m:e>
                  <m:sub>
                    <m:r>
                      <m:t xml:space="preserve">b</m:t>
                    </m:r>
                  </m:sub>
                  <m:sup>
                    <m:r>
                      <m:rPr>
                        <m:sty m:val="p"/>
                      </m:rPr>
                      <m:t xml:space="preserve">(</m:t>
                    </m:r>
                    <m:r>
                      <m:t xml:space="preserve">i</m:t>
                    </m:r>
                    <m:r>
                      <m:t xml:space="preserve">j</m:t>
                    </m:r>
                    <m:r>
                      <m:rPr>
                        <m:sty m:val="p"/>
                      </m:rPr>
                      <m:t xml:space="preserve">)</m:t>
                    </m:r>
                  </m:sup>
                </m:sSubSup>
                <m:r>
                  <m:rPr>
                    <m:sty m:val="p"/>
                  </m:rPr>
                  <m:t xml:space="preserve">=</m:t>
                </m:r>
                <m:f>
                  <m:num>
                    <m:nary>
                      <m:naryPr>
                        <m:chr m:val="∑"/>
                        <m:limLoc m:val="undOvr"/>
                        <m:supHide m:val="1"/>
                      </m:naryPr>
                      <m:sub>
                        <m:r>
                          <m:t xml:space="preserve">k</m:t>
                        </m:r>
                        <m:r>
                          <m:rPr>
                            <m:sty m:val="p"/>
                          </m:rPr>
                          <m:t xml:space="preserve">&lt;</m:t>
                        </m:r>
                        <m:r>
                          <m:t xml:space="preserve">l</m:t>
                        </m:r>
                      </m:sub>
                      <m:sup/>
                      <m:e>
                        <m:sSub>
                          <m:e>
                            <m:r>
                              <m:t xml:space="preserve">ξ</m:t>
                            </m:r>
                          </m:e>
                          <m:sub>
                            <m:r>
                              <m:t xml:space="preserve">i</m:t>
                            </m:r>
                          </m:sub>
                        </m:sSub>
                        <m:r>
                          <m:rPr>
                            <m:sty m:val="p"/>
                          </m:rPr>
                          <m:t xml:space="preserve">(</m:t>
                        </m:r>
                        <m:r>
                          <m:t xml:space="preserve">k</m:t>
                        </m:r>
                      </m:e>
                    </m:nary>
                    <m:r>
                      <m:rPr>
                        <m:sty m:val="p"/>
                      </m:rPr>
                      <m:t xml:space="preserve">,</m:t>
                    </m:r>
                    <m:r>
                      <m:t xml:space="preserve">l</m:t>
                    </m:r>
                    <m:r>
                      <m:rPr>
                        <m:sty m:val="p"/>
                      </m:rPr>
                      <m:t xml:space="preserve">)</m:t>
                    </m:r>
                    <m:r>
                      <m:rPr>
                        <m:nor/>
                      </m:rPr>
                      <m:t xml:space="preserve"> </m:t>
                    </m:r>
                    <m:sSub>
                      <m:e>
                        <m:r>
                          <m:t xml:space="preserve">ξ</m:t>
                        </m:r>
                      </m:e>
                      <m:sub>
                        <m:r>
                          <m:t xml:space="preserve">j</m:t>
                        </m:r>
                      </m:sub>
                    </m:sSub>
                    <m:r>
                      <m:rPr>
                        <m:sty m:val="p"/>
                      </m:rPr>
                      <m:t xml:space="preserve">(</m:t>
                    </m:r>
                    <m:r>
                      <m:t xml:space="preserve">k</m:t>
                    </m:r>
                    <m:r>
                      <m:rPr>
                        <m:sty m:val="p"/>
                      </m:rPr>
                      <m:t xml:space="preserve">,</m:t>
                    </m:r>
                    <m:r>
                      <m:t xml:space="preserve">l</m:t>
                    </m:r>
                    <m:r>
                      <m:rPr>
                        <m:sty m:val="p"/>
                      </m:rPr>
                      <m:t xml:space="preserve">)</m:t>
                    </m:r>
                  </m:num>
                  <m:den>
                    <m:sSup>
                      <m:e>
                        <m:d>
                          <m:dPr>
                            <m:begChr m:val="("/>
                            <m:endChr m:val=")"/>
                          </m:dPr>
                          <m:e>
                            <m:nary>
                              <m:naryPr>
                                <m:chr m:val="∑"/>
                                <m:limLoc m:val="undOvr"/>
                                <m:supHide m:val="1"/>
                              </m:naryPr>
                              <m:sub>
                                <m:r>
                                  <m:t xml:space="preserve">k</m:t>
                                </m:r>
                                <m:r>
                                  <m:rPr>
                                    <m:sty m:val="p"/>
                                  </m:rPr>
                                  <m:t xml:space="preserve">&lt;</m:t>
                                </m:r>
                                <m:r>
                                  <m:t xml:space="preserve">l</m:t>
                                </m:r>
                              </m:sub>
                              <m:sup/>
                              <m:e>
                                <m:sSub>
                                  <m:e>
                                    <m:r>
                                      <m:t xml:space="preserve">ξ</m:t>
                                    </m:r>
                                  </m:e>
                                  <m:sub>
                                    <m:r>
                                      <m:t xml:space="preserve">i</m:t>
                                    </m:r>
                                  </m:sub>
                                </m:sSub>
                                <m:r>
                                  <m:rPr>
                                    <m:sty m:val="p"/>
                                  </m:rPr>
                                  <m:t xml:space="preserve">(</m:t>
                                </m:r>
                                <m:r>
                                  <m:t xml:space="preserve">k</m:t>
                                </m:r>
                              </m:e>
                            </m:nary>
                            <m:r>
                              <m:rPr>
                                <m:sty m:val="p"/>
                              </m:rPr>
                              <m:t xml:space="preserve">,</m:t>
                            </m:r>
                            <m:r>
                              <m:t xml:space="preserve">l</m:t>
                            </m:r>
                            <m:sSup>
                              <m:e>
                                <m:r>
                                  <m:rPr>
                                    <m:sty m:val="p"/>
                                  </m:rPr>
                                  <m:t xml:space="preserve">)</m:t>
                                </m:r>
                              </m:e>
                              <m:sup>
                                <m:r>
                                  <m:rPr>
                                    <m:sty m:val="p"/>
                                  </m:rPr>
                                  <m:t xml:space="preserve">2</m:t>
                                </m:r>
                              </m:sup>
                            </m:sSup>
                          </m:e>
                        </m:d>
                      </m:e>
                      <m:sup>
                        <m:r>
                          <m:rPr>
                            <m:sty m:val="p"/>
                          </m:rPr>
                          <m:t xml:space="preserve">1</m:t>
                        </m:r>
                        <m:r>
                          <m:rPr>
                            <m:sty m:val="p"/>
                          </m:rPr>
                          <m:t xml:space="preserve">/</m:t>
                        </m:r>
                        <m:r>
                          <m:rPr>
                            <m:sty m:val="p"/>
                          </m:rPr>
                          <m:t xml:space="preserve">2</m:t>
                        </m:r>
                      </m:sup>
                    </m:sSup>
                    <m:sSup>
                      <m:e>
                        <m:d>
                          <m:dPr>
                            <m:begChr m:val="("/>
                            <m:endChr m:val=")"/>
                          </m:dPr>
                          <m:e>
                            <m:nary>
                              <m:naryPr>
                                <m:chr m:val="∑"/>
                                <m:limLoc m:val="undOvr"/>
                                <m:supHide m:val="1"/>
                              </m:naryPr>
                              <m:sub>
                                <m:r>
                                  <m:t xml:space="preserve">k</m:t>
                                </m:r>
                                <m:r>
                                  <m:rPr>
                                    <m:sty m:val="p"/>
                                  </m:rPr>
                                  <m:t xml:space="preserve">&lt;</m:t>
                                </m:r>
                                <m:r>
                                  <m:t xml:space="preserve">l</m:t>
                                </m:r>
                              </m:sub>
                              <m:sup/>
                              <m:e>
                                <m:sSub>
                                  <m:e>
                                    <m:r>
                                      <m:t xml:space="preserve">ξ</m:t>
                                    </m:r>
                                  </m:e>
                                  <m:sub>
                                    <m:r>
                                      <m:t xml:space="preserve">j</m:t>
                                    </m:r>
                                  </m:sub>
                                </m:sSub>
                                <m:r>
                                  <m:rPr>
                                    <m:sty m:val="p"/>
                                  </m:rPr>
                                  <m:t xml:space="preserve">(</m:t>
                                </m:r>
                                <m:r>
                                  <m:t xml:space="preserve">k</m:t>
                                </m:r>
                              </m:e>
                            </m:nary>
                            <m:r>
                              <m:rPr>
                                <m:sty m:val="p"/>
                              </m:rPr>
                              <m:t xml:space="preserve">,</m:t>
                            </m:r>
                            <m:r>
                              <m:t xml:space="preserve">l</m:t>
                            </m:r>
                            <m:sSup>
                              <m:e>
                                <m:r>
                                  <m:rPr>
                                    <m:sty m:val="p"/>
                                  </m:rPr>
                                  <m:t xml:space="preserve">)</m:t>
                                </m:r>
                              </m:e>
                              <m:sup>
                                <m:r>
                                  <m:rPr>
                                    <m:sty m:val="p"/>
                                  </m:rPr>
                                  <m:t xml:space="preserve">2</m:t>
                                </m:r>
                              </m:sup>
                            </m:sSup>
                          </m:e>
                        </m:d>
                      </m:e>
                      <m:sup>
                        <m:r>
                          <m:rPr>
                            <m:sty m:val="p"/>
                          </m:rPr>
                          <m:t xml:space="preserve">1</m:t>
                        </m:r>
                        <m:r>
                          <m:rPr>
                            <m:sty m:val="p"/>
                          </m:rPr>
                          <m:t xml:space="preserve">/</m:t>
                        </m:r>
                        <m:r>
                          <m:rPr>
                            <m:sty m:val="p"/>
                          </m:rPr>
                          <m:t xml:space="preserve">2</m:t>
                        </m:r>
                      </m:sup>
                    </m:sSup>
                  </m:den>
                </m:f>
                <m:r>
                  <m:rPr>
                    <m:sty m:val="p"/>
                  </m:rPr>
                  <m:t xml:space="preserve">,</m:t>
                </m:r>
                <m:r>
                  <m:rPr>
                    <m:nor/>
                  </m:rPr>
                  <m:t xml:space="preserve">  </m:t>
                </m:r>
                <m:sSub>
                  <m:e>
                    <m:r>
                      <m:t xml:space="preserve">ξ</m:t>
                    </m:r>
                  </m:e>
                  <m:sub>
                    <m:r>
                      <m:t xml:space="preserve">i</m:t>
                    </m:r>
                  </m:sub>
                </m:sSub>
                <m:r>
                  <m:rPr>
                    <m:sty m:val="p"/>
                  </m:rPr>
                  <m:t xml:space="preserve">(</m:t>
                </m:r>
                <m:r>
                  <m:t xml:space="preserve">k</m:t>
                </m:r>
                <m:r>
                  <m:rPr>
                    <m:sty m:val="p"/>
                  </m:rPr>
                  <m:t xml:space="preserve">,</m:t>
                </m:r>
                <m:r>
                  <m:t xml:space="preserve">l</m:t>
                </m:r>
                <m:r>
                  <m:rPr>
                    <m:sty m:val="p"/>
                  </m:rPr>
                  <m:t xml:space="preserve">)</m:t>
                </m:r>
                <m:r>
                  <m:rPr>
                    <m:sty m:val="p"/>
                  </m:rPr>
                  <m:t xml:space="preserve">=</m:t>
                </m:r>
                <m:r>
                  <m:rPr>
                    <m:nor/>
                  </m:rPr>
                  <m:t xml:space="preserve">sgn</m:t>
                </m:r>
                <m:d>
                  <m:dPr>
                    <m:begChr m:val="("/>
                    <m:endChr m:val=")"/>
                  </m:dPr>
                  <m:e>
                    <m:sSub>
                      <m:e>
                        <m:r>
                          <m:t xml:space="preserve">z</m:t>
                        </m:r>
                      </m:e>
                      <m:sub>
                        <m:r>
                          <m:t xml:space="preserve">i</m:t>
                        </m:r>
                      </m:sub>
                    </m:sSub>
                    <m:r>
                      <m:rPr>
                        <m:sty m:val="p"/>
                      </m:rPr>
                      <m:t xml:space="preserve">(</m:t>
                    </m:r>
                    <m:r>
                      <m:t xml:space="preserve">l</m:t>
                    </m:r>
                    <m:r>
                      <m:rPr>
                        <m:sty m:val="p"/>
                      </m:rPr>
                      <m:t xml:space="preserve">)</m:t>
                    </m:r>
                    <m:r>
                      <m:rPr>
                        <m:sty m:val="p"/>
                      </m:rPr>
                      <m:t xml:space="preserve">−</m:t>
                    </m:r>
                    <m:sSub>
                      <m:e>
                        <m:r>
                          <m:t xml:space="preserve">z</m:t>
                        </m:r>
                      </m:e>
                      <m:sub>
                        <m:r>
                          <m:t xml:space="preserve">i</m:t>
                        </m:r>
                      </m:sub>
                    </m:sSub>
                    <m:r>
                      <m:rPr>
                        <m:sty m:val="p"/>
                      </m:rPr>
                      <m:t xml:space="preserve">(</m:t>
                    </m:r>
                    <m:r>
                      <m:t xml:space="preserve">k</m:t>
                    </m:r>
                    <m:r>
                      <m:rPr>
                        <m:sty m:val="p"/>
                      </m:rPr>
                      <m:t xml:space="preserve">)</m:t>
                    </m:r>
                  </m:e>
                </m:d>
              </m:oMath>
            </m:oMathPara>
          </w:p>
        </w:tc>
        <w:tc>
          <w:tcPr>
            <w:tcW w:type="dxa" w:w="700"/>
            <w:vAlign w:val="center"/>
          </w:tcPr>
          <w:p>
            <w:pPr>
              <w:pStyle w:val="BodyText"/>
              <w:spacing w:before="60" w:after="60"/>
              <w:jc w:val="right"/>
            </w:pPr>
            <w:r>
              <w:t xml:space="preserve">(9)</w:t>
            </w:r>
          </w:p>
        </w:tc>
      </w:tr>
    </w:tbl>
    <w:p>
      <w:pPr>
        <w:pStyle w:val="BodyText"/>
      </w:pPr>
      <w:r>
        <w:t xml:space="preserve">which lies in </w:t>
      </w:r>
      <w:r>
        <w:t xml:space="preserve">[−1,1]</w:t>
      </w:r>
      <w:r>
        <w:t xml:space="preserve">. It is set to zero when either stream is constant in the window, and the fraction of such undefined pairs is reported; it was zero throughout the simulations. The baseline of pair </w:t>
      </w:r>
      <w:r>
        <w:rPr>
          <w:i/>
          <w:iCs/>
        </w:rPr>
        <w:t xml:space="preserve">p</w:t>
      </w:r>
      <w:r>
        <w:t xml:space="preserve"> is the mean of </w:t>
      </w:r>
      <w:r>
        <w:rPr>
          <w:i/>
          <w:iCs/>
        </w:rPr>
        <w:t xml:space="preserve">τ</w:t>
      </w:r>
      <w:r>
        <w:rPr>
          <w:i/>
          <w:iCs/>
          <w:vertAlign w:val="subscript"/>
        </w:rPr>
        <w:t xml:space="preserve">b</w:t>
      </w:r>
      <w:r>
        <w:rPr>
          <w:vertAlign w:val="superscript"/>
        </w:rPr>
        <w:t xml:space="preserve">(</w:t>
      </w:r>
      <w:r>
        <w:rPr>
          <w:i/>
          <w:iCs/>
          <w:vertAlign w:val="superscript"/>
        </w:rPr>
        <w:t xml:space="preserve">p</w:t>
      </w:r>
      <w:r>
        <w:rPr>
          <w:vertAlign w:val="superscript"/>
        </w:rPr>
        <w:t xml:space="preserve">)</w:t>
      </w:r>
      <w:r>
        <w:t xml:space="preserve"> over the calibration windows (equation (1)); the mean, rather than a median, is what makes </w:t>
      </w:r>
      <w:r>
        <w:t xml:space="preserve">Δ̄</w:t>
      </w:r>
      <w:r>
        <w:rPr>
          <w:i/>
          <w:iCs/>
          <w:vertAlign w:val="subscript"/>
        </w:rPr>
        <w:t xml:space="preserve">E</w:t>
      </w:r>
      <w:r>
        <w:t xml:space="preserve"> equal to the change of </w:t>
      </w:r>
      <w:r>
        <w:rPr>
          <w:i/>
          <w:iCs/>
        </w:rPr>
        <w:t xml:space="preserve">τ</w:t>
      </w:r>
      <w:r>
        <w:rPr>
          <w:vertAlign w:val="subscript"/>
        </w:rPr>
        <w:t xml:space="preserve">s,</w:t>
      </w:r>
      <w:r>
        <w:rPr>
          <w:i/>
          <w:iCs/>
          <w:vertAlign w:val="subscript"/>
        </w:rPr>
        <w:t xml:space="preserve">E</w:t>
      </w:r>
      <w:r>
        <w:t xml:space="preserve"> from its calibration mean. The edge set is fixed when calibration ends and is not updated during monitoring, so that edges lost after calibration remain monitored and edges gained are not.</w:t>
      </w:r>
    </w:p>
    <w:p>
      <w:pPr>
        <w:pStyle w:val="Heading2"/>
      </w:pPr>
      <w:r>
        <w:t xml:space="preserve">Proposition 1</w:t>
      </w:r>
    </w:p>
    <w:p>
      <w:pPr>
        <w:pStyle w:val="BodyText"/>
        <w:keepNext/>
      </w:pPr>
      <w:r>
        <w:t xml:space="preserve">For real changes </w:t>
      </w:r>
      <w:r>
        <w:t xml:space="preserve">Δ</w:t>
      </w:r>
      <w:r>
        <w:rPr>
          <w:i/>
          <w:iCs/>
          <w:vertAlign w:val="subscript"/>
        </w:rPr>
        <w:t xml:space="preserve">e</w:t>
      </w:r>
      <w:r>
        <w:t xml:space="preserve">, </w:t>
      </w:r>
      <w:r>
        <w:rPr>
          <w:i/>
          <w:iCs/>
        </w:rPr>
        <w:t xml:space="preserve">e</w:t>
      </w:r>
      <w:r>
        <w:t xml:space="preserve">∈</w:t>
      </w:r>
      <w:r>
        <w:rPr>
          <w:i/>
          <w:iCs/>
        </w:rPr>
        <w:t xml:space="preserve">E</w:t>
      </w:r>
      <w:r>
        <w:t xml:space="preserve">, with </w:t>
      </w:r>
      <w:r>
        <w:rPr>
          <w:i/>
          <w:iCs/>
        </w:rPr>
        <w:t xml:space="preserve">S</w:t>
      </w:r>
      <w:r>
        <w:rPr>
          <w:vertAlign w:val="subscript"/>
        </w:rPr>
        <w:t xml:space="preserve">+</w:t>
      </w:r>
      <w:r>
        <w:t xml:space="preserve"> and </w:t>
      </w:r>
      <w:r>
        <w:rPr>
          <w:i/>
          <w:iCs/>
        </w:rPr>
        <w:t xml:space="preserve">S</w:t>
      </w:r>
      <w:r>
        <w:rPr>
          <w:vertAlign w:val="subscript"/>
        </w:rPr>
        <w:t xml:space="preserve">−</w:t>
      </w:r>
      <w:r>
        <w:t xml:space="preserve"> defined by</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
                  <m:e>
                    <m:r>
                      <m:t xml:space="preserve">S</m:t>
                    </m:r>
                  </m:e>
                  <m:sub>
                    <m:r>
                      <m:rPr>
                        <m:nor/>
                      </m:rPr>
                      <m:t xml:space="preserve">+</m:t>
                    </m:r>
                  </m:sub>
                </m:sSub>
                <m:r>
                  <m:rPr>
                    <m:sty m:val="p"/>
                  </m:rPr>
                  <m:t xml:space="preserve">=</m:t>
                </m:r>
                <m:nary>
                  <m:naryPr>
                    <m:chr m:val="∑"/>
                    <m:limLoc m:val="undOvr"/>
                    <m:supHide m:val="1"/>
                  </m:naryPr>
                  <m:sub>
                    <m:r>
                      <m:t xml:space="preserve">e</m:t>
                    </m:r>
                    <m:r>
                      <m:rPr>
                        <m:sty m:val="p"/>
                      </m:rPr>
                      <m:t xml:space="preserve">:</m:t>
                    </m:r>
                    <m:r>
                      <m:rPr>
                        <m:nor/>
                      </m:rPr>
                      <m:t xml:space="preserve"> </m:t>
                    </m:r>
                    <m:sSub>
                      <m:e>
                        <m:r>
                          <m:rPr>
                            <m:sty m:val="p"/>
                          </m:rPr>
                          <m:t xml:space="preserve">Δ</m:t>
                        </m:r>
                      </m:e>
                      <m:sub>
                        <m:r>
                          <m:t xml:space="preserve">e</m:t>
                        </m:r>
                      </m:sub>
                    </m:sSub>
                    <m:r>
                      <m:rPr>
                        <m:sty m:val="p"/>
                      </m:rPr>
                      <m:t xml:space="preserve">&gt;</m:t>
                    </m:r>
                    <m:r>
                      <m:rPr>
                        <m:sty m:val="p"/>
                      </m:rPr>
                      <m:t xml:space="preserve">0</m:t>
                    </m:r>
                  </m:sub>
                  <m:sup/>
                  <m:e>
                    <m:sSub>
                      <m:e>
                        <m:r>
                          <m:rPr>
                            <m:sty m:val="p"/>
                          </m:rPr>
                          <m:t xml:space="preserve">Δ</m:t>
                        </m:r>
                      </m:e>
                      <m:sub>
                        <m:r>
                          <m:t xml:space="preserve">e</m:t>
                        </m:r>
                      </m:sub>
                    </m:sSub>
                  </m:e>
                </m:nary>
                <m:r>
                  <m:rPr>
                    <m:sty m:val="p"/>
                  </m:rPr>
                  <m:t xml:space="preserve">,</m:t>
                </m:r>
                <m:r>
                  <m:rPr>
                    <m:nor/>
                  </m:rPr>
                  <m:t xml:space="preserve">  </m:t>
                </m:r>
                <m:sSub>
                  <m:e>
                    <m:r>
                      <m:t xml:space="preserve">S</m:t>
                    </m:r>
                  </m:e>
                  <m:sub>
                    <m:r>
                      <m:rPr>
                        <m:nor/>
                      </m:rPr>
                      <m:t xml:space="preserve">−</m:t>
                    </m:r>
                  </m:sub>
                </m:sSub>
                <m:r>
                  <m:rPr>
                    <m:sty m:val="p"/>
                  </m:rPr>
                  <m:t xml:space="preserve">=</m:t>
                </m:r>
                <m:nary>
                  <m:naryPr>
                    <m:chr m:val="∑"/>
                    <m:limLoc m:val="undOvr"/>
                    <m:supHide m:val="1"/>
                  </m:naryPr>
                  <m:sub>
                    <m:r>
                      <m:t xml:space="preserve">e</m:t>
                    </m:r>
                    <m:r>
                      <m:rPr>
                        <m:sty m:val="p"/>
                      </m:rPr>
                      <m:t xml:space="preserve">:</m:t>
                    </m:r>
                    <m:r>
                      <m:rPr>
                        <m:nor/>
                      </m:rPr>
                      <m:t xml:space="preserve"> </m:t>
                    </m:r>
                    <m:sSub>
                      <m:e>
                        <m:r>
                          <m:rPr>
                            <m:sty m:val="p"/>
                          </m:rPr>
                          <m:t xml:space="preserve">Δ</m:t>
                        </m:r>
                      </m:e>
                      <m:sub>
                        <m:r>
                          <m:t xml:space="preserve">e</m:t>
                        </m:r>
                      </m:sub>
                    </m:sSub>
                    <m:r>
                      <m:rPr>
                        <m:sty m:val="p"/>
                      </m:rPr>
                      <m:t xml:space="preserve">&lt;</m:t>
                    </m:r>
                    <m:r>
                      <m:rPr>
                        <m:sty m:val="p"/>
                      </m:rPr>
                      <m:t xml:space="preserve">0</m:t>
                    </m:r>
                  </m:sub>
                  <m:sup/>
                  <m:e>
                    <m:d>
                      <m:dPr>
                        <m:begChr m:val="|"/>
                        <m:endChr m:val="|"/>
                      </m:dPr>
                      <m:e>
                        <m:sSub>
                          <m:e>
                            <m:r>
                              <m:rPr>
                                <m:sty m:val="p"/>
                              </m:rPr>
                              <m:t xml:space="preserve">Δ</m:t>
                            </m:r>
                          </m:e>
                          <m:sub>
                            <m:r>
                              <m:t xml:space="preserve">e</m:t>
                            </m:r>
                          </m:sub>
                        </m:sSub>
                      </m:e>
                    </m:d>
                  </m:e>
                </m:nary>
                <m:r>
                  <m:rPr>
                    <m:sty m:val="p"/>
                  </m:rPr>
                  <m:t xml:space="preserve">,</m:t>
                </m:r>
                <m:r>
                  <m:rPr>
                    <m:nor/>
                  </m:rPr>
                  <m:t xml:space="preserve">  </m:t>
                </m:r>
                <m:sSub>
                  <m:e>
                    <m:r>
                      <m:t xml:space="preserve">D</m:t>
                    </m:r>
                  </m:e>
                  <m:sub>
                    <m:r>
                      <m:t xml:space="preserve">E</m:t>
                    </m:r>
                  </m:sub>
                </m:sSub>
                <m:r>
                  <m:rPr>
                    <m:sty m:val="p"/>
                  </m:rPr>
                  <m:t xml:space="preserve">=</m:t>
                </m:r>
                <m:f>
                  <m:num>
                    <m:sSub>
                      <m:e>
                        <m:r>
                          <m:t xml:space="preserve">S</m:t>
                        </m:r>
                      </m:e>
                      <m:sub>
                        <m:r>
                          <m:rPr>
                            <m:nor/>
                          </m:rPr>
                          <m:t xml:space="preserve">+</m:t>
                        </m:r>
                      </m:sub>
                    </m:sSub>
                    <m:r>
                      <m:rPr>
                        <m:sty m:val="p"/>
                      </m:rPr>
                      <m:t xml:space="preserve">+</m:t>
                    </m:r>
                    <m:sSub>
                      <m:e>
                        <m:r>
                          <m:t xml:space="preserve">S</m:t>
                        </m:r>
                      </m:e>
                      <m:sub>
                        <m:r>
                          <m:rPr>
                            <m:nor/>
                          </m:rPr>
                          <m:t xml:space="preserve">−</m:t>
                        </m:r>
                      </m:sub>
                    </m:sSub>
                  </m:num>
                  <m:den>
                    <m:d>
                      <m:dPr>
                        <m:begChr m:val="|"/>
                        <m:endChr m:val="|"/>
                      </m:dPr>
                      <m:e>
                        <m:r>
                          <m:t xml:space="preserve">E</m:t>
                        </m:r>
                      </m:e>
                    </m:d>
                  </m:den>
                </m:f>
                <m:r>
                  <m:rPr>
                    <m:sty m:val="p"/>
                  </m:rPr>
                  <m:t xml:space="preserve">,</m:t>
                </m:r>
                <m:r>
                  <m:rPr>
                    <m:nor/>
                  </m:rPr>
                  <m:t xml:space="preserve">  </m:t>
                </m:r>
                <m:sSub>
                  <m:e>
                    <m:bar>
                      <m:barPr>
                        <m:pos m:val="top"/>
                      </m:barPr>
                      <m:e>
                        <m:r>
                          <m:rPr>
                            <m:sty m:val="p"/>
                          </m:rPr>
                          <m:t xml:space="preserve">Δ</m:t>
                        </m:r>
                      </m:e>
                    </m:bar>
                  </m:e>
                  <m:sub>
                    <m:r>
                      <m:t xml:space="preserve">E</m:t>
                    </m:r>
                  </m:sub>
                </m:sSub>
                <m:r>
                  <m:rPr>
                    <m:sty m:val="p"/>
                  </m:rPr>
                  <m:t xml:space="preserve">=</m:t>
                </m:r>
                <m:f>
                  <m:num>
                    <m:sSub>
                      <m:e>
                        <m:r>
                          <m:t xml:space="preserve">S</m:t>
                        </m:r>
                      </m:e>
                      <m:sub>
                        <m:r>
                          <m:rPr>
                            <m:nor/>
                          </m:rPr>
                          <m:t xml:space="preserve">+</m:t>
                        </m:r>
                      </m:sub>
                    </m:sSub>
                    <m:r>
                      <m:rPr>
                        <m:sty m:val="p"/>
                      </m:rPr>
                      <m:t xml:space="preserve">−</m:t>
                    </m:r>
                    <m:sSub>
                      <m:e>
                        <m:r>
                          <m:t xml:space="preserve">S</m:t>
                        </m:r>
                      </m:e>
                      <m:sub>
                        <m:r>
                          <m:rPr>
                            <m:nor/>
                          </m:rPr>
                          <m:t xml:space="preserve">−</m:t>
                        </m:r>
                      </m:sub>
                    </m:sSub>
                  </m:num>
                  <m:den>
                    <m:d>
                      <m:dPr>
                        <m:begChr m:val="|"/>
                        <m:endChr m:val="|"/>
                      </m:dPr>
                      <m:e>
                        <m:r>
                          <m:t xml:space="preserve">E</m:t>
                        </m:r>
                      </m:e>
                    </m:d>
                  </m:den>
                </m:f>
              </m:oMath>
            </m:oMathPara>
          </w:p>
        </w:tc>
        <w:tc>
          <w:tcPr>
            <w:tcW w:type="dxa" w:w="700"/>
            <w:vAlign w:val="center"/>
          </w:tcPr>
          <w:p>
            <w:pPr>
              <w:pStyle w:val="BodyText"/>
              <w:spacing w:before="60" w:after="60"/>
              <w:jc w:val="right"/>
            </w:pPr>
            <w:r>
              <w:t xml:space="preserve">(10)</w:t>
            </w:r>
          </w:p>
        </w:tc>
      </w:tr>
    </w:tbl>
    <w:p>
      <w:pPr>
        <w:pStyle w:val="BodyText"/>
      </w:pPr>
      <w:r>
        <w:t xml:space="preserve">one has </w:t>
      </w:r>
      <w:r>
        <w:rPr>
          <w:i/>
          <w:iCs/>
        </w:rPr>
        <w:t xml:space="preserve">D</w:t>
      </w:r>
      <w:r>
        <w:rPr>
          <w:i/>
          <w:iCs/>
          <w:vertAlign w:val="subscript"/>
        </w:rPr>
        <w:t xml:space="preserve">E</w:t>
      </w:r>
      <w:r>
        <w:t xml:space="preserve">=|Δ̄</w:t>
      </w:r>
      <w:r>
        <w:rPr>
          <w:i/>
          <w:iCs/>
          <w:vertAlign w:val="subscript"/>
        </w:rPr>
        <w:t xml:space="preserve">E</w:t>
      </w:r>
      <w:r>
        <w:t xml:space="preserve">|+</w:t>
      </w:r>
      <w:r>
        <w:rPr>
          <w:i/>
          <w:iCs/>
        </w:rPr>
        <w:t xml:space="preserve">C</w:t>
      </w:r>
      <w:r>
        <w:rPr>
          <w:i/>
          <w:iCs/>
          <w:vertAlign w:val="subscript"/>
        </w:rPr>
        <w:t xml:space="preserve">E</w:t>
      </w:r>
      <w:r>
        <w:t xml:space="preserve"> with </w:t>
      </w:r>
      <w:r>
        <w:rPr>
          <w:i/>
          <w:iCs/>
        </w:rPr>
        <w:t xml:space="preserve">C</w:t>
      </w:r>
      <w:r>
        <w:rPr>
          <w:i/>
          <w:iCs/>
          <w:vertAlign w:val="subscript"/>
        </w:rPr>
        <w:t xml:space="preserve">E</w:t>
      </w:r>
      <w:r>
        <w:t xml:space="preserve">=2min(</w:t>
      </w:r>
      <w:r>
        <w:rPr>
          <w:i/>
          <w:iCs/>
        </w:rPr>
        <w:t xml:space="preserve">S</w:t>
      </w:r>
      <w:r>
        <w:rPr>
          <w:vertAlign w:val="subscript"/>
        </w:rPr>
        <w:t xml:space="preserve">+</w:t>
      </w:r>
      <w:r>
        <w:t xml:space="preserve">,</w:t>
      </w:r>
      <w:r>
        <w:rPr>
          <w:i/>
          <w:iCs/>
        </w:rPr>
        <w:t xml:space="preserve">S</w:t>
      </w:r>
      <w:r>
        <w:rPr>
          <w:vertAlign w:val="subscript"/>
        </w:rPr>
        <w:t xml:space="preserve">−</w:t>
      </w:r>
      <w:r>
        <w:t xml:space="preserve">)/|</w:t>
      </w:r>
      <w:r>
        <w:rPr>
          <w:i/>
          <w:iCs/>
        </w:rPr>
        <w:t xml:space="preserve">E</w:t>
      </w:r>
      <w:r>
        <w:t xml:space="preserve">|≥0</w:t>
      </w:r>
      <w:r>
        <w:t xml:space="preserve">; </w:t>
      </w:r>
      <w:r>
        <w:rPr>
          <w:i/>
          <w:iCs/>
        </w:rPr>
        <w:t xml:space="preserve">C</w:t>
      </w:r>
      <w:r>
        <w:rPr>
          <w:i/>
          <w:iCs/>
          <w:vertAlign w:val="subscript"/>
        </w:rPr>
        <w:t xml:space="preserve">E</w:t>
      </w:r>
      <w:r>
        <w:t xml:space="preserve"> equals </w:t>
      </w:r>
      <w:r>
        <w:t xml:space="preserve">2/|</w:t>
      </w:r>
      <w:r>
        <w:rPr>
          <w:i/>
          <w:iCs/>
        </w:rPr>
        <w:t xml:space="preserve">E</w:t>
      </w:r>
      <w:r>
        <w:t xml:space="preserve">|</w:t>
      </w:r>
      <w:r>
        <w:t xml:space="preserve"> times the total magnitude of the changes whose sign is opposite to that of </w:t>
      </w:r>
      <w:r>
        <w:t xml:space="preserve">Δ̄</w:t>
      </w:r>
      <w:r>
        <w:rPr>
          <w:i/>
          <w:iCs/>
          <w:vertAlign w:val="subscript"/>
        </w:rPr>
        <w:t xml:space="preserve">E</w:t>
      </w:r>
      <w:r>
        <w:t xml:space="preserve">; and, if </w:t>
      </w:r>
      <w:r>
        <w:rPr>
          <w:i/>
          <w:iCs/>
        </w:rPr>
        <w:t xml:space="preserve">D</w:t>
      </w:r>
      <w:r>
        <w:rPr>
          <w:i/>
          <w:iCs/>
          <w:vertAlign w:val="subscript"/>
        </w:rPr>
        <w:t xml:space="preserve">E</w:t>
      </w:r>
      <w:r>
        <w:t xml:space="preserve">&gt;0</w:t>
      </w:r>
      <w:r>
        <w:t xml:space="preserve">, </w:t>
      </w:r>
      <w:r>
        <w:rPr>
          <w:i/>
          <w:iCs/>
        </w:rPr>
        <w:t xml:space="preserve">κ</w:t>
      </w:r>
      <w:r>
        <w:rPr>
          <w:i/>
          <w:iCs/>
          <w:vertAlign w:val="subscript"/>
        </w:rPr>
        <w:t xml:space="preserve">E</w:t>
      </w:r>
      <w:r>
        <w:t xml:space="preserve">∈[0,1]</w:t>
      </w:r>
      <w:r>
        <w:t xml:space="preserve">, with </w:t>
      </w:r>
      <w:r>
        <w:rPr>
          <w:i/>
          <w:iCs/>
        </w:rPr>
        <w:t xml:space="preserve">κ</w:t>
      </w:r>
      <w:r>
        <w:rPr>
          <w:i/>
          <w:iCs/>
          <w:vertAlign w:val="subscript"/>
        </w:rPr>
        <w:t xml:space="preserve">E</w:t>
      </w:r>
      <w:r>
        <w:t xml:space="preserve">=0</w:t>
      </w:r>
      <w:r>
        <w:t xml:space="preserve"> if and only if no two changes have opposite signs and </w:t>
      </w:r>
      <w:r>
        <w:rPr>
          <w:i/>
          <w:iCs/>
        </w:rPr>
        <w:t xml:space="preserve">κ</w:t>
      </w:r>
      <w:r>
        <w:rPr>
          <w:i/>
          <w:iCs/>
          <w:vertAlign w:val="subscript"/>
        </w:rPr>
        <w:t xml:space="preserve">E</w:t>
      </w:r>
      <w:r>
        <w:t xml:space="preserve">=1</w:t>
      </w:r>
      <w:r>
        <w:t xml:space="preserve"> if and only if </w:t>
      </w:r>
      <w:r>
        <w:t xml:space="preserve">Δ̄</w:t>
      </w:r>
      <w:r>
        <w:rPr>
          <w:i/>
          <w:iCs/>
          <w:vertAlign w:val="subscript"/>
        </w:rPr>
        <w:t xml:space="preserve">E</w:t>
      </w:r>
      <w:r>
        <w:t xml:space="preserve">=0</w:t>
      </w:r>
      <w:r>
        <w:t xml:space="preserve">.</w:t>
      </w:r>
    </w:p>
    <w:p>
      <w:pPr>
        <w:pStyle w:val="BodyText"/>
      </w:pPr>
      <w:r>
        <w:rPr>
          <w:i/>
          <w:iCs/>
        </w:rPr>
        <w:t xml:space="preserve">Proof.</w:t>
      </w:r>
      <w:r>
        <w:t xml:space="preserve"> Splitting the sums over </w:t>
      </w:r>
      <w:r>
        <w:rPr>
          <w:i/>
          <w:iCs/>
        </w:rPr>
        <w:t xml:space="preserve">E</w:t>
      </w:r>
      <w:r>
        <w:t xml:space="preserve"> by the sign of </w:t>
      </w:r>
      <w:r>
        <w:t xml:space="preserve">Δ</w:t>
      </w:r>
      <w:r>
        <w:rPr>
          <w:i/>
          <w:iCs/>
          <w:vertAlign w:val="subscript"/>
        </w:rPr>
        <w:t xml:space="preserve">e</w:t>
      </w:r>
      <w:r>
        <w:t xml:space="preserve"> gives equation (10). For real </w:t>
      </w:r>
      <w:r>
        <w:rPr>
          <w:i/>
          <w:iCs/>
        </w:rPr>
        <w:t xml:space="preserve">a</w:t>
      </w:r>
      <w:r>
        <w:t xml:space="preserve">,</w:t>
      </w:r>
      <w:r>
        <w:rPr>
          <w:i/>
          <w:iCs/>
        </w:rPr>
        <w:t xml:space="preserve">b</w:t>
      </w:r>
      <w:r>
        <w:t xml:space="preserve">≥0</w:t>
      </w:r>
      <w:r>
        <w:t xml:space="preserve">, </w:t>
      </w:r>
      <w:r>
        <w:rPr>
          <w:i/>
          <w:iCs/>
        </w:rPr>
        <w:t xml:space="preserve">a</w:t>
      </w:r>
      <w:r>
        <w:t xml:space="preserve">+</w:t>
      </w:r>
      <w:r>
        <w:rPr>
          <w:i/>
          <w:iCs/>
        </w:rPr>
        <w:t xml:space="preserve">b</w:t>
      </w:r>
      <w:r>
        <w:t xml:space="preserve">−|</w:t>
      </w:r>
      <w:r>
        <w:rPr>
          <w:i/>
          <w:iCs/>
        </w:rPr>
        <w:t xml:space="preserve">a</w:t>
      </w:r>
      <w:r>
        <w:t xml:space="preserve">−</w:t>
      </w:r>
      <w:r>
        <w:rPr>
          <w:i/>
          <w:iCs/>
        </w:rPr>
        <w:t xml:space="preserve">b</w:t>
      </w:r>
      <w:r>
        <w:t xml:space="preserve">|=2min(</w:t>
      </w:r>
      <w:r>
        <w:rPr>
          <w:i/>
          <w:iCs/>
        </w:rPr>
        <w:t xml:space="preserve">a</w:t>
      </w:r>
      <w:r>
        <w:t xml:space="preserve">,</w:t>
      </w:r>
      <w:r>
        <w:rPr>
          <w:i/>
          <w:iCs/>
        </w:rPr>
        <w:t xml:space="preserve">b</w:t>
      </w:r>
      <w:r>
        <w:t xml:space="preserve">)</w:t>
      </w:r>
      <w:r>
        <w:t xml:space="preserve">, so </w:t>
      </w:r>
      <w:r>
        <w:rPr>
          <w:i/>
          <w:iCs/>
        </w:rPr>
        <w:t xml:space="preserve">C</w:t>
      </w:r>
      <w:r>
        <w:rPr>
          <w:i/>
          <w:iCs/>
          <w:vertAlign w:val="subscript"/>
        </w:rPr>
        <w:t xml:space="preserve">E</w:t>
      </w:r>
      <w:r>
        <w:t xml:space="preserve">=</w:t>
      </w:r>
      <w:r>
        <w:rPr>
          <w:i/>
          <w:iCs/>
        </w:rPr>
        <w:t xml:space="preserve">D</w:t>
      </w:r>
      <w:r>
        <w:rPr>
          <w:i/>
          <w:iCs/>
          <w:vertAlign w:val="subscript"/>
        </w:rPr>
        <w:t xml:space="preserve">E</w:t>
      </w:r>
      <w:r>
        <w:t xml:space="preserve">−|Δ̄</w:t>
      </w:r>
      <w:r>
        <w:rPr>
          <w:i/>
          <w:iCs/>
          <w:vertAlign w:val="subscript"/>
        </w:rPr>
        <w:t xml:space="preserve">E</w:t>
      </w:r>
      <w:r>
        <w:t xml:space="preserve">|=2min(</w:t>
      </w:r>
      <w:r>
        <w:rPr>
          <w:i/>
          <w:iCs/>
        </w:rPr>
        <w:t xml:space="preserve">S</w:t>
      </w:r>
      <w:r>
        <w:rPr>
          <w:vertAlign w:val="subscript"/>
        </w:rPr>
        <w:t xml:space="preserve">+</w:t>
      </w:r>
      <w:r>
        <w:t xml:space="preserve">,</w:t>
      </w:r>
      <w:r>
        <w:rPr>
          <w:i/>
          <w:iCs/>
        </w:rPr>
        <w:t xml:space="preserve">S</w:t>
      </w:r>
      <w:r>
        <w:rPr>
          <w:vertAlign w:val="subscript"/>
        </w:rPr>
        <w:t xml:space="preserve">−</w:t>
      </w:r>
      <w:r>
        <w:t xml:space="preserve">)/|</w:t>
      </w:r>
      <w:r>
        <w:rPr>
          <w:i/>
          <w:iCs/>
        </w:rPr>
        <w:t xml:space="preserve">E</w:t>
      </w:r>
      <w:r>
        <w:t xml:space="preserve">|≥0</w:t>
      </w:r>
      <w:r>
        <w:t xml:space="preserve">. If </w:t>
      </w:r>
      <w:r>
        <w:t xml:space="preserve">Δ̄</w:t>
      </w:r>
      <w:r>
        <w:rPr>
          <w:i/>
          <w:iCs/>
          <w:vertAlign w:val="subscript"/>
        </w:rPr>
        <w:t xml:space="preserve">E</w:t>
      </w:r>
      <w:r>
        <w:t xml:space="preserve">&gt;0</w:t>
      </w:r>
      <w:r>
        <w:t xml:space="preserve">, then </w:t>
      </w:r>
      <w:r>
        <w:rPr>
          <w:i/>
          <w:iCs/>
        </w:rPr>
        <w:t xml:space="preserve">S</w:t>
      </w:r>
      <w:r>
        <w:rPr>
          <w:vertAlign w:val="subscript"/>
        </w:rPr>
        <w:t xml:space="preserve">+</w:t>
      </w:r>
      <w:r>
        <w:t xml:space="preserve">&gt;</w:t>
      </w:r>
      <w:r>
        <w:rPr>
          <w:i/>
          <w:iCs/>
        </w:rPr>
        <w:t xml:space="preserve">S</w:t>
      </w:r>
      <w:r>
        <w:rPr>
          <w:vertAlign w:val="subscript"/>
        </w:rPr>
        <w:t xml:space="preserve">−</w:t>
      </w:r>
      <w:r>
        <w:t xml:space="preserve"> and </w:t>
      </w:r>
      <w:r>
        <w:t xml:space="preserve">min(</w:t>
      </w:r>
      <w:r>
        <w:rPr>
          <w:i/>
          <w:iCs/>
        </w:rPr>
        <w:t xml:space="preserve">S</w:t>
      </w:r>
      <w:r>
        <w:rPr>
          <w:vertAlign w:val="subscript"/>
        </w:rPr>
        <w:t xml:space="preserve">+</w:t>
      </w:r>
      <w:r>
        <w:t xml:space="preserve">,</w:t>
      </w:r>
      <w:r>
        <w:rPr>
          <w:i/>
          <w:iCs/>
        </w:rPr>
        <w:t xml:space="preserve">S</w:t>
      </w:r>
      <w:r>
        <w:rPr>
          <w:vertAlign w:val="subscript"/>
        </w:rPr>
        <w:t xml:space="preserve">−</w:t>
      </w:r>
      <w:r>
        <w:t xml:space="preserve">)=</w:t>
      </w:r>
      <w:r>
        <w:rPr>
          <w:i/>
          <w:iCs/>
        </w:rPr>
        <w:t xml:space="preserve">S</w:t>
      </w:r>
      <w:r>
        <w:rPr>
          <w:vertAlign w:val="subscript"/>
        </w:rPr>
        <w:t xml:space="preserve">−</w:t>
      </w:r>
      <w:r>
        <w:t xml:space="preserve">, the total magnitude of the changes of sign opposite to </w:t>
      </w:r>
      <w:r>
        <w:t xml:space="preserve">Δ̄</w:t>
      </w:r>
      <w:r>
        <w:rPr>
          <w:i/>
          <w:iCs/>
          <w:vertAlign w:val="subscript"/>
        </w:rPr>
        <w:t xml:space="preserve">E</w:t>
      </w:r>
      <w:r>
        <w:t xml:space="preserve">; the case </w:t>
      </w:r>
      <w:r>
        <w:t xml:space="preserve">Δ̄</w:t>
      </w:r>
      <w:r>
        <w:rPr>
          <w:i/>
          <w:iCs/>
          <w:vertAlign w:val="subscript"/>
        </w:rPr>
        <w:t xml:space="preserve">E</w:t>
      </w:r>
      <w:r>
        <w:t xml:space="preserve">&lt;0</w:t>
      </w:r>
      <w:r>
        <w:t xml:space="preserve"> is symmetric, and if </w:t>
      </w:r>
      <w:r>
        <w:t xml:space="preserve">Δ̄</w:t>
      </w:r>
      <w:r>
        <w:rPr>
          <w:i/>
          <w:iCs/>
          <w:vertAlign w:val="subscript"/>
        </w:rPr>
        <w:t xml:space="preserve">E</w:t>
      </w:r>
      <w:r>
        <w:t xml:space="preserve">=0</w:t>
      </w:r>
      <w:r>
        <w:t xml:space="preserve">, then </w:t>
      </w:r>
      <w:r>
        <w:rPr>
          <w:i/>
          <w:iCs/>
        </w:rPr>
        <w:t xml:space="preserve">S</w:t>
      </w:r>
      <w:r>
        <w:rPr>
          <w:vertAlign w:val="subscript"/>
        </w:rPr>
        <w:t xml:space="preserve">+</w:t>
      </w:r>
      <w:r>
        <w:t xml:space="preserve">=</w:t>
      </w:r>
      <w:r>
        <w:rPr>
          <w:i/>
          <w:iCs/>
        </w:rPr>
        <w:t xml:space="preserve">S</w:t>
      </w:r>
      <w:r>
        <w:rPr>
          <w:vertAlign w:val="subscript"/>
        </w:rPr>
        <w:t xml:space="preserve">−</w:t>
      </w:r>
      <w:r>
        <w:t xml:space="preserve"> and </w:t>
      </w:r>
      <w:r>
        <w:rPr>
          <w:i/>
          <w:iCs/>
        </w:rPr>
        <w:t xml:space="preserve">C</w:t>
      </w:r>
      <w:r>
        <w:rPr>
          <w:i/>
          <w:iCs/>
          <w:vertAlign w:val="subscript"/>
        </w:rPr>
        <w:t xml:space="preserve">E</w:t>
      </w:r>
      <w:r>
        <w:t xml:space="preserve">=</w:t>
      </w:r>
      <w:r>
        <w:rPr>
          <w:i/>
          <w:iCs/>
        </w:rPr>
        <w:t xml:space="preserve">D</w:t>
      </w:r>
      <w:r>
        <w:rPr>
          <w:i/>
          <w:iCs/>
          <w:vertAlign w:val="subscript"/>
        </w:rPr>
        <w:t xml:space="preserve">E</w:t>
      </w:r>
      <w:r>
        <w:t xml:space="preserve">. Dividing by </w:t>
      </w:r>
      <w:r>
        <w:rPr>
          <w:i/>
          <w:iCs/>
        </w:rPr>
        <w:t xml:space="preserve">D</w:t>
      </w:r>
      <w:r>
        <w:rPr>
          <w:i/>
          <w:iCs/>
          <w:vertAlign w:val="subscript"/>
        </w:rPr>
        <w:t xml:space="preserve">E</w:t>
      </w:r>
      <w:r>
        <w:t xml:space="preserve">=(</w:t>
      </w:r>
      <w:r>
        <w:rPr>
          <w:i/>
          <w:iCs/>
        </w:rPr>
        <w:t xml:space="preserve">S</w:t>
      </w:r>
      <w:r>
        <w:rPr>
          <w:vertAlign w:val="subscript"/>
        </w:rPr>
        <w:t xml:space="preserve">+</w:t>
      </w:r>
      <w:r>
        <w:t xml:space="preserve">+</w:t>
      </w:r>
      <w:r>
        <w:rPr>
          <w:i/>
          <w:iCs/>
        </w:rPr>
        <w:t xml:space="preserve">S</w:t>
      </w:r>
      <w:r>
        <w:rPr>
          <w:vertAlign w:val="subscript"/>
        </w:rPr>
        <w:t xml:space="preserve">−</w:t>
      </w:r>
      <w:r>
        <w:t xml:space="preserve">)/|</w:t>
      </w:r>
      <w:r>
        <w:rPr>
          <w:i/>
          <w:iCs/>
        </w:rPr>
        <w:t xml:space="preserve">E</w:t>
      </w:r>
      <w:r>
        <w:t xml:space="preserve">|&gt;0</w:t>
      </w:r>
      <w:r>
        <w:t xml:space="preserve"> gives </w:t>
      </w:r>
      <w:r>
        <w:rPr>
          <w:i/>
          <w:iCs/>
        </w:rPr>
        <w:t xml:space="preserve">κ</w:t>
      </w:r>
      <w:r>
        <w:rPr>
          <w:i/>
          <w:iCs/>
          <w:vertAlign w:val="subscript"/>
        </w:rPr>
        <w:t xml:space="preserve">E</w:t>
      </w:r>
      <w:r>
        <w:t xml:space="preserve">=2min(</w:t>
      </w:r>
      <w:r>
        <w:rPr>
          <w:i/>
          <w:iCs/>
        </w:rPr>
        <w:t xml:space="preserve">S</w:t>
      </w:r>
      <w:r>
        <w:rPr>
          <w:vertAlign w:val="subscript"/>
        </w:rPr>
        <w:t xml:space="preserve">+</w:t>
      </w:r>
      <w:r>
        <w:t xml:space="preserve">,</w:t>
      </w:r>
      <w:r>
        <w:rPr>
          <w:i/>
          <w:iCs/>
        </w:rPr>
        <w:t xml:space="preserve">S</w:t>
      </w:r>
      <w:r>
        <w:rPr>
          <w:vertAlign w:val="subscript"/>
        </w:rPr>
        <w:t xml:space="preserve">−</w:t>
      </w:r>
      <w:r>
        <w:t xml:space="preserve">)/(</w:t>
      </w:r>
      <w:r>
        <w:rPr>
          <w:i/>
          <w:iCs/>
        </w:rPr>
        <w:t xml:space="preserve">S</w:t>
      </w:r>
      <w:r>
        <w:rPr>
          <w:vertAlign w:val="subscript"/>
        </w:rPr>
        <w:t xml:space="preserve">+</w:t>
      </w:r>
      <w:r>
        <w:t xml:space="preserve">+</w:t>
      </w:r>
      <w:r>
        <w:rPr>
          <w:i/>
          <w:iCs/>
        </w:rPr>
        <w:t xml:space="preserve">S</w:t>
      </w:r>
      <w:r>
        <w:rPr>
          <w:vertAlign w:val="subscript"/>
        </w:rPr>
        <w:t xml:space="preserve">−</w:t>
      </w:r>
      <w:r>
        <w:t xml:space="preserve">)</w:t>
      </w:r>
      <w:r>
        <w:t xml:space="preserve">, which lies in </w:t>
      </w:r>
      <w:r>
        <w:t xml:space="preserve">[0,1]</w:t>
      </w:r>
      <w:r>
        <w:t xml:space="preserve"> because </w:t>
      </w:r>
      <w:r>
        <w:t xml:space="preserve">min(</w:t>
      </w:r>
      <w:r>
        <w:rPr>
          <w:i/>
          <w:iCs/>
        </w:rPr>
        <w:t xml:space="preserve">a</w:t>
      </w:r>
      <w:r>
        <w:t xml:space="preserve">,</w:t>
      </w:r>
      <w:r>
        <w:rPr>
          <w:i/>
          <w:iCs/>
        </w:rPr>
        <w:t xml:space="preserve">b</w:t>
      </w:r>
      <w:r>
        <w:t xml:space="preserve">)≤(</w:t>
      </w:r>
      <w:r>
        <w:rPr>
          <w:i/>
          <w:iCs/>
        </w:rPr>
        <w:t xml:space="preserve">a</w:t>
      </w:r>
      <w:r>
        <w:t xml:space="preserve">+</w:t>
      </w:r>
      <w:r>
        <w:rPr>
          <w:i/>
          <w:iCs/>
        </w:rPr>
        <w:t xml:space="preserve">b</w:t>
      </w:r>
      <w:r>
        <w:t xml:space="preserve">)/2</w:t>
      </w:r>
      <w:r>
        <w:t xml:space="preserve">, vanishes exactly when </w:t>
      </w:r>
      <w:r>
        <w:rPr>
          <w:i/>
          <w:iCs/>
        </w:rPr>
        <w:t xml:space="preserve">S</w:t>
      </w:r>
      <w:r>
        <w:rPr>
          <w:vertAlign w:val="subscript"/>
        </w:rPr>
        <w:t xml:space="preserve">+</w:t>
      </w:r>
      <w:r>
        <w:t xml:space="preserve">=0</w:t>
      </w:r>
      <w:r>
        <w:t xml:space="preserve"> or </w:t>
      </w:r>
      <w:r>
        <w:rPr>
          <w:i/>
          <w:iCs/>
        </w:rPr>
        <w:t xml:space="preserve">S</w:t>
      </w:r>
      <w:r>
        <w:rPr>
          <w:vertAlign w:val="subscript"/>
        </w:rPr>
        <w:t xml:space="preserve">−</w:t>
      </w:r>
      <w:r>
        <w:t xml:space="preserve">=0</w:t>
      </w:r>
      <w:r>
        <w:t xml:space="preserve">, and equals one exactly when </w:t>
      </w:r>
      <w:r>
        <w:rPr>
          <w:i/>
          <w:iCs/>
        </w:rPr>
        <w:t xml:space="preserve">S</w:t>
      </w:r>
      <w:r>
        <w:rPr>
          <w:vertAlign w:val="subscript"/>
        </w:rPr>
        <w:t xml:space="preserve">+</w:t>
      </w:r>
      <w:r>
        <w:t xml:space="preserve">=</w:t>
      </w:r>
      <w:r>
        <w:rPr>
          <w:i/>
          <w:iCs/>
        </w:rPr>
        <w:t xml:space="preserve">S</w:t>
      </w:r>
      <w:r>
        <w:rPr>
          <w:vertAlign w:val="subscript"/>
        </w:rPr>
        <w:t xml:space="preserve">−</w:t>
      </w:r>
      <w:r>
        <w:t xml:space="preserve">, that is, when </w:t>
      </w:r>
      <w:r>
        <w:t xml:space="preserve">Δ̄</w:t>
      </w:r>
      <w:r>
        <w:rPr>
          <w:i/>
          <w:iCs/>
          <w:vertAlign w:val="subscript"/>
        </w:rPr>
        <w:t xml:space="preserve">E</w:t>
      </w:r>
      <w:r>
        <w:t xml:space="preserve">=0</w:t>
      </w:r>
      <w:r>
        <w:t xml:space="preserve">. ∎ The bounds stated in the main text follow from </w:t>
      </w:r>
      <w:r>
        <w:t xml:space="preserve">|Δ</w:t>
      </w:r>
      <w:r>
        <w:rPr>
          <w:i/>
          <w:iCs/>
          <w:vertAlign w:val="subscript"/>
        </w:rPr>
        <w:t xml:space="preserve">e</w:t>
      </w:r>
      <w:r>
        <w:t xml:space="preserve">|≤|</w:t>
      </w:r>
      <w:r>
        <w:rPr>
          <w:i/>
          <w:iCs/>
        </w:rPr>
        <w:t xml:space="preserve">τ</w:t>
      </w:r>
      <w:r>
        <w:rPr>
          <w:i/>
          <w:iCs/>
          <w:vertAlign w:val="subscript"/>
        </w:rPr>
        <w:t xml:space="preserve">b</w:t>
      </w:r>
      <w:r>
        <w:rPr>
          <w:vertAlign w:val="superscript"/>
        </w:rPr>
        <w:t xml:space="preserve">(</w:t>
      </w:r>
      <w:r>
        <w:rPr>
          <w:i/>
          <w:iCs/>
          <w:vertAlign w:val="superscript"/>
        </w:rPr>
        <w:t xml:space="preserve">e</w:t>
      </w:r>
      <w:r>
        <w:rPr>
          <w:vertAlign w:val="superscript"/>
        </w:rPr>
        <w:t xml:space="preserve">)</w:t>
      </w:r>
      <w:r>
        <w:t xml:space="preserve">|+|</w:t>
      </w:r>
      <w:r>
        <w:rPr>
          <w:i/>
          <w:iCs/>
        </w:rPr>
        <w:t xml:space="preserve">B</w:t>
      </w:r>
      <w:r>
        <w:rPr>
          <w:i/>
          <w:iCs/>
          <w:vertAlign w:val="subscript"/>
        </w:rPr>
        <w:t xml:space="preserve">e</w:t>
      </w:r>
      <w:r>
        <w:t xml:space="preserve">|≤1+|</w:t>
      </w:r>
      <w:r>
        <w:rPr>
          <w:i/>
          <w:iCs/>
        </w:rPr>
        <w:t xml:space="preserve">B</w:t>
      </w:r>
      <w:r>
        <w:rPr>
          <w:i/>
          <w:iCs/>
          <w:vertAlign w:val="subscript"/>
        </w:rPr>
        <w:t xml:space="preserve">e</w:t>
      </w:r>
      <w:r>
        <w:t xml:space="preserve">|</w:t>
      </w:r>
      <w:r>
        <w:t xml:space="preserve">. A unit test checks the identity, the minority-mass form and the bounds on 20,000 random vectors, including exactly balanced, one-signed and tie-heavy cases, and the simulation checks them in every monitored window (largest absolute discrepancy </w:t>
      </w:r>
      <w:r>
        <w:t xml:space="preserve">6×10</w:t>
      </w:r>
      <w:r>
        <w:rPr>
          <w:vertAlign w:val="superscript"/>
        </w:rPr>
        <w:t xml:space="preserve">−17</w:t>
      </w:r>
      <w:r>
        <w:t xml:space="preserve">).</w:t>
      </w:r>
    </w:p>
    <w:p>
      <w:pPr>
        <w:pStyle w:val="Heading2"/>
      </w:pPr>
      <w:r>
        <w:t xml:space="preserve">All pairs versus the edge set</w:t>
      </w:r>
    </w:p>
    <w:p>
      <w:pPr>
        <w:pStyle w:val="BodyText"/>
      </w:pPr>
      <w:r>
        <w:t xml:space="preserve">Because </w:t>
      </w:r>
      <w:r>
        <w:rPr>
          <w:i/>
          <w:iCs/>
        </w:rPr>
        <w:t xml:space="preserve">B</w:t>
      </w:r>
      <w:r>
        <w:rPr>
          <w:i/>
          <w:iCs/>
          <w:vertAlign w:val="subscript"/>
        </w:rPr>
        <w:t xml:space="preserve">p</w:t>
      </w:r>
      <w:r>
        <w:t xml:space="preserve"> is a calibration mean for every </w:t>
      </w:r>
      <w:r>
        <w:rPr>
          <w:i/>
          <w:iCs/>
        </w:rPr>
        <w:t xml:space="preserve">p</w:t>
      </w:r>
      <w:r>
        <w:t xml:space="preserve">∈</w:t>
      </w:r>
      <w:r>
        <w:rPr>
          <w:i/>
          <w:iCs/>
        </w:rPr>
        <w:t xml:space="preserve">P</w:t>
      </w:r>
      <w:r>
        <w:t xml:space="preserve">, the change of the all-pairs Systemic Tau from its calibration mean is </w:t>
      </w:r>
      <w:r>
        <w:t xml:space="preserve">Δ̄</w:t>
      </w:r>
      <w:r>
        <w:rPr>
          <w:i/>
          <w:iCs/>
          <w:vertAlign w:val="subscript"/>
        </w:rPr>
        <w:t xml:space="preserve">P</w:t>
      </w:r>
      <w:r>
        <w:t xml:space="preserve">=|</w:t>
      </w:r>
      <w:r>
        <w:rPr>
          <w:i/>
          <w:iCs/>
        </w:rPr>
        <w:t xml:space="preserve">P</w:t>
      </w:r>
      <w:r>
        <w:t xml:space="preserve">|</w:t>
      </w:r>
      <w:r>
        <w:rPr>
          <w:vertAlign w:val="superscript"/>
        </w:rPr>
        <w:t xml:space="preserve">−1</w:t>
      </w:r>
      <w:r>
        <w:t xml:space="preserve">Σ</w:t>
      </w:r>
      <w:r>
        <w:rPr>
          <w:i/>
          <w:iCs/>
          <w:vertAlign w:val="subscript"/>
        </w:rPr>
        <w:t xml:space="preserve">p</w:t>
      </w:r>
      <w:r>
        <w:rPr>
          <w:vertAlign w:val="subscript"/>
        </w:rPr>
        <w:t xml:space="preserve">∈</w:t>
      </w:r>
      <w:r>
        <w:rPr>
          <w:i/>
          <w:iCs/>
          <w:vertAlign w:val="subscript"/>
        </w:rPr>
        <w:t xml:space="preserve">P</w:t>
      </w:r>
      <w:r>
        <w:t xml:space="preserve">Δ</w:t>
      </w:r>
      <w:r>
        <w:rPr>
          <w:i/>
          <w:iCs/>
          <w:vertAlign w:val="subscript"/>
        </w:rPr>
        <w:t xml:space="preserve">p</w:t>
      </w:r>
      <w:r>
        <w:t xml:space="preserve">. Splitting the sum over </w:t>
      </w:r>
      <w:r>
        <w:rPr>
          <w:i/>
          <w:iCs/>
        </w:rPr>
        <w:t xml:space="preserve">E</w:t>
      </w:r>
      <w:r>
        <w:t xml:space="preserve"> and </w:t>
      </w:r>
      <w:r>
        <w:rPr>
          <w:i/>
          <w:iCs/>
        </w:rPr>
        <w:t xml:space="preserve">P</w:t>
      </w:r>
      <w:r>
        <w:t xml:space="preserve">∖</w:t>
      </w:r>
      <w:r>
        <w:rPr>
          <w:i/>
          <w:iCs/>
        </w:rPr>
        <w:t xml:space="preserve">E</w:t>
      </w:r>
      <w:r>
        <w:t xml:space="preserve"> gives the first part of equation (5), and hence </w:t>
      </w:r>
      <w:r>
        <w:t xml:space="preserve">Δ̄</w:t>
      </w:r>
      <w:r>
        <w:rPr>
          <w:i/>
          <w:iCs/>
          <w:vertAlign w:val="subscript"/>
        </w:rPr>
        <w:t xml:space="preserve">P</w:t>
      </w:r>
      <w:r>
        <w:t xml:space="preserve">−Δ̄</w:t>
      </w:r>
      <w:r>
        <w:rPr>
          <w:i/>
          <w:iCs/>
          <w:vertAlign w:val="subscript"/>
        </w:rPr>
        <w:t xml:space="preserve">E</w:t>
      </w:r>
      <w:r>
        <w:t xml:space="preserve">=(1−</w:t>
      </w:r>
      <w:r>
        <w:rPr>
          <w:i/>
          <w:iCs/>
        </w:rPr>
        <w:t xml:space="preserve">ρ</w:t>
      </w:r>
      <w:r>
        <w:t xml:space="preserve">)(Δ̄</w:t>
      </w:r>
      <w:r>
        <w:rPr>
          <w:i/>
          <w:iCs/>
          <w:vertAlign w:val="subscript"/>
        </w:rPr>
        <w:t xml:space="preserve">P</w:t>
      </w:r>
      <w:r>
        <w:rPr>
          <w:vertAlign w:val="subscript"/>
        </w:rPr>
        <w:t xml:space="preserve">∖</w:t>
      </w:r>
      <w:r>
        <w:rPr>
          <w:i/>
          <w:iCs/>
          <w:vertAlign w:val="subscript"/>
        </w:rPr>
        <w:t xml:space="preserve">E</w:t>
      </w:r>
      <w:r>
        <w:t xml:space="preserve">−Δ̄</w:t>
      </w:r>
      <w:r>
        <w:rPr>
          <w:i/>
          <w:iCs/>
          <w:vertAlign w:val="subscript"/>
        </w:rPr>
        <w:t xml:space="preserve">E</w:t>
      </w:r>
      <w:r>
        <w:t xml:space="preserve">)</w:t>
      </w:r>
      <w:r>
        <w:t xml:space="preserve">. With </w:t>
      </w:r>
      <w:r>
        <w:rPr>
          <w:i/>
          <w:iCs/>
        </w:rPr>
        <w:t xml:space="preserve">R</w:t>
      </w:r>
      <w:r>
        <w:t xml:space="preserve">=</w:t>
      </w:r>
      <w:r>
        <w:rPr>
          <w:i/>
          <w:iCs/>
        </w:rPr>
        <w:t xml:space="preserve">D</w:t>
      </w:r>
      <w:r>
        <w:rPr>
          <w:i/>
          <w:iCs/>
          <w:vertAlign w:val="subscript"/>
        </w:rPr>
        <w:t xml:space="preserve">E</w:t>
      </w:r>
      <w:r>
        <w:t xml:space="preserve">−|Δ̄</w:t>
      </w:r>
      <w:r>
        <w:rPr>
          <w:i/>
          <w:iCs/>
          <w:vertAlign w:val="subscript"/>
        </w:rPr>
        <w:t xml:space="preserve">P</w:t>
      </w:r>
      <w:r>
        <w:t xml:space="preserve">|−</w:t>
      </w:r>
      <w:r>
        <w:rPr>
          <w:i/>
          <w:iCs/>
        </w:rPr>
        <w:t xml:space="preserve">C</w:t>
      </w:r>
      <w:r>
        <w:rPr>
          <w:i/>
          <w:iCs/>
          <w:vertAlign w:val="subscript"/>
        </w:rPr>
        <w:t xml:space="preserve">E</w:t>
      </w:r>
      <w:r>
        <w:t xml:space="preserve">=|Δ̄</w:t>
      </w:r>
      <w:r>
        <w:rPr>
          <w:i/>
          <w:iCs/>
          <w:vertAlign w:val="subscript"/>
        </w:rPr>
        <w:t xml:space="preserve">E</w:t>
      </w:r>
      <w:r>
        <w:t xml:space="preserve">|−|Δ̄</w:t>
      </w:r>
      <w:r>
        <w:rPr>
          <w:i/>
          <w:iCs/>
          <w:vertAlign w:val="subscript"/>
        </w:rPr>
        <w:t xml:space="preserve">P</w:t>
      </w:r>
      <w:r>
        <w:t xml:space="preserve">|</w:t>
      </w:r>
      <w:r>
        <w:t xml:space="preserve"> by Proposition 1, the reverse triangle inequality gives </w:t>
      </w:r>
      <w:r>
        <w:t xml:space="preserve">|</w:t>
      </w:r>
      <w:r>
        <w:rPr>
          <w:i/>
          <w:iCs/>
        </w:rPr>
        <w:t xml:space="preserve">R</w:t>
      </w:r>
      <w:r>
        <w:t xml:space="preserve">|≤|Δ̄</w:t>
      </w:r>
      <w:r>
        <w:rPr>
          <w:i/>
          <w:iCs/>
          <w:vertAlign w:val="subscript"/>
        </w:rPr>
        <w:t xml:space="preserve">E</w:t>
      </w:r>
      <w:r>
        <w:t xml:space="preserve">−Δ̄</w:t>
      </w:r>
      <w:r>
        <w:rPr>
          <w:i/>
          <w:iCs/>
          <w:vertAlign w:val="subscript"/>
        </w:rPr>
        <w:t xml:space="preserve">P</w:t>
      </w:r>
      <w:r>
        <w:t xml:space="preserve">|</w:t>
      </w:r>
      <w:r>
        <w:t xml:space="preserve">, which is the bound. It held in every simulated window.</w:t>
      </w:r>
    </w:p>
    <w:p>
      <w:pPr>
        <w:pStyle w:val="Heading2"/>
      </w:pPr>
      <w:r>
        <w:t xml:space="preserve">Invariances and power means</w:t>
      </w:r>
    </w:p>
    <w:p>
      <w:pPr>
        <w:pStyle w:val="BodyText"/>
        <w:keepNext/>
      </w:pPr>
      <w:r>
        <w:rPr>
          <w:i/>
          <w:iCs/>
        </w:rPr>
        <w:t xml:space="preserve">τ</w:t>
      </w:r>
      <w:r>
        <w:rPr>
          <w:i/>
          <w:iCs/>
          <w:vertAlign w:val="subscript"/>
        </w:rPr>
        <w:t xml:space="preserve">b</w:t>
      </w:r>
      <w:r>
        <w:t xml:space="preserve"> depends on the streams only through the signs </w:t>
      </w:r>
      <w:r>
        <w:rPr>
          <w:i/>
          <w:iCs/>
        </w:rPr>
        <w:t xml:space="preserve">ξ</w:t>
      </w:r>
      <w:r>
        <w:rPr>
          <w:i/>
          <w:iCs/>
          <w:vertAlign w:val="subscript"/>
        </w:rPr>
        <w:t xml:space="preserve">i</w:t>
      </w:r>
      <w:r>
        <w:t xml:space="preserve">(</w:t>
      </w:r>
      <w:r>
        <w:rPr>
          <w:i/>
          <w:iCs/>
        </w:rPr>
        <w:t xml:space="preserve">k</w:t>
      </w:r>
      <w:r>
        <w:t xml:space="preserve">,</w:t>
      </w:r>
      <w:r>
        <w:rPr>
          <w:i/>
          <w:iCs/>
        </w:rPr>
        <w:t xml:space="preserve">l</w:t>
      </w:r>
      <w:r>
        <w:t xml:space="preserve">)</w:t>
      </w:r>
      <w:r>
        <w:t xml:space="preserve">, which strictly increasing transformations of </w:t>
      </w:r>
      <w:r>
        <w:rPr>
          <w:i/>
          <w:iCs/>
        </w:rPr>
        <w:t xml:space="preserve">z</w:t>
      </w:r>
      <w:r>
        <w:rPr>
          <w:i/>
          <w:iCs/>
          <w:vertAlign w:val="subscript"/>
        </w:rPr>
        <w:t xml:space="preserve">i</w:t>
      </w:r>
      <w:r>
        <w:t xml:space="preserve"> leave unchanged and strictly decreasing ones negate. A decreasing transformation of module </w:t>
      </w:r>
      <w:r>
        <w:rPr>
          <w:i/>
          <w:iCs/>
        </w:rPr>
        <w:t xml:space="preserve">i</w:t>
      </w:r>
      <w:r>
        <w:t xml:space="preserve"> therefore negates </w:t>
      </w:r>
      <w:r>
        <w:rPr>
          <w:i/>
          <w:iCs/>
        </w:rPr>
        <w:t xml:space="preserve">τ</w:t>
      </w:r>
      <w:r>
        <w:rPr>
          <w:i/>
          <w:iCs/>
          <w:vertAlign w:val="subscript"/>
        </w:rPr>
        <w:t xml:space="preserve">b</w:t>
      </w:r>
      <w:r>
        <w:rPr>
          <w:vertAlign w:val="superscript"/>
        </w:rPr>
        <w:t xml:space="preserve">(</w:t>
      </w:r>
      <w:r>
        <w:rPr>
          <w:i/>
          <w:iCs/>
          <w:vertAlign w:val="superscript"/>
        </w:rPr>
        <w:t xml:space="preserve">ij</w:t>
      </w:r>
      <w:r>
        <w:rPr>
          <w:vertAlign w:val="superscript"/>
        </w:rPr>
        <w:t xml:space="preserve">)</w:t>
      </w:r>
      <w:r>
        <w:t xml:space="preserve"> in every window, hence </w:t>
      </w:r>
      <w:r>
        <w:rPr>
          <w:i/>
          <w:iCs/>
        </w:rPr>
        <w:t xml:space="preserve">B</w:t>
      </w:r>
      <w:r>
        <w:rPr>
          <w:i/>
          <w:iCs/>
          <w:vertAlign w:val="subscript"/>
        </w:rPr>
        <w:t xml:space="preserve">ij</w:t>
      </w:r>
      <w:r>
        <w:t xml:space="preserve"> and </w:t>
      </w:r>
      <w:r>
        <w:t xml:space="preserve">Δ</w:t>
      </w:r>
      <w:r>
        <w:rPr>
          <w:i/>
          <w:iCs/>
          <w:vertAlign w:val="subscript"/>
        </w:rPr>
        <w:t xml:space="preserve">ij</w:t>
      </w:r>
      <w:r>
        <w:t xml:space="preserve">, for every </w:t>
      </w:r>
      <w:r>
        <w:rPr>
          <w:i/>
          <w:iCs/>
        </w:rPr>
        <w:t xml:space="preserve">j</w:t>
      </w:r>
      <w:r>
        <w:t xml:space="preserve">; </w:t>
      </w:r>
      <w:r>
        <w:t xml:space="preserve">|Δ</w:t>
      </w:r>
      <w:r>
        <w:rPr>
          <w:i/>
          <w:iCs/>
          <w:vertAlign w:val="subscript"/>
        </w:rPr>
        <w:t xml:space="preserve">ij</w:t>
      </w:r>
      <w:r>
        <w:t xml:space="preserve">|</w:t>
      </w:r>
      <w:r>
        <w:t xml:space="preserve"> is unchanged, so </w:t>
      </w:r>
      <w:r>
        <w:rPr>
          <w:i/>
          <w:iCs/>
        </w:rPr>
        <w:t xml:space="preserve">D</w:t>
      </w:r>
      <w:r>
        <w:rPr>
          <w:i/>
          <w:iCs/>
          <w:vertAlign w:val="subscript"/>
        </w:rPr>
        <w:t xml:space="preserve">E</w:t>
      </w:r>
      <w:r>
        <w:t xml:space="preserve"> is invariant, whereas </w:t>
      </w:r>
      <w:r>
        <w:t xml:space="preserve">Δ̄</w:t>
      </w:r>
      <w:r>
        <w:rPr>
          <w:i/>
          <w:iCs/>
          <w:vertAlign w:val="subscript"/>
        </w:rPr>
        <w:t xml:space="preserve">E</w:t>
      </w:r>
      <w:r>
        <w:t xml:space="preserve">, and with it </w:t>
      </w:r>
      <w:r>
        <w:rPr>
          <w:i/>
          <w:iCs/>
        </w:rPr>
        <w:t xml:space="preserve">C</w:t>
      </w:r>
      <w:r>
        <w:rPr>
          <w:i/>
          <w:iCs/>
          <w:vertAlign w:val="subscript"/>
        </w:rPr>
        <w:t xml:space="preserve">E</w:t>
      </w:r>
      <w:r>
        <w:t xml:space="preserve"> and </w:t>
      </w:r>
      <w:r>
        <w:rPr>
          <w:i/>
          <w:iCs/>
        </w:rPr>
        <w:t xml:space="preserve">κ</w:t>
      </w:r>
      <w:r>
        <w:rPr>
          <w:i/>
          <w:iCs/>
          <w:vertAlign w:val="subscript"/>
        </w:rPr>
        <w:t xml:space="preserve">E</w:t>
      </w:r>
      <w:r>
        <w:t xml:space="preserve">, changes unless no edge of </w:t>
      </w:r>
      <w:r>
        <w:rPr>
          <w:i/>
          <w:iCs/>
        </w:rPr>
        <w:t xml:space="preserve">E</w:t>
      </w:r>
      <w:r>
        <w:t xml:space="preserve"> is incident to </w:t>
      </w:r>
      <w:r>
        <w:rPr>
          <w:i/>
          <w:iCs/>
        </w:rPr>
        <w:t xml:space="preserve">i</w:t>
      </w:r>
      <w:r>
        <w:t xml:space="preserve"> or the changes of those edges sum to zero. The mean absolute change is the case </w:t>
      </w:r>
      <w:r>
        <w:rPr>
          <w:i/>
          <w:iCs/>
        </w:rPr>
        <w:t xml:space="preserve">q</w:t>
      </w:r>
      <w:r>
        <w:t xml:space="preserve">=1</w:t>
      </w:r>
      <w:r>
        <w:t xml:space="preserve"> of the power means</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
                  <m:e>
                    <m:r>
                      <m:t xml:space="preserve">D</m:t>
                    </m:r>
                  </m:e>
                  <m:sub>
                    <m:r>
                      <m:t xml:space="preserve">E</m:t>
                    </m:r>
                    <m:r>
                      <m:rPr>
                        <m:sty m:val="p"/>
                      </m:rPr>
                      <m:t xml:space="preserve">,</m:t>
                    </m:r>
                    <m:r>
                      <m:t xml:space="preserve">q</m:t>
                    </m:r>
                  </m:sub>
                </m:sSub>
                <m:r>
                  <m:rPr>
                    <m:sty m:val="p"/>
                  </m:rPr>
                  <m:t xml:space="preserve">=</m:t>
                </m:r>
                <m:sSup>
                  <m:e>
                    <m:d>
                      <m:dPr>
                        <m:begChr m:val="("/>
                        <m:endChr m:val=")"/>
                      </m:dPr>
                      <m:e>
                        <m:f>
                          <m:num>
                            <m:r>
                              <m:rPr>
                                <m:sty m:val="p"/>
                              </m:rPr>
                              <m:t xml:space="preserve">1</m:t>
                            </m:r>
                          </m:num>
                          <m:den>
                            <m:d>
                              <m:dPr>
                                <m:begChr m:val="|"/>
                                <m:endChr m:val="|"/>
                              </m:dPr>
                              <m:e>
                                <m:r>
                                  <m:t xml:space="preserve">E</m:t>
                                </m:r>
                              </m:e>
                            </m:d>
                          </m:den>
                        </m:f>
                        <m:nary>
                          <m:naryPr>
                            <m:chr m:val="∑"/>
                            <m:limLoc m:val="undOvr"/>
                            <m:supHide m:val="1"/>
                          </m:naryPr>
                          <m:sub>
                            <m:r>
                              <m:t xml:space="preserve">e</m:t>
                            </m:r>
                            <m:r>
                              <m:rPr>
                                <m:sty m:val="p"/>
                              </m:rPr>
                              <m:t xml:space="preserve">∈</m:t>
                            </m:r>
                            <m:r>
                              <m:t xml:space="preserve">E</m:t>
                            </m:r>
                          </m:sub>
                          <m:sup/>
                          <m:e>
                            <m:sSup>
                              <m:e>
                                <m:d>
                                  <m:dPr>
                                    <m:begChr m:val="|"/>
                                    <m:endChr m:val="|"/>
                                  </m:dPr>
                                  <m:e>
                                    <m:sSub>
                                      <m:e>
                                        <m:r>
                                          <m:rPr>
                                            <m:sty m:val="p"/>
                                          </m:rPr>
                                          <m:t xml:space="preserve">Δ</m:t>
                                        </m:r>
                                      </m:e>
                                      <m:sub>
                                        <m:r>
                                          <m:t xml:space="preserve">e</m:t>
                                        </m:r>
                                      </m:sub>
                                    </m:sSub>
                                  </m:e>
                                </m:d>
                              </m:e>
                              <m:sup>
                                <m:r>
                                  <m:t xml:space="preserve">q</m:t>
                                </m:r>
                              </m:sup>
                            </m:sSup>
                          </m:e>
                        </m:nary>
                      </m:e>
                    </m:d>
                  </m:e>
                  <m:sup>
                    <m:r>
                      <m:rPr>
                        <m:sty m:val="p"/>
                      </m:rPr>
                      <m:t xml:space="preserve">1</m:t>
                    </m:r>
                    <m:r>
                      <m:rPr>
                        <m:sty m:val="p"/>
                      </m:rPr>
                      <m:t xml:space="preserve">/</m:t>
                    </m:r>
                    <m:r>
                      <m:t xml:space="preserve">q</m:t>
                    </m:r>
                  </m:sup>
                </m:sSup>
                <m:r>
                  <m:rPr>
                    <m:sty m:val="p"/>
                  </m:rPr>
                  <m:t xml:space="preserve">,</m:t>
                </m:r>
                <m:r>
                  <m:rPr>
                    <m:nor/>
                  </m:rPr>
                  <m:t xml:space="preserve">  </m:t>
                </m:r>
                <m:sSub>
                  <m:e>
                    <m:r>
                      <m:t xml:space="preserve">D</m:t>
                    </m:r>
                  </m:e>
                  <m:sub>
                    <m:r>
                      <m:t xml:space="preserve">E</m:t>
                    </m:r>
                  </m:sub>
                </m:sSub>
                <m:r>
                  <m:rPr>
                    <m:sty m:val="p"/>
                  </m:rPr>
                  <m:t xml:space="preserve">=</m:t>
                </m:r>
                <m:sSub>
                  <m:e>
                    <m:r>
                      <m:t xml:space="preserve">D</m:t>
                    </m:r>
                  </m:e>
                  <m:sub>
                    <m:r>
                      <m:t xml:space="preserve">E</m:t>
                    </m:r>
                    <m:r>
                      <m:rPr>
                        <m:sty m:val="p"/>
                      </m:rPr>
                      <m:t xml:space="preserve">,</m:t>
                    </m:r>
                    <m:r>
                      <m:rPr>
                        <m:sty m:val="p"/>
                      </m:rPr>
                      <m:t xml:space="preserve">1</m:t>
                    </m:r>
                  </m:sub>
                </m:sSub>
                <m:r>
                  <m:rPr>
                    <m:sty m:val="p"/>
                  </m:rPr>
                  <m:t xml:space="preserve">≤</m:t>
                </m:r>
                <m:sSub>
                  <m:e>
                    <m:r>
                      <m:t xml:space="preserve">D</m:t>
                    </m:r>
                  </m:e>
                  <m:sub>
                    <m:r>
                      <m:t xml:space="preserve">E</m:t>
                    </m:r>
                    <m:r>
                      <m:rPr>
                        <m:sty m:val="p"/>
                      </m:rPr>
                      <m:t xml:space="preserve">,</m:t>
                    </m:r>
                    <m:r>
                      <m:rPr>
                        <m:sty m:val="p"/>
                      </m:rPr>
                      <m:t xml:space="preserve">2</m:t>
                    </m:r>
                  </m:sub>
                </m:sSub>
                <m:r>
                  <m:rPr>
                    <m:sty m:val="p"/>
                  </m:rPr>
                  <m:t xml:space="preserve">≤</m:t>
                </m:r>
                <m:sSub>
                  <m:e>
                    <m:r>
                      <m:t xml:space="preserve">D</m:t>
                    </m:r>
                  </m:e>
                  <m:sub>
                    <m:r>
                      <m:t xml:space="preserve">E</m:t>
                    </m:r>
                    <m:r>
                      <m:rPr>
                        <m:sty m:val="p"/>
                      </m:rPr>
                      <m:t xml:space="preserve">,</m:t>
                    </m:r>
                    <m:r>
                      <m:rPr>
                        <m:sty m:val="p"/>
                      </m:rPr>
                      <m:t xml:space="preserve">∞</m:t>
                    </m:r>
                  </m:sub>
                </m:sSub>
                <m:r>
                  <m:rPr>
                    <m:sty m:val="p"/>
                  </m:rPr>
                  <m:t xml:space="preserve">=</m:t>
                </m:r>
                <m:limLow>
                  <m:e>
                    <m:r>
                      <m:rPr>
                        <m:nor/>
                      </m:rPr>
                      <m:t xml:space="preserve">max</m:t>
                    </m:r>
                  </m:e>
                  <m:lim>
                    <m:r>
                      <m:t xml:space="preserve">e</m:t>
                    </m:r>
                    <m:r>
                      <m:rPr>
                        <m:sty m:val="p"/>
                      </m:rPr>
                      <m:t xml:space="preserve">∈</m:t>
                    </m:r>
                    <m:r>
                      <m:t xml:space="preserve">E</m:t>
                    </m:r>
                  </m:lim>
                </m:limLow>
                <m:d>
                  <m:dPr>
                    <m:begChr m:val="|"/>
                    <m:endChr m:val="|"/>
                  </m:dPr>
                  <m:e>
                    <m:sSub>
                      <m:e>
                        <m:r>
                          <m:rPr>
                            <m:sty m:val="p"/>
                          </m:rPr>
                          <m:t xml:space="preserve">Δ</m:t>
                        </m:r>
                      </m:e>
                      <m:sub>
                        <m:r>
                          <m:t xml:space="preserve">e</m:t>
                        </m:r>
                      </m:sub>
                    </m:sSub>
                  </m:e>
                </m:d>
                <m:r>
                  <m:rPr>
                    <m:sty m:val="p"/>
                  </m:rPr>
                  <m:t xml:space="preserve">,</m:t>
                </m:r>
                <m:r>
                  <m:rPr>
                    <m:nor/>
                  </m:rPr>
                  <m:t xml:space="preserve">  </m:t>
                </m:r>
                <m:sSubSup>
                  <m:e>
                    <m:r>
                      <m:t xml:space="preserve">D</m:t>
                    </m:r>
                  </m:e>
                  <m:sub>
                    <m:r>
                      <m:t xml:space="preserve">E</m:t>
                    </m:r>
                    <m:r>
                      <m:rPr>
                        <m:sty m:val="p"/>
                      </m:rPr>
                      <m:t xml:space="preserve">,</m:t>
                    </m:r>
                    <m:r>
                      <m:rPr>
                        <m:sty m:val="p"/>
                      </m:rPr>
                      <m:t xml:space="preserve">2</m:t>
                    </m:r>
                  </m:sub>
                  <m:sup>
                    <m:r>
                      <m:rPr>
                        <m:sty m:val="p"/>
                      </m:rPr>
                      <m:t xml:space="preserve">2</m:t>
                    </m:r>
                  </m:sup>
                </m:sSubSup>
                <m:r>
                  <m:rPr>
                    <m:sty m:val="p"/>
                  </m:rPr>
                  <m:t xml:space="preserve">=</m:t>
                </m:r>
                <m:sSubSup>
                  <m:e>
                    <m:bar>
                      <m:barPr>
                        <m:pos m:val="top"/>
                      </m:barPr>
                      <m:e>
                        <m:r>
                          <m:rPr>
                            <m:sty m:val="p"/>
                          </m:rPr>
                          <m:t xml:space="preserve">Δ</m:t>
                        </m:r>
                      </m:e>
                    </m:bar>
                  </m:e>
                  <m:sub>
                    <m:r>
                      <m:t xml:space="preserve">E</m:t>
                    </m:r>
                  </m:sub>
                  <m:sup>
                    <m:r>
                      <m:rPr>
                        <m:sty m:val="p"/>
                      </m:rPr>
                      <m:t xml:space="preserve">2</m:t>
                    </m:r>
                  </m:sup>
                </m:sSubSup>
                <m:r>
                  <m:rPr>
                    <m:sty m:val="p"/>
                  </m:rPr>
                  <m:t xml:space="preserve">+</m:t>
                </m:r>
                <m:sSubSup>
                  <m:e>
                    <m:r>
                      <m:t xml:space="preserve">s</m:t>
                    </m:r>
                  </m:e>
                  <m:sub>
                    <m:r>
                      <m:t xml:space="preserve">E</m:t>
                    </m:r>
                  </m:sub>
                  <m:sup>
                    <m:r>
                      <m:rPr>
                        <m:sty m:val="p"/>
                      </m:rPr>
                      <m:t xml:space="preserve">2</m:t>
                    </m:r>
                  </m:sup>
                </m:sSubSup>
              </m:oMath>
            </m:oMathPara>
          </w:p>
        </w:tc>
        <w:tc>
          <w:tcPr>
            <w:tcW w:type="dxa" w:w="700"/>
            <w:vAlign w:val="center"/>
          </w:tcPr>
          <w:p>
            <w:pPr>
              <w:pStyle w:val="BodyText"/>
              <w:spacing w:before="60" w:after="60"/>
              <w:jc w:val="right"/>
            </w:pPr>
            <w:r>
              <w:t xml:space="preserve">(11)</w:t>
            </w:r>
          </w:p>
        </w:tc>
      </w:tr>
    </w:tbl>
    <w:p>
      <w:pPr>
        <w:pStyle w:val="BodyText"/>
      </w:pPr>
      <w:r>
        <w:t xml:space="preserve">which do not decrease with </w:t>
      </w:r>
      <w:r>
        <w:rPr>
          <w:i/>
          <w:iCs/>
        </w:rPr>
        <w:t xml:space="preserve">q</w:t>
      </w:r>
      <w:r>
        <w:t xml:space="preserve">. The quadratic member decomposes into the squared signed change and the across-edge variance </w:t>
      </w:r>
      <w:r>
        <w:rPr>
          <w:i/>
          <w:iCs/>
        </w:rPr>
        <w:t xml:space="preserve">s</w:t>
      </w:r>
      <w:r>
        <w:rPr>
          <w:i/>
          <w:iCs/>
          <w:vertAlign w:val="subscript"/>
        </w:rPr>
        <w:t xml:space="preserve">E</w:t>
      </w:r>
      <w:r>
        <w:rPr>
          <w:vertAlign w:val="superscript"/>
        </w:rPr>
        <w:t xml:space="preserve">2</w:t>
      </w:r>
      <w:r>
        <w:t xml:space="preserve"> of the changes, a second-order analogue of Proposition 1; the limit </w:t>
      </w:r>
      <w:r>
        <w:rPr>
          <w:i/>
          <w:iCs/>
        </w:rPr>
        <w:t xml:space="preserve">q</w:t>
      </w:r>
      <w:r>
        <w:t xml:space="preserve">→∞</w:t>
      </w:r>
      <w:r>
        <w:t xml:space="preserve"> is the largest single change, whose argument is the source </w:t>
      </w:r>
      <w:r>
        <w:rPr>
          <w:i/>
          <w:iCs/>
        </w:rPr>
        <w:t xml:space="preserve">e</w:t>
      </w:r>
      <w:r>
        <w:rPr>
          <w:vertAlign w:val="superscript"/>
        </w:rPr>
        <w:t xml:space="preserve">*</w:t>
      </w:r>
      <w:r>
        <w:t xml:space="preserve"> of equation (8). Larger </w:t>
      </w:r>
      <w:r>
        <w:rPr>
          <w:i/>
          <w:iCs/>
        </w:rPr>
        <w:t xml:space="preserve">q</w:t>
      </w:r>
      <w:r>
        <w:t xml:space="preserve"> weights concentrated change more heavily, whereas </w:t>
      </w:r>
      <w:r>
        <w:rPr>
          <w:i/>
          <w:iCs/>
        </w:rPr>
        <w:t xml:space="preserve">q</w:t>
      </w:r>
      <w:r>
        <w:t xml:space="preserve">=1</w:t>
      </w:r>
      <w:r>
        <w:t xml:space="preserve"> keeps the decomposition additive on the scale of the changes themselves.</w:t>
      </w:r>
    </w:p>
    <w:p>
      <w:pPr>
        <w:pStyle w:val="Heading2"/>
      </w:pPr>
      <w:r>
        <w:t xml:space="preserve">No-change behaviour</w:t>
      </w:r>
    </w:p>
    <w:p>
      <w:pPr>
        <w:pStyle w:val="BodyText"/>
        <w:keepNext/>
      </w:pPr>
      <w:r>
        <w:t xml:space="preserve">Without change, </w:t>
      </w:r>
      <w:r>
        <w:rPr>
          <w:i/>
          <w:iCs/>
        </w:rPr>
        <w:t xml:space="preserve">E</w:t>
      </w:r>
      <w:r>
        <w:t xml:space="preserve">[Δ</w:t>
      </w:r>
      <w:r>
        <w:rPr>
          <w:i/>
          <w:iCs/>
          <w:vertAlign w:val="subscript"/>
        </w:rPr>
        <w:t xml:space="preserve">e</w:t>
      </w:r>
      <w:r>
        <w:t xml:space="preserve">]≈0</w:t>
      </w:r>
      <w:r>
        <w:t xml:space="preserve">, and when the monitored window does not overlap the calibration windows and windows are nearly uncorrelated, </w:t>
      </w:r>
      <w:r>
        <w:t xml:space="preserve">Var(Δ</w:t>
      </w:r>
      <w:r>
        <w:rPr>
          <w:i/>
          <w:iCs/>
          <w:vertAlign w:val="subscript"/>
        </w:rPr>
        <w:t xml:space="preserve">e</w:t>
      </w:r>
      <w:r>
        <w:t xml:space="preserve">)=Var(</w:t>
      </w:r>
      <w:r>
        <w:rPr>
          <w:i/>
          <w:iCs/>
        </w:rPr>
        <w:t xml:space="preserve">τ̂</w:t>
      </w:r>
      <w:r>
        <w:rPr>
          <w:i/>
          <w:iCs/>
          <w:vertAlign w:val="subscript"/>
        </w:rPr>
        <w:t xml:space="preserve">b</w:t>
      </w:r>
      <w:r>
        <w:rPr>
          <w:vertAlign w:val="superscript"/>
        </w:rPr>
        <w:t xml:space="preserve">(</w:t>
      </w:r>
      <w:r>
        <w:rPr>
          <w:i/>
          <w:iCs/>
          <w:vertAlign w:val="superscript"/>
        </w:rPr>
        <w:t xml:space="preserve">e</w:t>
      </w:r>
      <w:r>
        <w:rPr>
          <w:vertAlign w:val="superscript"/>
        </w:rPr>
        <w:t xml:space="preserve">)</w:t>
      </w:r>
      <w:r>
        <w:t xml:space="preserve">)(1+1/</w:t>
      </w:r>
      <w:r>
        <w:rPr>
          <w:i/>
          <w:iCs/>
        </w:rPr>
        <w:t xml:space="preserve">n</w:t>
      </w:r>
      <w:r>
        <w:rPr>
          <w:vertAlign w:val="subscript"/>
        </w:rPr>
        <w:t xml:space="preserve">cal</w:t>
      </w:r>
      <w:r>
        <w:t xml:space="preserve">)</w:t>
      </w:r>
      <w:r>
        <w:t xml:space="preserve">. For serially independent streams, the variance of </w:t>
      </w:r>
      <w:r>
        <w:rPr>
          <w:i/>
          <w:iCs/>
        </w:rPr>
        <w:t xml:space="preserve">τ</w:t>
      </w:r>
      <w:r>
        <w:rPr>
          <w:i/>
          <w:iCs/>
          <w:vertAlign w:val="subscript"/>
        </w:rPr>
        <w:t xml:space="preserve">b</w:t>
      </w:r>
      <w:r>
        <w:t xml:space="preserve"> under independence, conditional on the ties in the window, is Kendall’s</w:t>
      </w:r>
      <w:r>
        <w:rPr>
          <w:vertAlign w:val="superscript"/>
        </w:rPr>
        <w:t xml:space="preserve">5</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
                  <m:e>
                    <m:r>
                      <m:rPr>
                        <m:nor/>
                      </m:rPr>
                      <m:t xml:space="preserve">Var</m:t>
                    </m:r>
                  </m:e>
                  <m:sub>
                    <m:r>
                      <m:rPr>
                        <m:sty m:val="p"/>
                      </m:rPr>
                      <m:t xml:space="preserve">0</m:t>
                    </m:r>
                  </m:sub>
                </m:sSub>
                <m:d>
                  <m:dPr>
                    <m:begChr m:val="["/>
                    <m:endChr m:val="]"/>
                  </m:dPr>
                  <m:e>
                    <m:sSub>
                      <m:e>
                        <m:r>
                          <m:t xml:space="preserve">τ</m:t>
                        </m:r>
                      </m:e>
                      <m:sub>
                        <m:r>
                          <m:t xml:space="preserve">b</m:t>
                        </m:r>
                      </m:sub>
                    </m:sSub>
                  </m:e>
                </m:d>
                <m:r>
                  <m:rPr>
                    <m:sty m:val="p"/>
                  </m:rPr>
                  <m:t xml:space="preserve">=</m:t>
                </m:r>
                <m:f>
                  <m:num>
                    <m:sSub>
                      <m:e>
                        <m:r>
                          <m:t xml:space="preserve">V</m:t>
                        </m:r>
                      </m:e>
                      <m:sub>
                        <m:r>
                          <m:t xml:space="preserve">S</m:t>
                        </m:r>
                      </m:sub>
                    </m:sSub>
                  </m:num>
                  <m:den>
                    <m:d>
                      <m:dPr>
                        <m:begChr m:val="("/>
                        <m:endChr m:val=")"/>
                      </m:dPr>
                      <m:e>
                        <m:sSub>
                          <m:e>
                            <m:r>
                              <m:t xml:space="preserve">n</m:t>
                            </m:r>
                          </m:e>
                          <m:sub>
                            <m:r>
                              <m:t xml:space="preserve">W</m:t>
                            </m:r>
                          </m:sub>
                        </m:sSub>
                        <m:r>
                          <m:rPr>
                            <m:sty m:val="p"/>
                          </m:rPr>
                          <m:t xml:space="preserve">−</m:t>
                        </m:r>
                        <m:sSub>
                          <m:e>
                            <m:r>
                              <m:t xml:space="preserve">a</m:t>
                            </m:r>
                          </m:e>
                          <m:sub>
                            <m:r>
                              <m:rPr>
                                <m:sty m:val="p"/>
                              </m:rPr>
                              <m:t xml:space="preserve">1</m:t>
                            </m:r>
                          </m:sub>
                        </m:sSub>
                        <m:r>
                          <m:rPr>
                            <m:sty m:val="p"/>
                          </m:rPr>
                          <m:t xml:space="preserve">/</m:t>
                        </m:r>
                        <m:r>
                          <m:rPr>
                            <m:sty m:val="p"/>
                          </m:rPr>
                          <m:t xml:space="preserve">2</m:t>
                        </m:r>
                      </m:e>
                    </m:d>
                    <m:d>
                      <m:dPr>
                        <m:begChr m:val="("/>
                        <m:endChr m:val=")"/>
                      </m:dPr>
                      <m:e>
                        <m:sSub>
                          <m:e>
                            <m:r>
                              <m:t xml:space="preserve">n</m:t>
                            </m:r>
                          </m:e>
                          <m:sub>
                            <m:r>
                              <m:t xml:space="preserve">W</m:t>
                            </m:r>
                          </m:sub>
                        </m:sSub>
                        <m:r>
                          <m:rPr>
                            <m:sty m:val="p"/>
                          </m:rPr>
                          <m:t xml:space="preserve">−</m:t>
                        </m:r>
                        <m:sSub>
                          <m:e>
                            <m:r>
                              <m:t xml:space="preserve">b</m:t>
                            </m:r>
                          </m:e>
                          <m:sub>
                            <m:r>
                              <m:rPr>
                                <m:sty m:val="p"/>
                              </m:rPr>
                              <m:t xml:space="preserve">1</m:t>
                            </m:r>
                          </m:sub>
                        </m:sSub>
                        <m:r>
                          <m:rPr>
                            <m:sty m:val="p"/>
                          </m:rPr>
                          <m:t xml:space="preserve">/</m:t>
                        </m:r>
                        <m:r>
                          <m:rPr>
                            <m:sty m:val="p"/>
                          </m:rPr>
                          <m:t xml:space="preserve">2</m:t>
                        </m:r>
                      </m:e>
                    </m:d>
                  </m:den>
                </m:f>
                <m:r>
                  <m:rPr>
                    <m:sty m:val="p"/>
                  </m:rPr>
                  <m:t xml:space="preserve">,</m:t>
                </m:r>
                <m:r>
                  <m:rPr>
                    <m:nor/>
                  </m:rPr>
                  <m:t xml:space="preserve">  </m:t>
                </m:r>
                <m:sSub>
                  <m:e>
                    <m:r>
                      <m:t xml:space="preserve">n</m:t>
                    </m:r>
                  </m:e>
                  <m:sub>
                    <m:r>
                      <m:t xml:space="preserve">W</m:t>
                    </m:r>
                  </m:sub>
                </m:sSub>
                <m:r>
                  <m:rPr>
                    <m:sty m:val="p"/>
                  </m:rPr>
                  <m:t xml:space="preserve">=</m:t>
                </m:r>
                <m:f>
                  <m:num>
                    <m:r>
                      <m:t xml:space="preserve">W</m:t>
                    </m:r>
                    <m:r>
                      <m:rPr>
                        <m:sty m:val="p"/>
                      </m:rPr>
                      <m:t xml:space="preserve">(</m:t>
                    </m:r>
                    <m:r>
                      <m:t xml:space="preserve">W</m:t>
                    </m:r>
                    <m:r>
                      <m:rPr>
                        <m:sty m:val="p"/>
                      </m:rPr>
                      <m:t xml:space="preserve">−</m:t>
                    </m:r>
                    <m:r>
                      <m:rPr>
                        <m:sty m:val="p"/>
                      </m:rPr>
                      <m:t xml:space="preserve">1</m:t>
                    </m:r>
                    <m:r>
                      <m:rPr>
                        <m:sty m:val="p"/>
                      </m:rPr>
                      <m:t xml:space="preserve">)</m:t>
                    </m:r>
                  </m:num>
                  <m:den>
                    <m:r>
                      <m:rPr>
                        <m:sty m:val="p"/>
                      </m:rPr>
                      <m:t xml:space="preserve">2</m:t>
                    </m:r>
                  </m:den>
                </m:f>
                <m:r>
                  <m:rPr>
                    <m:sty m:val="p"/>
                  </m:rPr>
                  <m:t xml:space="preserve">,</m:t>
                </m:r>
              </m:oMath>
            </m:oMathPara>
          </w:p>
        </w:tc>
        <w:tc>
          <w:tcPr>
            <w:tcW w:type="dxa" w:w="700"/>
            <w:vAlign w:val="center"/>
          </w:tcPr>
          <w:p>
            <w:pPr>
              <w:pStyle w:val="BodyText"/>
              <w:spacing w:before="60" w:after="60"/>
              <w:jc w:val="right"/>
            </w:pPr>
            <w:r>
              <w:t xml:space="preserve">(12)</w:t>
            </w:r>
          </w:p>
        </w:tc>
      </w:tr>
    </w:tbl>
    <w:p>
      <w:pPr>
        <w:pStyle w:val="BodyText"/>
        <w:keepNext/>
      </w:pPr>
      <w:r>
        <w:t xml:space="preserve">with</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
                  <m:e>
                    <m:r>
                      <m:t xml:space="preserve">V</m:t>
                    </m:r>
                  </m:e>
                  <m:sub>
                    <m:r>
                      <m:t xml:space="preserve">S</m:t>
                    </m:r>
                  </m:sub>
                </m:sSub>
                <m:r>
                  <m:rPr>
                    <m:sty m:val="p"/>
                  </m:rPr>
                  <m:t xml:space="preserve">=</m:t>
                </m:r>
                <m:f>
                  <m:num>
                    <m:r>
                      <m:t xml:space="preserve">W</m:t>
                    </m:r>
                    <m:r>
                      <m:rPr>
                        <m:sty m:val="p"/>
                      </m:rPr>
                      <m:t xml:space="preserve">(</m:t>
                    </m:r>
                    <m:r>
                      <m:t xml:space="preserve">W</m:t>
                    </m:r>
                    <m:r>
                      <m:rPr>
                        <m:sty m:val="p"/>
                      </m:rPr>
                      <m:t xml:space="preserve">−</m:t>
                    </m:r>
                    <m:r>
                      <m:rPr>
                        <m:sty m:val="p"/>
                      </m:rPr>
                      <m:t xml:space="preserve">1</m:t>
                    </m:r>
                    <m:r>
                      <m:rPr>
                        <m:sty m:val="p"/>
                      </m:rPr>
                      <m:t xml:space="preserve">)</m:t>
                    </m:r>
                    <m:r>
                      <m:rPr>
                        <m:sty m:val="p"/>
                      </m:rPr>
                      <m:t xml:space="preserve">(</m:t>
                    </m:r>
                    <m:r>
                      <m:rPr>
                        <m:sty m:val="p"/>
                      </m:rPr>
                      <m:t xml:space="preserve">2</m:t>
                    </m:r>
                    <m:r>
                      <m:t xml:space="preserve">W</m:t>
                    </m:r>
                    <m:r>
                      <m:rPr>
                        <m:sty m:val="p"/>
                      </m:rPr>
                      <m:t xml:space="preserve">+</m:t>
                    </m:r>
                    <m:r>
                      <m:rPr>
                        <m:sty m:val="p"/>
                      </m:rPr>
                      <m:t xml:space="preserve">5</m:t>
                    </m:r>
                    <m:r>
                      <m:rPr>
                        <m:sty m:val="p"/>
                      </m:rPr>
                      <m:t xml:space="preserve">)</m:t>
                    </m:r>
                    <m:r>
                      <m:rPr>
                        <m:sty m:val="p"/>
                      </m:rPr>
                      <m:t xml:space="preserve">−</m:t>
                    </m:r>
                    <m:sSub>
                      <m:e>
                        <m:r>
                          <m:t xml:space="preserve">a</m:t>
                        </m:r>
                      </m:e>
                      <m:sub>
                        <m:r>
                          <m:rPr>
                            <m:sty m:val="p"/>
                          </m:rPr>
                          <m:t xml:space="preserve">3</m:t>
                        </m:r>
                      </m:sub>
                    </m:sSub>
                    <m:r>
                      <m:rPr>
                        <m:sty m:val="p"/>
                      </m:rPr>
                      <m:t xml:space="preserve">−</m:t>
                    </m:r>
                    <m:sSub>
                      <m:e>
                        <m:r>
                          <m:t xml:space="preserve">b</m:t>
                        </m:r>
                      </m:e>
                      <m:sub>
                        <m:r>
                          <m:rPr>
                            <m:sty m:val="p"/>
                          </m:rPr>
                          <m:t xml:space="preserve">3</m:t>
                        </m:r>
                      </m:sub>
                    </m:sSub>
                  </m:num>
                  <m:den>
                    <m:r>
                      <m:rPr>
                        <m:sty m:val="p"/>
                      </m:rPr>
                      <m:t xml:space="preserve">1</m:t>
                    </m:r>
                    <m:r>
                      <m:rPr>
                        <m:sty m:val="p"/>
                      </m:rPr>
                      <m:t xml:space="preserve">8</m:t>
                    </m:r>
                  </m:den>
                </m:f>
                <m:r>
                  <m:rPr>
                    <m:sty m:val="p"/>
                  </m:rPr>
                  <m:t xml:space="preserve">+</m:t>
                </m:r>
                <m:f>
                  <m:num>
                    <m:sSub>
                      <m:e>
                        <m:r>
                          <m:t xml:space="preserve">a</m:t>
                        </m:r>
                      </m:e>
                      <m:sub>
                        <m:r>
                          <m:rPr>
                            <m:sty m:val="p"/>
                          </m:rPr>
                          <m:t xml:space="preserve">2</m:t>
                        </m:r>
                      </m:sub>
                    </m:sSub>
                    <m:sSub>
                      <m:e>
                        <m:r>
                          <m:t xml:space="preserve">b</m:t>
                        </m:r>
                      </m:e>
                      <m:sub>
                        <m:r>
                          <m:rPr>
                            <m:sty m:val="p"/>
                          </m:rPr>
                          <m:t xml:space="preserve">2</m:t>
                        </m:r>
                      </m:sub>
                    </m:sSub>
                  </m:num>
                  <m:den>
                    <m:r>
                      <m:rPr>
                        <m:sty m:val="p"/>
                      </m:rPr>
                      <m:t xml:space="preserve">9</m:t>
                    </m:r>
                    <m:r>
                      <m:t xml:space="preserve">W</m:t>
                    </m:r>
                    <m:r>
                      <m:rPr>
                        <m:sty m:val="p"/>
                      </m:rPr>
                      <m:t xml:space="preserve">(</m:t>
                    </m:r>
                    <m:r>
                      <m:t xml:space="preserve">W</m:t>
                    </m:r>
                    <m:r>
                      <m:rPr>
                        <m:sty m:val="p"/>
                      </m:rPr>
                      <m:t xml:space="preserve">−</m:t>
                    </m:r>
                    <m:r>
                      <m:rPr>
                        <m:sty m:val="p"/>
                      </m:rPr>
                      <m:t xml:space="preserve">1</m:t>
                    </m:r>
                    <m:r>
                      <m:rPr>
                        <m:sty m:val="p"/>
                      </m:rPr>
                      <m:t xml:space="preserve">)</m:t>
                    </m:r>
                    <m:r>
                      <m:rPr>
                        <m:sty m:val="p"/>
                      </m:rPr>
                      <m:t xml:space="preserve">(</m:t>
                    </m:r>
                    <m:r>
                      <m:t xml:space="preserve">W</m:t>
                    </m:r>
                    <m:r>
                      <m:rPr>
                        <m:sty m:val="p"/>
                      </m:rPr>
                      <m:t xml:space="preserve">−</m:t>
                    </m:r>
                    <m:r>
                      <m:rPr>
                        <m:sty m:val="p"/>
                      </m:rPr>
                      <m:t xml:space="preserve">2</m:t>
                    </m:r>
                    <m:r>
                      <m:rPr>
                        <m:sty m:val="p"/>
                      </m:rPr>
                      <m:t xml:space="preserve">)</m:t>
                    </m:r>
                  </m:den>
                </m:f>
                <m:r>
                  <m:rPr>
                    <m:sty m:val="p"/>
                  </m:rPr>
                  <m:t xml:space="preserve">+</m:t>
                </m:r>
                <m:f>
                  <m:num>
                    <m:sSub>
                      <m:e>
                        <m:r>
                          <m:t xml:space="preserve">a</m:t>
                        </m:r>
                      </m:e>
                      <m:sub>
                        <m:r>
                          <m:rPr>
                            <m:sty m:val="p"/>
                          </m:rPr>
                          <m:t xml:space="preserve">1</m:t>
                        </m:r>
                      </m:sub>
                    </m:sSub>
                    <m:sSub>
                      <m:e>
                        <m:r>
                          <m:t xml:space="preserve">b</m:t>
                        </m:r>
                      </m:e>
                      <m:sub>
                        <m:r>
                          <m:rPr>
                            <m:sty m:val="p"/>
                          </m:rPr>
                          <m:t xml:space="preserve">1</m:t>
                        </m:r>
                      </m:sub>
                    </m:sSub>
                  </m:num>
                  <m:den>
                    <m:r>
                      <m:rPr>
                        <m:sty m:val="p"/>
                      </m:rPr>
                      <m:t xml:space="preserve">2</m:t>
                    </m:r>
                    <m:r>
                      <m:t xml:space="preserve">W</m:t>
                    </m:r>
                    <m:r>
                      <m:rPr>
                        <m:sty m:val="p"/>
                      </m:rPr>
                      <m:t xml:space="preserve">(</m:t>
                    </m:r>
                    <m:r>
                      <m:t xml:space="preserve">W</m:t>
                    </m:r>
                    <m:r>
                      <m:rPr>
                        <m:sty m:val="p"/>
                      </m:rPr>
                      <m:t xml:space="preserve">−</m:t>
                    </m:r>
                    <m:r>
                      <m:rPr>
                        <m:sty m:val="p"/>
                      </m:rPr>
                      <m:t xml:space="preserve">1</m:t>
                    </m:r>
                    <m:r>
                      <m:rPr>
                        <m:sty m:val="p"/>
                      </m:rPr>
                      <m:t xml:space="preserve">)</m:t>
                    </m:r>
                  </m:den>
                </m:f>
                <m:r>
                  <m:rPr>
                    <m:sty m:val="p"/>
                  </m:rPr>
                  <m:t xml:space="preserve">,</m:t>
                </m:r>
              </m:oMath>
            </m:oMathPara>
          </w:p>
        </w:tc>
        <w:tc>
          <w:tcPr>
            <w:tcW w:type="dxa" w:w="700"/>
            <w:vAlign w:val="center"/>
          </w:tcPr>
          <w:p>
            <w:pPr>
              <w:pStyle w:val="BodyText"/>
              <w:spacing w:before="60" w:after="60"/>
              <w:jc w:val="right"/>
            </w:pPr>
            <w:r>
              <w:t xml:space="preserve">(13)</w:t>
            </w:r>
          </w:p>
        </w:tc>
      </w:tr>
    </w:tbl>
    <w:p>
      <w:pPr>
        <w:pStyle w:val="BodyText"/>
        <w:keepNext/>
      </w:pPr>
      <w:r>
        <w:t xml:space="preserve">where </w:t>
      </w:r>
      <w:r>
        <w:rPr>
          <w:i/>
          <w:iCs/>
        </w:rPr>
        <w:t xml:space="preserve">n</w:t>
      </w:r>
      <w:r>
        <w:rPr>
          <w:i/>
          <w:iCs/>
          <w:vertAlign w:val="subscript"/>
        </w:rPr>
        <w:t xml:space="preserve">W</w:t>
      </w:r>
      <w:r>
        <w:t xml:space="preserve"> is the number of bin pairs and the sums </w:t>
      </w:r>
      <w:r>
        <w:rPr>
          <w:i/>
          <w:iCs/>
        </w:rPr>
        <w:t xml:space="preserve">a</w:t>
      </w:r>
      <w:r>
        <w:rPr>
          <w:vertAlign w:val="subscript"/>
        </w:rPr>
        <w:t xml:space="preserve">1</w:t>
      </w:r>
      <w:r>
        <w:t xml:space="preserve">=Σ</w:t>
      </w:r>
      <w:r>
        <w:rPr>
          <w:i/>
          <w:iCs/>
          <w:vertAlign w:val="subscript"/>
        </w:rPr>
        <w:t xml:space="preserve">g</w:t>
      </w:r>
      <w:r>
        <w:rPr>
          <w:i/>
          <w:iCs/>
        </w:rPr>
        <w:t xml:space="preserve">t</w:t>
      </w:r>
      <w:r>
        <w:rPr>
          <w:i/>
          <w:iCs/>
          <w:vertAlign w:val="subscript"/>
        </w:rPr>
        <w:t xml:space="preserve">g</w:t>
      </w:r>
      <w:r>
        <w:t xml:space="preserve">(</w:t>
      </w:r>
      <w:r>
        <w:rPr>
          <w:i/>
          <w:iCs/>
        </w:rPr>
        <w:t xml:space="preserve">t</w:t>
      </w:r>
      <w:r>
        <w:rPr>
          <w:i/>
          <w:iCs/>
          <w:vertAlign w:val="subscript"/>
        </w:rPr>
        <w:t xml:space="preserve">g</w:t>
      </w:r>
      <w:r>
        <w:t xml:space="preserve">−1)</w:t>
      </w:r>
      <w:r>
        <w:t xml:space="preserve">, </w:t>
      </w:r>
      <w:r>
        <w:rPr>
          <w:i/>
          <w:iCs/>
        </w:rPr>
        <w:t xml:space="preserve">a</w:t>
      </w:r>
      <w:r>
        <w:rPr>
          <w:vertAlign w:val="subscript"/>
        </w:rPr>
        <w:t xml:space="preserve">2</w:t>
      </w:r>
      <w:r>
        <w:t xml:space="preserve">=Σ</w:t>
      </w:r>
      <w:r>
        <w:rPr>
          <w:i/>
          <w:iCs/>
          <w:vertAlign w:val="subscript"/>
        </w:rPr>
        <w:t xml:space="preserve">g</w:t>
      </w:r>
      <w:r>
        <w:rPr>
          <w:i/>
          <w:iCs/>
        </w:rPr>
        <w:t xml:space="preserve">t</w:t>
      </w:r>
      <w:r>
        <w:rPr>
          <w:i/>
          <w:iCs/>
          <w:vertAlign w:val="subscript"/>
        </w:rPr>
        <w:t xml:space="preserve">g</w:t>
      </w:r>
      <w:r>
        <w:t xml:space="preserve">(</w:t>
      </w:r>
      <w:r>
        <w:rPr>
          <w:i/>
          <w:iCs/>
        </w:rPr>
        <w:t xml:space="preserve">t</w:t>
      </w:r>
      <w:r>
        <w:rPr>
          <w:i/>
          <w:iCs/>
          <w:vertAlign w:val="subscript"/>
        </w:rPr>
        <w:t xml:space="preserve">g</w:t>
      </w:r>
      <w:r>
        <w:t xml:space="preserve">−1)(</w:t>
      </w:r>
      <w:r>
        <w:rPr>
          <w:i/>
          <w:iCs/>
        </w:rPr>
        <w:t xml:space="preserve">t</w:t>
      </w:r>
      <w:r>
        <w:rPr>
          <w:i/>
          <w:iCs/>
          <w:vertAlign w:val="subscript"/>
        </w:rPr>
        <w:t xml:space="preserve">g</w:t>
      </w:r>
      <w:r>
        <w:t xml:space="preserve">−2)</w:t>
      </w:r>
      <w:r>
        <w:t xml:space="preserve"> and </w:t>
      </w:r>
      <w:r>
        <w:rPr>
          <w:i/>
          <w:iCs/>
        </w:rPr>
        <w:t xml:space="preserve">a</w:t>
      </w:r>
      <w:r>
        <w:rPr>
          <w:vertAlign w:val="subscript"/>
        </w:rPr>
        <w:t xml:space="preserve">3</w:t>
      </w:r>
      <w:r>
        <w:t xml:space="preserve">=Σ</w:t>
      </w:r>
      <w:r>
        <w:rPr>
          <w:i/>
          <w:iCs/>
          <w:vertAlign w:val="subscript"/>
        </w:rPr>
        <w:t xml:space="preserve">g</w:t>
      </w:r>
      <w:r>
        <w:rPr>
          <w:i/>
          <w:iCs/>
        </w:rPr>
        <w:t xml:space="preserve">t</w:t>
      </w:r>
      <w:r>
        <w:rPr>
          <w:i/>
          <w:iCs/>
          <w:vertAlign w:val="subscript"/>
        </w:rPr>
        <w:t xml:space="preserve">g</w:t>
      </w:r>
      <w:r>
        <w:t xml:space="preserve">(</w:t>
      </w:r>
      <w:r>
        <w:rPr>
          <w:i/>
          <w:iCs/>
        </w:rPr>
        <w:t xml:space="preserve">t</w:t>
      </w:r>
      <w:r>
        <w:rPr>
          <w:i/>
          <w:iCs/>
          <w:vertAlign w:val="subscript"/>
        </w:rPr>
        <w:t xml:space="preserve">g</w:t>
      </w:r>
      <w:r>
        <w:t xml:space="preserve">−1)(2</w:t>
      </w:r>
      <w:r>
        <w:rPr>
          <w:i/>
          <w:iCs/>
        </w:rPr>
        <w:t xml:space="preserve">t</w:t>
      </w:r>
      <w:r>
        <w:rPr>
          <w:i/>
          <w:iCs/>
          <w:vertAlign w:val="subscript"/>
        </w:rPr>
        <w:t xml:space="preserve">g</w:t>
      </w:r>
      <w:r>
        <w:t xml:space="preserve">+5)</w:t>
      </w:r>
      <w:r>
        <w:t xml:space="preserve"> run over the groups of </w:t>
      </w:r>
      <w:r>
        <w:rPr>
          <w:i/>
          <w:iCs/>
        </w:rPr>
        <w:t xml:space="preserve">t</w:t>
      </w:r>
      <w:r>
        <w:rPr>
          <w:i/>
          <w:iCs/>
          <w:vertAlign w:val="subscript"/>
        </w:rPr>
        <w:t xml:space="preserve">g</w:t>
      </w:r>
      <w:r>
        <w:t xml:space="preserve"> tied values of </w:t>
      </w:r>
      <w:r>
        <w:rPr>
          <w:i/>
          <w:iCs/>
        </w:rPr>
        <w:t xml:space="preserve">z</w:t>
      </w:r>
      <w:r>
        <w:rPr>
          <w:i/>
          <w:iCs/>
          <w:vertAlign w:val="subscript"/>
        </w:rPr>
        <w:t xml:space="preserve">i</w:t>
      </w:r>
      <w:r>
        <w:t xml:space="preserve"> in the window, and </w:t>
      </w:r>
      <w:r>
        <w:rPr>
          <w:i/>
          <w:iCs/>
        </w:rPr>
        <w:t xml:space="preserve">b</w:t>
      </w:r>
      <w:r>
        <w:rPr>
          <w:vertAlign w:val="subscript"/>
        </w:rPr>
        <w:t xml:space="preserve">1</w:t>
      </w:r>
      <w:r>
        <w:t xml:space="preserve">, </w:t>
      </w:r>
      <w:r>
        <w:rPr>
          <w:i/>
          <w:iCs/>
        </w:rPr>
        <w:t xml:space="preserve">b</w:t>
      </w:r>
      <w:r>
        <w:rPr>
          <w:vertAlign w:val="subscript"/>
        </w:rPr>
        <w:t xml:space="preserve">2</w:t>
      </w:r>
      <w:r>
        <w:t xml:space="preserve">, </w:t>
      </w:r>
      <w:r>
        <w:rPr>
          <w:i/>
          <w:iCs/>
        </w:rPr>
        <w:t xml:space="preserve">b</w:t>
      </w:r>
      <w:r>
        <w:rPr>
          <w:vertAlign w:val="subscript"/>
        </w:rPr>
        <w:t xml:space="preserve">3</w:t>
      </w:r>
      <w:r>
        <w:t xml:space="preserve"> likewise for </w:t>
      </w:r>
      <w:r>
        <w:rPr>
          <w:i/>
          <w:iCs/>
        </w:rPr>
        <w:t xml:space="preserve">z</w:t>
      </w:r>
      <w:r>
        <w:rPr>
          <w:i/>
          <w:iCs/>
          <w:vertAlign w:val="subscript"/>
        </w:rPr>
        <w:t xml:space="preserve">j</w:t>
      </w:r>
      <w:r>
        <w:t xml:space="preserve">. Without ties it reduces to </w:t>
      </w:r>
      <w:r>
        <w:t xml:space="preserve">2(2</w:t>
      </w:r>
      <w:r>
        <w:rPr>
          <w:i/>
          <w:iCs/>
        </w:rPr>
        <w:t xml:space="preserve">W</w:t>
      </w:r>
      <w:r>
        <w:t xml:space="preserve">+5)/(9</w:t>
      </w:r>
      <w:r>
        <w:rPr>
          <w:i/>
          <w:iCs/>
        </w:rPr>
        <w:t xml:space="preserve">W</w:t>
      </w:r>
      <w:r>
        <w:t xml:space="preserve">(</w:t>
      </w:r>
      <w:r>
        <w:rPr>
          <w:i/>
          <w:iCs/>
        </w:rPr>
        <w:t xml:space="preserve">W</w:t>
      </w:r>
      <w:r>
        <w:t xml:space="preserve">−1))</w:t>
      </w:r>
      <w:r>
        <w:rPr>
          <w:vertAlign w:val="superscript"/>
        </w:rPr>
        <w:t xml:space="preserve">4</w:t>
      </w:r>
      <w:r>
        <w:t xml:space="preserve">, and for binary streams, for which </w:t>
      </w:r>
      <w:r>
        <w:rPr>
          <w:i/>
          <w:iCs/>
        </w:rPr>
        <w:t xml:space="preserve">τ</w:t>
      </w:r>
      <w:r>
        <w:rPr>
          <w:i/>
          <w:iCs/>
          <w:vertAlign w:val="subscript"/>
        </w:rPr>
        <w:t xml:space="preserve">b</w:t>
      </w:r>
      <w:r>
        <w:t xml:space="preserve"> is the </w:t>
      </w:r>
      <w:r>
        <w:rPr>
          <w:i/>
          <w:iCs/>
        </w:rPr>
        <w:t xml:space="preserve">φ</w:t>
      </w:r>
      <w:r>
        <w:t xml:space="preserve"> coefficient, to </w:t>
      </w:r>
      <w:r>
        <w:t xml:space="preserve">1/(</w:t>
      </w:r>
      <w:r>
        <w:rPr>
          <w:i/>
          <w:iCs/>
        </w:rPr>
        <w:t xml:space="preserve">W</w:t>
      </w:r>
      <w:r>
        <w:t xml:space="preserve">−1)</w:t>
      </w:r>
      <w:r>
        <w:t xml:space="preserve">. Serial correlation inflates the variance; following Bartlett</w:t>
      </w:r>
      <w:r>
        <w:rPr>
          <w:vertAlign w:val="superscript"/>
        </w:rPr>
        <w:t xml:space="preserve">10</w:t>
      </w:r>
      <w:r>
        <w:t xml:space="preserve">, we use</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Sup>
                  <m:e>
                    <m:r>
                      <m:t xml:space="preserve">σ</m:t>
                    </m:r>
                  </m:e>
                  <m:sub>
                    <m:r>
                      <m:t xml:space="preserve">e</m:t>
                    </m:r>
                  </m:sub>
                  <m:sup>
                    <m:r>
                      <m:rPr>
                        <m:sty m:val="p"/>
                      </m:rPr>
                      <m:t xml:space="preserve">2</m:t>
                    </m:r>
                  </m:sup>
                </m:sSubSup>
                <m:r>
                  <m:rPr>
                    <m:sty m:val="p"/>
                  </m:rPr>
                  <m:t xml:space="preserve">=</m:t>
                </m:r>
                <m:sSub>
                  <m:e>
                    <m:r>
                      <m:rPr>
                        <m:nor/>
                      </m:rPr>
                      <m:t xml:space="preserve">Var</m:t>
                    </m:r>
                  </m:e>
                  <m:sub>
                    <m:r>
                      <m:rPr>
                        <m:sty m:val="p"/>
                      </m:rPr>
                      <m:t xml:space="preserve">0</m:t>
                    </m:r>
                  </m:sub>
                </m:sSub>
                <m:d>
                  <m:dPr>
                    <m:begChr m:val="["/>
                    <m:endChr m:val="]"/>
                  </m:dPr>
                  <m:e>
                    <m:sSubSup>
                      <m:e>
                        <m:r>
                          <m:t xml:space="preserve">τ</m:t>
                        </m:r>
                      </m:e>
                      <m:sub>
                        <m:r>
                          <m:t xml:space="preserve">b</m:t>
                        </m:r>
                      </m:sub>
                      <m:sup>
                        <m:r>
                          <m:rPr>
                            <m:sty m:val="p"/>
                          </m:rPr>
                          <m:t xml:space="preserve">(</m:t>
                        </m:r>
                        <m:r>
                          <m:t xml:space="preserve">e</m:t>
                        </m:r>
                        <m:r>
                          <m:rPr>
                            <m:sty m:val="p"/>
                          </m:rPr>
                          <m:t xml:space="preserve">)</m:t>
                        </m:r>
                      </m:sup>
                    </m:sSubSup>
                  </m:e>
                </m:d>
                <m:d>
                  <m:dPr>
                    <m:begChr m:val="("/>
                    <m:endChr m:val=")"/>
                  </m:dPr>
                  <m:e>
                    <m:r>
                      <m:rPr>
                        <m:sty m:val="p"/>
                      </m:rPr>
                      <m:t xml:space="preserve">1</m:t>
                    </m:r>
                    <m:r>
                      <m:rPr>
                        <m:sty m:val="p"/>
                      </m:rPr>
                      <m:t xml:space="preserve">+</m:t>
                    </m:r>
                    <m:f>
                      <m:num>
                        <m:r>
                          <m:rPr>
                            <m:sty m:val="p"/>
                          </m:rPr>
                          <m:t xml:space="preserve">1</m:t>
                        </m:r>
                      </m:num>
                      <m:den>
                        <m:sSub>
                          <m:e>
                            <m:r>
                              <m:t xml:space="preserve">n</m:t>
                            </m:r>
                          </m:e>
                          <m:sub>
                            <m:r>
                              <m:rPr>
                                <m:nor/>
                              </m:rPr>
                              <m:t xml:space="preserve">cal</m:t>
                            </m:r>
                          </m:sub>
                        </m:sSub>
                      </m:den>
                    </m:f>
                  </m:e>
                </m:d>
                <m:sSub>
                  <m:e>
                    <m:r>
                      <m:t xml:space="preserve">f</m:t>
                    </m:r>
                  </m:e>
                  <m:sub>
                    <m:r>
                      <m:t xml:space="preserve">e</m:t>
                    </m:r>
                  </m:sub>
                </m:sSub>
                <m:r>
                  <m:rPr>
                    <m:sty m:val="p"/>
                  </m:rPr>
                  <m:t xml:space="preserve">,</m:t>
                </m:r>
                <m:r>
                  <m:rPr>
                    <m:nor/>
                  </m:rPr>
                  <m:t xml:space="preserve">  </m:t>
                </m:r>
                <m:sSub>
                  <m:e>
                    <m:r>
                      <m:t xml:space="preserve">f</m:t>
                    </m:r>
                  </m:e>
                  <m:sub>
                    <m:r>
                      <m:t xml:space="preserve">e</m:t>
                    </m:r>
                  </m:sub>
                </m:sSub>
                <m:r>
                  <m:rPr>
                    <m:sty m:val="p"/>
                  </m:rPr>
                  <m:t xml:space="preserve">=</m:t>
                </m:r>
                <m:r>
                  <m:rPr>
                    <m:sty m:val="p"/>
                  </m:rPr>
                  <m:t xml:space="preserve">1</m:t>
                </m:r>
                <m:r>
                  <m:rPr>
                    <m:sty m:val="p"/>
                  </m:rPr>
                  <m:t xml:space="preserve">+</m:t>
                </m:r>
                <m:r>
                  <m:rPr>
                    <m:sty m:val="p"/>
                  </m:rPr>
                  <m:t xml:space="preserve">2</m:t>
                </m:r>
                <m:nary>
                  <m:naryPr>
                    <m:chr m:val="∑"/>
                    <m:limLoc m:val="undOvr"/>
                  </m:naryPr>
                  <m:sub>
                    <m:r>
                      <m:t xml:space="preserve">k</m:t>
                    </m:r>
                    <m:r>
                      <m:rPr>
                        <m:sty m:val="p"/>
                      </m:rPr>
                      <m:t xml:space="preserve">=</m:t>
                    </m:r>
                    <m:r>
                      <m:rPr>
                        <m:sty m:val="p"/>
                      </m:rPr>
                      <m:t xml:space="preserve">1</m:t>
                    </m:r>
                  </m:sub>
                  <m:sup>
                    <m:r>
                      <m:t xml:space="preserve">K</m:t>
                    </m:r>
                  </m:sup>
                  <m:e>
                    <m:sSub>
                      <m:e>
                        <m:r>
                          <m:t xml:space="preserve">r</m:t>
                        </m:r>
                      </m:e>
                      <m:sub>
                        <m:r>
                          <m:t xml:space="preserve">i</m:t>
                        </m:r>
                      </m:sub>
                    </m:sSub>
                    <m:r>
                      <m:rPr>
                        <m:sty m:val="p"/>
                      </m:rPr>
                      <m:t xml:space="preserve">(</m:t>
                    </m:r>
                    <m:r>
                      <m:t xml:space="preserve">k</m:t>
                    </m:r>
                    <m:r>
                      <m:rPr>
                        <m:sty m:val="p"/>
                      </m:rPr>
                      <m:t xml:space="preserve">)</m:t>
                    </m:r>
                    <m:r>
                      <m:rPr>
                        <m:nor/>
                      </m:rPr>
                      <m:t xml:space="preserve"> </m:t>
                    </m:r>
                    <m:sSub>
                      <m:e>
                        <m:r>
                          <m:t xml:space="preserve">r</m:t>
                        </m:r>
                      </m:e>
                      <m:sub>
                        <m:r>
                          <m:t xml:space="preserve">j</m:t>
                        </m:r>
                      </m:sub>
                    </m:sSub>
                    <m:r>
                      <m:rPr>
                        <m:sty m:val="p"/>
                      </m:rPr>
                      <m:t xml:space="preserve">(</m:t>
                    </m:r>
                    <m:r>
                      <m:t xml:space="preserve">k</m:t>
                    </m:r>
                    <m:r>
                      <m:rPr>
                        <m:sty m:val="p"/>
                      </m:rPr>
                      <m:t xml:space="preserve">)</m:t>
                    </m:r>
                  </m:e>
                </m:nary>
              </m:oMath>
            </m:oMathPara>
          </w:p>
        </w:tc>
        <w:tc>
          <w:tcPr>
            <w:tcW w:type="dxa" w:w="700"/>
            <w:vAlign w:val="center"/>
          </w:tcPr>
          <w:p>
            <w:pPr>
              <w:pStyle w:val="BodyText"/>
              <w:spacing w:before="60" w:after="60"/>
              <w:jc w:val="right"/>
            </w:pPr>
            <w:r>
              <w:t xml:space="preserve">(14)</w:t>
            </w:r>
          </w:p>
        </w:tc>
      </w:tr>
    </w:tbl>
    <w:p>
      <w:pPr>
        <w:pStyle w:val="BodyText"/>
      </w:pPr>
      <w:r>
        <w:t xml:space="preserve">with lag-</w:t>
      </w:r>
      <w:r>
        <w:rPr>
          <w:i/>
          <w:iCs/>
        </w:rPr>
        <w:t xml:space="preserve">k</w:t>
      </w:r>
      <w:r>
        <w:t xml:space="preserve"> autocorrelations </w:t>
      </w:r>
      <w:r>
        <w:rPr>
          <w:i/>
          <w:iCs/>
        </w:rPr>
        <w:t xml:space="preserve">r</w:t>
      </w:r>
      <w:r>
        <w:rPr>
          <w:i/>
          <w:iCs/>
          <w:vertAlign w:val="subscript"/>
        </w:rPr>
        <w:t xml:space="preserve">i</w:t>
      </w:r>
      <w:r>
        <w:t xml:space="preserve">(</w:t>
      </w:r>
      <w:r>
        <w:rPr>
          <w:i/>
          <w:iCs/>
        </w:rPr>
        <w:t xml:space="preserve">k</w:t>
      </w:r>
      <w:r>
        <w:t xml:space="preserve">)</w:t>
      </w:r>
      <w:r>
        <w:t xml:space="preserve"> of the binned streams estimated from the calibration record and </w:t>
      </w:r>
      <w:r>
        <w:rPr>
          <w:i/>
          <w:iCs/>
        </w:rPr>
        <w:t xml:space="preserve">K</w:t>
      </w:r>
      <w:r>
        <w:t xml:space="preserve">=10</w:t>
      </w:r>
      <w:r>
        <w:t xml:space="preserve">. The unit tests compare equation (12) with 20,000 random permutations of tie-heavy count series and with the binary case. Because </w:t>
      </w:r>
      <w:r>
        <w:rPr>
          <w:i/>
          <w:iCs/>
        </w:rPr>
        <w:t xml:space="preserve">τ̂</w:t>
      </w:r>
      <w:r>
        <w:rPr>
          <w:i/>
          <w:iCs/>
          <w:vertAlign w:val="subscript"/>
        </w:rPr>
        <w:t xml:space="preserve">b</w:t>
      </w:r>
      <w:r>
        <w:t xml:space="preserve"> is asymptotically normal, </w:t>
      </w:r>
      <w:r>
        <w:t xml:space="preserve">|Δ</w:t>
      </w:r>
      <w:r>
        <w:rPr>
          <w:i/>
          <w:iCs/>
          <w:vertAlign w:val="subscript"/>
        </w:rPr>
        <w:t xml:space="preserve">e</w:t>
      </w:r>
      <w:r>
        <w:t xml:space="preserve">|</w:t>
      </w:r>
      <w:r>
        <w:t xml:space="preserve"> is approximately half-normal, with mean </w:t>
      </w:r>
      <w:r>
        <w:t xml:space="preserve">(2/</w:t>
      </w:r>
      <w:r>
        <w:rPr>
          <w:i/>
          <w:iCs/>
        </w:rPr>
        <w:t xml:space="preserve">π</w:t>
      </w:r>
      <w:r>
        <w:t xml:space="preserve">)</w:t>
      </w:r>
      <w:r>
        <w:rPr>
          <w:vertAlign w:val="superscript"/>
        </w:rPr>
        <w:t xml:space="preserve">1/2</w:t>
      </w:r>
      <w:r>
        <w:rPr>
          <w:i/>
          <w:iCs/>
        </w:rPr>
        <w:t xml:space="preserve">σ</w:t>
      </w:r>
      <w:r>
        <w:rPr>
          <w:i/>
          <w:iCs/>
          <w:vertAlign w:val="subscript"/>
        </w:rPr>
        <w:t xml:space="preserve">e</w:t>
      </w:r>
      <w:r>
        <w:t xml:space="preserve"> and variance </w:t>
      </w:r>
      <w:r>
        <w:t xml:space="preserve">(1−2/</w:t>
      </w:r>
      <w:r>
        <w:rPr>
          <w:i/>
          <w:iCs/>
        </w:rPr>
        <w:t xml:space="preserve">π</w:t>
      </w:r>
      <w:r>
        <w:t xml:space="preserve">)</w:t>
      </w:r>
      <w:r>
        <w:rPr>
          <w:i/>
          <w:iCs/>
        </w:rPr>
        <w:t xml:space="preserve">σ</w:t>
      </w:r>
      <w:r>
        <w:rPr>
          <w:i/>
          <w:iCs/>
          <w:vertAlign w:val="subscript"/>
        </w:rPr>
        <w:t xml:space="preserve">e</w:t>
      </w:r>
      <w:r>
        <w:rPr>
          <w:vertAlign w:val="superscript"/>
        </w:rPr>
        <w:t xml:space="preserve">2</w:t>
      </w:r>
      <w:r>
        <w:t xml:space="preserve">, which gives </w:t>
      </w:r>
      <w:r>
        <w:rPr>
          <w:i/>
          <w:iCs/>
        </w:rPr>
        <w:t xml:space="preserve">E</w:t>
      </w:r>
      <w:r>
        <w:rPr>
          <w:vertAlign w:val="subscript"/>
        </w:rPr>
        <w:t xml:space="preserve">0</w:t>
      </w:r>
      <w:r>
        <w:t xml:space="preserve">[</w:t>
      </w:r>
      <w:r>
        <w:rPr>
          <w:i/>
          <w:iCs/>
        </w:rPr>
        <w:t xml:space="preserve">D</w:t>
      </w:r>
      <w:r>
        <w:rPr>
          <w:i/>
          <w:iCs/>
          <w:vertAlign w:val="subscript"/>
        </w:rPr>
        <w:t xml:space="preserve">E</w:t>
      </w:r>
      <w:r>
        <w:t xml:space="preserve">]</w:t>
      </w:r>
      <w:r>
        <w:t xml:space="preserve"> in equation (6) and </w:t>
      </w:r>
      <w:r>
        <w:t xml:space="preserve">SD</w:t>
      </w:r>
      <w:r>
        <w:rPr>
          <w:vertAlign w:val="subscript"/>
        </w:rPr>
        <w:t xml:space="preserve">0</w:t>
      </w:r>
      <w:r>
        <w:t xml:space="preserve">[</w:t>
      </w:r>
      <w:r>
        <w:rPr>
          <w:i/>
          <w:iCs/>
        </w:rPr>
        <w:t xml:space="preserve">D</w:t>
      </w:r>
      <w:r>
        <w:rPr>
          <w:i/>
          <w:iCs/>
          <w:vertAlign w:val="subscript"/>
        </w:rPr>
        <w:t xml:space="preserve">E</w:t>
      </w:r>
      <w:r>
        <w:t xml:space="preserve">]≈((1−2/</w:t>
      </w:r>
      <w:r>
        <w:rPr>
          <w:i/>
          <w:iCs/>
        </w:rPr>
        <w:t xml:space="preserve">π</w:t>
      </w:r>
      <w:r>
        <w:t xml:space="preserve">)Σ</w:t>
      </w:r>
      <w:r>
        <w:rPr>
          <w:i/>
          <w:iCs/>
          <w:vertAlign w:val="subscript"/>
        </w:rPr>
        <w:t xml:space="preserve">e</w:t>
      </w:r>
      <w:r>
        <w:rPr>
          <w:i/>
          <w:iCs/>
        </w:rPr>
        <w:t xml:space="preserve">σ</w:t>
      </w:r>
      <w:r>
        <w:rPr>
          <w:i/>
          <w:iCs/>
          <w:vertAlign w:val="subscript"/>
        </w:rPr>
        <w:t xml:space="preserve">e</w:t>
      </w:r>
      <w:r>
        <w:rPr>
          <w:vertAlign w:val="superscript"/>
        </w:rPr>
        <w:t xml:space="preserve">2</w:t>
      </w:r>
      <w:r>
        <w:t xml:space="preserve">)</w:t>
      </w:r>
      <w:r>
        <w:rPr>
          <w:vertAlign w:val="superscript"/>
        </w:rPr>
        <w:t xml:space="preserve">1/2</w:t>
      </w:r>
      <w:r>
        <w:t xml:space="preserve">/|</w:t>
      </w:r>
      <w:r>
        <w:rPr>
          <w:i/>
          <w:iCs/>
        </w:rPr>
        <w:t xml:space="preserve">E</w:t>
      </w:r>
      <w:r>
        <w:t xml:space="preserve">|</w:t>
      </w:r>
      <w:r>
        <w:t xml:space="preserve">. For mutually independent modules the errors of distinct pairs are uncorrelated to first order: two pairs that share module </w:t>
      </w:r>
      <w:r>
        <w:rPr>
          <w:i/>
          <w:iCs/>
        </w:rPr>
        <w:t xml:space="preserve">i</w:t>
      </w:r>
      <w:r>
        <w:t xml:space="preserve"> also involve modules </w:t>
      </w:r>
      <w:r>
        <w:rPr>
          <w:i/>
          <w:iCs/>
        </w:rPr>
        <w:t xml:space="preserve">j</w:t>
      </w:r>
      <w:r>
        <w:t xml:space="preserve">≠</w:t>
      </w:r>
      <w:r>
        <w:rPr>
          <w:i/>
          <w:iCs/>
        </w:rPr>
        <w:t xml:space="preserve">k</w:t>
      </w:r>
      <w:r>
        <w:t xml:space="preserve"> whose sign processes are independent of each other and of </w:t>
      </w:r>
      <w:r>
        <w:rPr>
          <w:i/>
          <w:iCs/>
        </w:rPr>
        <w:t xml:space="preserve">i</w:t>
      </w:r>
      <w:r>
        <w:t xml:space="preserve"> and have zero mean for stationary, time-reversible streams. </w:t>
      </w:r>
      <w:r>
        <w:t xml:space="preserve">Δ̄</w:t>
      </w:r>
      <w:r>
        <w:rPr>
          <w:i/>
          <w:iCs/>
          <w:vertAlign w:val="subscript"/>
        </w:rPr>
        <w:t xml:space="preserve">E</w:t>
      </w:r>
      <w:r>
        <w:t xml:space="preserve"> is then approximately normal with variance </w:t>
      </w:r>
      <w:r>
        <w:t xml:space="preserve">Σ</w:t>
      </w:r>
      <w:r>
        <w:rPr>
          <w:i/>
          <w:iCs/>
          <w:vertAlign w:val="subscript"/>
        </w:rPr>
        <w:t xml:space="preserve">e</w:t>
      </w:r>
      <w:r>
        <w:rPr>
          <w:i/>
          <w:iCs/>
        </w:rPr>
        <w:t xml:space="preserve">σ</w:t>
      </w:r>
      <w:r>
        <w:rPr>
          <w:i/>
          <w:iCs/>
          <w:vertAlign w:val="subscript"/>
        </w:rPr>
        <w:t xml:space="preserve">e</w:t>
      </w:r>
      <w:r>
        <w:rPr>
          <w:vertAlign w:val="superscript"/>
        </w:rPr>
        <w:t xml:space="preserve">2</w:t>
      </w:r>
      <w:r>
        <w:t xml:space="preserve">/|</w:t>
      </w:r>
      <w:r>
        <w:rPr>
          <w:i/>
          <w:iCs/>
        </w:rPr>
        <w:t xml:space="preserve">E</w:t>
      </w:r>
      <w:r>
        <w:t xml:space="preserve">|</w:t>
      </w:r>
      <w:r>
        <w:rPr>
          <w:vertAlign w:val="superscript"/>
        </w:rPr>
        <w:t xml:space="preserve">2</w:t>
      </w:r>
      <w:r>
        <w:t xml:space="preserve">, which gives </w:t>
      </w:r>
      <w:r>
        <w:rPr>
          <w:i/>
          <w:iCs/>
        </w:rPr>
        <w:t xml:space="preserve">E</w:t>
      </w:r>
      <w:r>
        <w:rPr>
          <w:vertAlign w:val="subscript"/>
        </w:rPr>
        <w:t xml:space="preserve">0</w:t>
      </w:r>
      <w:r>
        <w:t xml:space="preserve">|Δ̄</w:t>
      </w:r>
      <w:r>
        <w:rPr>
          <w:i/>
          <w:iCs/>
          <w:vertAlign w:val="subscript"/>
        </w:rPr>
        <w:t xml:space="preserve">E</w:t>
      </w:r>
      <w:r>
        <w:t xml:space="preserve">|</w:t>
      </w:r>
      <w:r>
        <w:t xml:space="preserve">, and the ratio of the two means gives </w:t>
      </w:r>
      <w:r>
        <w:rPr>
          <w:i/>
          <w:iCs/>
        </w:rPr>
        <w:t xml:space="preserve">κ</w:t>
      </w:r>
      <w:r>
        <w:rPr>
          <w:vertAlign w:val="subscript"/>
        </w:rPr>
        <w:t xml:space="preserve">0</w:t>
      </w:r>
      <w:r>
        <w:t xml:space="preserve">. By the Cauchy–Schwarz inequality </w:t>
      </w:r>
      <w:r>
        <w:t xml:space="preserve">(Σ</w:t>
      </w:r>
      <w:r>
        <w:rPr>
          <w:i/>
          <w:iCs/>
          <w:vertAlign w:val="subscript"/>
        </w:rPr>
        <w:t xml:space="preserve">e</w:t>
      </w:r>
      <w:r>
        <w:rPr>
          <w:i/>
          <w:iCs/>
        </w:rPr>
        <w:t xml:space="preserve">σ</w:t>
      </w:r>
      <w:r>
        <w:rPr>
          <w:i/>
          <w:iCs/>
          <w:vertAlign w:val="subscript"/>
        </w:rPr>
        <w:t xml:space="preserve">e</w:t>
      </w:r>
      <w:r>
        <w:rPr>
          <w:vertAlign w:val="superscript"/>
        </w:rPr>
        <w:t xml:space="preserve">2</w:t>
      </w:r>
      <w:r>
        <w:t xml:space="preserve">)</w:t>
      </w:r>
      <w:r>
        <w:rPr>
          <w:vertAlign w:val="superscript"/>
        </w:rPr>
        <w:t xml:space="preserve">1/2</w:t>
      </w:r>
      <w:r>
        <w:t xml:space="preserve">/Σ</w:t>
      </w:r>
      <w:r>
        <w:rPr>
          <w:i/>
          <w:iCs/>
          <w:vertAlign w:val="subscript"/>
        </w:rPr>
        <w:t xml:space="preserve">e</w:t>
      </w:r>
      <w:r>
        <w:rPr>
          <w:i/>
          <w:iCs/>
        </w:rPr>
        <w:t xml:space="preserve">σ</w:t>
      </w:r>
      <w:r>
        <w:rPr>
          <w:i/>
          <w:iCs/>
          <w:vertAlign w:val="subscript"/>
        </w:rPr>
        <w:t xml:space="preserve">e</w:t>
      </w:r>
      <w:r>
        <w:t xml:space="preserve">≥|</w:t>
      </w:r>
      <w:r>
        <w:rPr>
          <w:i/>
          <w:iCs/>
        </w:rPr>
        <w:t xml:space="preserve">E</w:t>
      </w:r>
      <w:r>
        <w:t xml:space="preserve">|</w:t>
      </w:r>
      <w:r>
        <w:rPr>
          <w:vertAlign w:val="superscript"/>
        </w:rPr>
        <w:t xml:space="preserve">−1/2</w:t>
      </w:r>
      <w:r>
        <w:t xml:space="preserve">, with equality when all </w:t>
      </w:r>
      <w:r>
        <w:rPr>
          <w:i/>
          <w:iCs/>
        </w:rPr>
        <w:t xml:space="preserve">σ</w:t>
      </w:r>
      <w:r>
        <w:rPr>
          <w:i/>
          <w:iCs/>
          <w:vertAlign w:val="subscript"/>
        </w:rPr>
        <w:t xml:space="preserve">e</w:t>
      </w:r>
      <w:r>
        <w:t xml:space="preserve"> are equal, so </w:t>
      </w:r>
      <w:r>
        <w:rPr>
          <w:i/>
          <w:iCs/>
        </w:rPr>
        <w:t xml:space="preserve">κ</w:t>
      </w:r>
      <w:r>
        <w:rPr>
          <w:vertAlign w:val="subscript"/>
        </w:rPr>
        <w:t xml:space="preserve">0</w:t>
      </w:r>
      <w:r>
        <w:t xml:space="preserve">≤1−|</w:t>
      </w:r>
      <w:r>
        <w:rPr>
          <w:i/>
          <w:iCs/>
        </w:rPr>
        <w:t xml:space="preserve">E</w:t>
      </w:r>
      <w:r>
        <w:t xml:space="preserve">|</w:t>
      </w:r>
      <w:r>
        <w:rPr>
          <w:vertAlign w:val="superscript"/>
        </w:rPr>
        <w:t xml:space="preserve">−1/2</w:t>
      </w:r>
      <w:r>
        <w:t xml:space="preserve"> to this order. When modules are coupled, errors of pairs that share a module are correlated, the variance of </w:t>
      </w:r>
      <w:r>
        <w:t xml:space="preserve">Δ̄</w:t>
      </w:r>
      <w:r>
        <w:rPr>
          <w:i/>
          <w:iCs/>
          <w:vertAlign w:val="subscript"/>
        </w:rPr>
        <w:t xml:space="preserve">E</w:t>
      </w:r>
      <w:r>
        <w:t xml:space="preserve"> is larger and </w:t>
      </w:r>
      <w:r>
        <w:rPr>
          <w:i/>
          <w:iCs/>
        </w:rPr>
        <w:t xml:space="preserve">κ</w:t>
      </w:r>
      <w:r>
        <w:rPr>
          <w:i/>
          <w:iCs/>
          <w:vertAlign w:val="subscript"/>
        </w:rPr>
        <w:t xml:space="preserve">E</w:t>
      </w:r>
      <w:r>
        <w:t xml:space="preserve"> without change is lower (0.74 in the coupled simulation against 0.75 for independent streams).</w:t>
      </w:r>
    </w:p>
    <w:p>
      <w:pPr>
        <w:pStyle w:val="Heading2"/>
      </w:pPr>
      <w:r>
        <w:t xml:space="preserve">Sensitivity to coherent change</w:t>
      </w:r>
    </w:p>
    <w:p>
      <w:pPr>
        <w:pStyle w:val="BodyText"/>
      </w:pPr>
      <w:r>
        <w:t xml:space="preserve">If </w:t>
      </w:r>
      <w:r>
        <w:t xml:space="preserve">Δ</w:t>
      </w:r>
      <w:r>
        <w:rPr>
          <w:i/>
          <w:iCs/>
          <w:vertAlign w:val="subscript"/>
        </w:rPr>
        <w:t xml:space="preserve">e</w:t>
      </w:r>
      <w:r>
        <w:t xml:space="preserve">∼</w:t>
      </w:r>
      <w:r>
        <w:rPr>
          <w:i/>
          <w:iCs/>
        </w:rPr>
        <w:t xml:space="preserve">N</w:t>
      </w:r>
      <w:r>
        <w:t xml:space="preserve">(</w:t>
      </w:r>
      <w:r>
        <w:rPr>
          <w:i/>
          <w:iCs/>
        </w:rPr>
        <w:t xml:space="preserve">δ</w:t>
      </w:r>
      <w:r>
        <w:t xml:space="preserve">,</w:t>
      </w:r>
      <w:r>
        <w:rPr>
          <w:i/>
          <w:iCs/>
        </w:rPr>
        <w:t xml:space="preserve">σ</w:t>
      </w:r>
      <w:r>
        <w:rPr>
          <w:vertAlign w:val="superscript"/>
        </w:rPr>
        <w:t xml:space="preserve">2</w:t>
      </w:r>
      <w:r>
        <w:t xml:space="preserve">)</w:t>
      </w:r>
      <w:r>
        <w:t xml:space="preserve"> on every edge, </w:t>
      </w:r>
      <w:r>
        <w:rPr>
          <w:i/>
          <w:iCs/>
        </w:rPr>
        <w:t xml:space="preserve">E</w:t>
      </w:r>
      <w:r>
        <w:t xml:space="preserve">|Δ</w:t>
      </w:r>
      <w:r>
        <w:rPr>
          <w:i/>
          <w:iCs/>
          <w:vertAlign w:val="subscript"/>
        </w:rPr>
        <w:t xml:space="preserve">e</w:t>
      </w:r>
      <w:r>
        <w:t xml:space="preserve">|=</w:t>
      </w:r>
      <w:r>
        <w:rPr>
          <w:i/>
          <w:iCs/>
        </w:rPr>
        <w:t xml:space="preserve">σh</w:t>
      </w:r>
      <w:r>
        <w:t xml:space="preserve">(</w:t>
      </w:r>
      <w:r>
        <w:rPr>
          <w:i/>
          <w:iCs/>
        </w:rPr>
        <w:t xml:space="preserve">δ</w:t>
      </w:r>
      <w:r>
        <w:t xml:space="preserve">/</w:t>
      </w:r>
      <w:r>
        <w:rPr>
          <w:i/>
          <w:iCs/>
        </w:rPr>
        <w:t xml:space="preserve">σ</w:t>
      </w:r>
      <w:r>
        <w:t xml:space="preserve">)</w:t>
      </w:r>
      <w:r>
        <w:t xml:space="preserve"> with </w:t>
      </w:r>
      <w:r>
        <w:rPr>
          <w:i/>
          <w:iCs/>
        </w:rPr>
        <w:t xml:space="preserve">h</w:t>
      </w:r>
      <w:r>
        <w:t xml:space="preserve"> as in equation (7); the expansion follows from </w:t>
      </w:r>
      <w:r>
        <w:t xml:space="preserve">exp(−</w:t>
      </w:r>
      <w:r>
        <w:rPr>
          <w:i/>
          <w:iCs/>
        </w:rPr>
        <w:t xml:space="preserve">u</w:t>
      </w:r>
      <w:r>
        <w:rPr>
          <w:vertAlign w:val="superscript"/>
        </w:rPr>
        <w:t xml:space="preserve">2</w:t>
      </w:r>
      <w:r>
        <w:t xml:space="preserve">/2)=1−</w:t>
      </w:r>
      <w:r>
        <w:rPr>
          <w:i/>
          <w:iCs/>
        </w:rPr>
        <w:t xml:space="preserve">u</w:t>
      </w:r>
      <w:r>
        <w:rPr>
          <w:vertAlign w:val="superscript"/>
        </w:rPr>
        <w:t xml:space="preserve">2</w:t>
      </w:r>
      <w:r>
        <w:t xml:space="preserve">/2+</w:t>
      </w:r>
      <w:r>
        <w:rPr>
          <w:i/>
          <w:iCs/>
        </w:rPr>
        <w:t xml:space="preserve">O</w:t>
      </w:r>
      <w:r>
        <w:t xml:space="preserve">(</w:t>
      </w:r>
      <w:r>
        <w:rPr>
          <w:i/>
          <w:iCs/>
        </w:rPr>
        <w:t xml:space="preserve">u</w:t>
      </w:r>
      <w:r>
        <w:rPr>
          <w:vertAlign w:val="superscript"/>
        </w:rPr>
        <w:t xml:space="preserve">4</w:t>
      </w:r>
      <w:r>
        <w:t xml:space="preserve">)</w:t>
      </w:r>
      <w:r>
        <w:t xml:space="preserve"> and </w:t>
      </w:r>
      <w:r>
        <w:t xml:space="preserve">2Φ(</w:t>
      </w:r>
      <w:r>
        <w:rPr>
          <w:i/>
          <w:iCs/>
        </w:rPr>
        <w:t xml:space="preserve">u</w:t>
      </w:r>
      <w:r>
        <w:t xml:space="preserve">)−1=2</w:t>
      </w:r>
      <w:r>
        <w:rPr>
          <w:i/>
          <w:iCs/>
        </w:rPr>
        <w:t xml:space="preserve">uφ</w:t>
      </w:r>
      <w:r>
        <w:t xml:space="preserve">(0)+</w:t>
      </w:r>
      <w:r>
        <w:rPr>
          <w:i/>
          <w:iCs/>
        </w:rPr>
        <w:t xml:space="preserve">O</w:t>
      </w:r>
      <w:r>
        <w:t xml:space="preserve">(</w:t>
      </w:r>
      <w:r>
        <w:rPr>
          <w:i/>
          <w:iCs/>
        </w:rPr>
        <w:t xml:space="preserve">u</w:t>
      </w:r>
      <w:r>
        <w:rPr>
          <w:vertAlign w:val="superscript"/>
        </w:rPr>
        <w:t xml:space="preserve">3</w:t>
      </w:r>
      <w:r>
        <w:t xml:space="preserve">)</w:t>
      </w:r>
      <w:r>
        <w:t xml:space="preserve">, with </w:t>
      </w:r>
      <w:r>
        <w:rPr>
          <w:i/>
          <w:iCs/>
        </w:rPr>
        <w:t xml:space="preserve">φ</w:t>
      </w:r>
      <w:r>
        <w:t xml:space="preserve">(0)=(2</w:t>
      </w:r>
      <w:r>
        <w:rPr>
          <w:i/>
          <w:iCs/>
        </w:rPr>
        <w:t xml:space="preserve">π</w:t>
      </w:r>
      <w:r>
        <w:t xml:space="preserve">)</w:t>
      </w:r>
      <w:r>
        <w:rPr>
          <w:vertAlign w:val="superscript"/>
        </w:rPr>
        <w:t xml:space="preserve">−1/2</w:t>
      </w:r>
      <w:r>
        <w:t xml:space="preserve">. The expected excess of </w:t>
      </w:r>
      <w:r>
        <w:rPr>
          <w:i/>
          <w:iCs/>
        </w:rPr>
        <w:t xml:space="preserve">D</w:t>
      </w:r>
      <w:r>
        <w:rPr>
          <w:i/>
          <w:iCs/>
          <w:vertAlign w:val="subscript"/>
        </w:rPr>
        <w:t xml:space="preserve">E</w:t>
      </w:r>
      <w:r>
        <w:t xml:space="preserve"> over its no-change value is therefore </w:t>
      </w:r>
      <w:r>
        <w:t xml:space="preserve">(2/</w:t>
      </w:r>
      <w:r>
        <w:rPr>
          <w:i/>
          <w:iCs/>
        </w:rPr>
        <w:t xml:space="preserve">π</w:t>
      </w:r>
      <w:r>
        <w:t xml:space="preserve">)</w:t>
      </w:r>
      <w:r>
        <w:rPr>
          <w:vertAlign w:val="superscript"/>
        </w:rPr>
        <w:t xml:space="preserve">1/2</w:t>
      </w:r>
      <w:r>
        <w:rPr>
          <w:i/>
          <w:iCs/>
        </w:rPr>
        <w:t xml:space="preserve">δ</w:t>
      </w:r>
      <w:r>
        <w:rPr>
          <w:vertAlign w:val="superscript"/>
        </w:rPr>
        <w:t xml:space="preserve">2</w:t>
      </w:r>
      <w:r>
        <w:t xml:space="preserve">/(2</w:t>
      </w:r>
      <w:r>
        <w:rPr>
          <w:i/>
          <w:iCs/>
        </w:rPr>
        <w:t xml:space="preserve">σ</w:t>
      </w:r>
      <w:r>
        <w:t xml:space="preserve">)</w:t>
      </w:r>
      <w:r>
        <w:t xml:space="preserve">, against a null standard deviation </w:t>
      </w:r>
      <w:r>
        <w:rPr>
          <w:i/>
          <w:iCs/>
        </w:rPr>
        <w:t xml:space="preserve">σ</w:t>
      </w:r>
      <w:r>
        <w:t xml:space="preserve">(1−2/</w:t>
      </w:r>
      <w:r>
        <w:rPr>
          <w:i/>
          <w:iCs/>
        </w:rPr>
        <w:t xml:space="preserve">π</w:t>
      </w:r>
      <w:r>
        <w:t xml:space="preserve">)</w:t>
      </w:r>
      <w:r>
        <w:rPr>
          <w:vertAlign w:val="superscript"/>
        </w:rPr>
        <w:t xml:space="preserve">1/2</w:t>
      </w:r>
      <w:r>
        <w:t xml:space="preserve">|</w:t>
      </w:r>
      <w:r>
        <w:rPr>
          <w:i/>
          <w:iCs/>
        </w:rPr>
        <w:t xml:space="preserve">E</w:t>
      </w:r>
      <w:r>
        <w:t xml:space="preserve">|</w:t>
      </w:r>
      <w:r>
        <w:rPr>
          <w:vertAlign w:val="superscript"/>
        </w:rPr>
        <w:t xml:space="preserve">−1/2</w:t>
      </w:r>
      <w:r>
        <w:t xml:space="preserve">, whereas the signed change grows by </w:t>
      </w:r>
      <w:r>
        <w:rPr>
          <w:i/>
          <w:iCs/>
        </w:rPr>
        <w:t xml:space="preserve">δ</w:t>
      </w:r>
      <w:r>
        <w:t xml:space="preserve"> against a null standard deviation </w:t>
      </w:r>
      <w:r>
        <w:rPr>
          <w:i/>
          <w:iCs/>
        </w:rPr>
        <w:t xml:space="preserve">σ</w:t>
      </w:r>
      <w:r>
        <w:t xml:space="preserve">|</w:t>
      </w:r>
      <w:r>
        <w:rPr>
          <w:i/>
          <w:iCs/>
        </w:rPr>
        <w:t xml:space="preserve">E</w:t>
      </w:r>
      <w:r>
        <w:t xml:space="preserve">|</w:t>
      </w:r>
      <w:r>
        <w:rPr>
          <w:vertAlign w:val="superscript"/>
        </w:rPr>
        <w:t xml:space="preserve">−1/2</w:t>
      </w:r>
      <w:r>
        <w:t xml:space="preserve">. With </w:t>
      </w:r>
      <w:r>
        <w:rPr>
          <w:i/>
          <w:iCs/>
        </w:rPr>
        <w:t xml:space="preserve">u</w:t>
      </w:r>
      <w:r>
        <w:t xml:space="preserve">=</w:t>
      </w:r>
      <w:r>
        <w:rPr>
          <w:i/>
          <w:iCs/>
        </w:rPr>
        <w:t xml:space="preserve">δ</w:t>
      </w:r>
      <w:r>
        <w:t xml:space="preserve">/</w:t>
      </w:r>
      <w:r>
        <w:rPr>
          <w:i/>
          <w:iCs/>
        </w:rPr>
        <w:t xml:space="preserve">σ</w:t>
      </w:r>
      <w:r>
        <w:t xml:space="preserve">, the standardized separations are </w:t>
      </w:r>
      <w:r>
        <w:t xml:space="preserve">|</w:t>
      </w:r>
      <w:r>
        <w:rPr>
          <w:i/>
          <w:iCs/>
        </w:rPr>
        <w:t xml:space="preserve">E</w:t>
      </w:r>
      <w:r>
        <w:t xml:space="preserve">|</w:t>
      </w:r>
      <w:r>
        <w:rPr>
          <w:vertAlign w:val="superscript"/>
        </w:rPr>
        <w:t xml:space="preserve">1/2</w:t>
      </w:r>
      <w:r>
        <w:rPr>
          <w:i/>
          <w:iCs/>
        </w:rPr>
        <w:t xml:space="preserve">u</w:t>
      </w:r>
      <w:r>
        <w:rPr>
          <w:vertAlign w:val="superscript"/>
        </w:rPr>
        <w:t xml:space="preserve">2</w:t>
      </w:r>
      <w:r>
        <w:t xml:space="preserve">/(2(</w:t>
      </w:r>
      <w:r>
        <w:rPr>
          <w:i/>
          <w:iCs/>
        </w:rPr>
        <w:t xml:space="preserve">π</w:t>
      </w:r>
      <w:r>
        <w:t xml:space="preserve">/2−1)</w:t>
      </w:r>
      <w:r>
        <w:rPr>
          <w:vertAlign w:val="superscript"/>
        </w:rPr>
        <w:t xml:space="preserve">1/2</w:t>
      </w:r>
      <w:r>
        <w:t xml:space="preserve">)</w:t>
      </w:r>
      <w:r>
        <w:t xml:space="preserve"> for </w:t>
      </w:r>
      <w:r>
        <w:rPr>
          <w:i/>
          <w:iCs/>
        </w:rPr>
        <w:t xml:space="preserve">D</w:t>
      </w:r>
      <w:r>
        <w:rPr>
          <w:i/>
          <w:iCs/>
          <w:vertAlign w:val="subscript"/>
        </w:rPr>
        <w:t xml:space="preserve">E</w:t>
      </w:r>
      <w:r>
        <w:t xml:space="preserve"> and </w:t>
      </w:r>
      <w:r>
        <w:t xml:space="preserve">|</w:t>
      </w:r>
      <w:r>
        <w:rPr>
          <w:i/>
          <w:iCs/>
        </w:rPr>
        <w:t xml:space="preserve">E</w:t>
      </w:r>
      <w:r>
        <w:t xml:space="preserve">|</w:t>
      </w:r>
      <w:r>
        <w:rPr>
          <w:vertAlign w:val="superscript"/>
        </w:rPr>
        <w:t xml:space="preserve">1/2</w:t>
      </w:r>
      <w:r>
        <w:rPr>
          <w:i/>
          <w:iCs/>
        </w:rPr>
        <w:t xml:space="preserve">u</w:t>
      </w:r>
      <w:r>
        <w:t xml:space="preserve"> for the signed control, so the signed control separates weak coherent change better; the leading-order expressions cross at </w:t>
      </w:r>
      <w:r>
        <w:rPr>
          <w:i/>
          <w:iCs/>
        </w:rPr>
        <w:t xml:space="preserve">u</w:t>
      </w:r>
      <w:r>
        <w:t xml:space="preserve">=2(</w:t>
      </w:r>
      <w:r>
        <w:rPr>
          <w:i/>
          <w:iCs/>
        </w:rPr>
        <w:t xml:space="preserve">π</w:t>
      </w:r>
      <w:r>
        <w:t xml:space="preserve">/2−1)</w:t>
      </w:r>
      <w:r>
        <w:rPr>
          <w:vertAlign w:val="superscript"/>
        </w:rPr>
        <w:t xml:space="preserve">1/2</w:t>
      </w:r>
      <w:r>
        <w:t xml:space="preserve">≈1.51</w:t>
      </w:r>
      <w:r>
        <w:t xml:space="preserve">. For balanced change the signed control has no separation at all.</w:t>
      </w:r>
    </w:p>
    <w:p>
      <w:pPr>
        <w:pStyle w:val="Heading2"/>
      </w:pPr>
      <w:r>
        <w:t xml:space="preserve">Conformal alarm rule</w:t>
      </w:r>
    </w:p>
    <w:p>
      <w:pPr>
        <w:pStyle w:val="BodyText"/>
        <w:keepNext/>
      </w:pPr>
      <w:r>
        <w:t xml:space="preserve">Let windows </w:t>
      </w:r>
      <w:r>
        <w:t xml:space="preserve">1,…,</w:t>
      </w:r>
      <w:r>
        <w:rPr>
          <w:i/>
          <w:iCs/>
        </w:rPr>
        <w:t xml:space="preserve">n</w:t>
      </w:r>
      <w:r>
        <w:rPr>
          <w:vertAlign w:val="subscript"/>
        </w:rPr>
        <w:t xml:space="preserve">cal</w:t>
      </w:r>
      <w:r>
        <w:t xml:space="preserve"> be the calibration windows and window </w:t>
      </w:r>
      <w:r>
        <w:rPr>
          <w:i/>
          <w:iCs/>
        </w:rPr>
        <w:t xml:space="preserve">n</w:t>
      </w:r>
      <w:r>
        <w:rPr>
          <w:vertAlign w:val="subscript"/>
        </w:rPr>
        <w:t xml:space="preserve">cal</w:t>
      </w:r>
      <w:r>
        <w:t xml:space="preserve">+1</w:t>
      </w:r>
      <w:r>
        <w:t xml:space="preserve"> the monitored one. Each of the </w:t>
      </w:r>
      <w:r>
        <w:rPr>
          <w:i/>
          <w:iCs/>
        </w:rPr>
        <w:t xml:space="preserve">n</w:t>
      </w:r>
      <w:r>
        <w:rPr>
          <w:vertAlign w:val="subscript"/>
        </w:rPr>
        <w:t xml:space="preserve">cal</w:t>
      </w:r>
      <w:r>
        <w:t xml:space="preserve">+1</w:t>
      </w:r>
      <w:r>
        <w:t xml:space="preserve"> windows receives the score</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
                  <m:e>
                    <m:r>
                      <m:t xml:space="preserve">s</m:t>
                    </m:r>
                  </m:e>
                  <m:sub>
                    <m:r>
                      <m:t xml:space="preserve">k</m:t>
                    </m:r>
                  </m:sub>
                </m:sSub>
                <m:r>
                  <m:rPr>
                    <m:sty m:val="p"/>
                  </m:rPr>
                  <m:t xml:space="preserve">=</m:t>
                </m:r>
                <m:f>
                  <m:num>
                    <m:r>
                      <m:rPr>
                        <m:sty m:val="p"/>
                      </m:rPr>
                      <m:t xml:space="preserve">1</m:t>
                    </m:r>
                  </m:num>
                  <m:den>
                    <m:d>
                      <m:dPr>
                        <m:begChr m:val="|"/>
                        <m:endChr m:val="|"/>
                      </m:dPr>
                      <m:e>
                        <m:r>
                          <m:t xml:space="preserve">E</m:t>
                        </m:r>
                      </m:e>
                    </m:d>
                  </m:den>
                </m:f>
                <m:nary>
                  <m:naryPr>
                    <m:chr m:val="∑"/>
                    <m:limLoc m:val="undOvr"/>
                    <m:supHide m:val="1"/>
                  </m:naryPr>
                  <m:sub>
                    <m:r>
                      <m:t xml:space="preserve">e</m:t>
                    </m:r>
                    <m:r>
                      <m:rPr>
                        <m:sty m:val="p"/>
                      </m:rPr>
                      <m:t xml:space="preserve">∈</m:t>
                    </m:r>
                    <m:r>
                      <m:t xml:space="preserve">E</m:t>
                    </m:r>
                  </m:sub>
                  <m:sup/>
                  <m:e>
                    <m:d>
                      <m:dPr>
                        <m:begChr m:val="|"/>
                        <m:endChr m:val="|"/>
                      </m:dPr>
                      <m:e>
                        <m:sSubSup>
                          <m:e>
                            <m:r>
                              <m:t xml:space="preserve">τ</m:t>
                            </m:r>
                          </m:e>
                          <m:sub>
                            <m:r>
                              <m:t xml:space="preserve">b</m:t>
                            </m:r>
                          </m:sub>
                          <m:sup>
                            <m:r>
                              <m:rPr>
                                <m:sty m:val="p"/>
                              </m:rPr>
                              <m:t xml:space="preserve">(</m:t>
                            </m:r>
                            <m:r>
                              <m:t xml:space="preserve">e</m:t>
                            </m:r>
                            <m:r>
                              <m:rPr>
                                <m:sty m:val="p"/>
                              </m:rPr>
                              <m:t xml:space="preserve">)</m:t>
                            </m:r>
                          </m:sup>
                        </m:sSubSup>
                        <m:r>
                          <m:rPr>
                            <m:sty m:val="p"/>
                          </m:rPr>
                          <m:t xml:space="preserve">(</m:t>
                        </m:r>
                        <m:r>
                          <m:t xml:space="preserve">k</m:t>
                        </m:r>
                        <m:r>
                          <m:rPr>
                            <m:sty m:val="p"/>
                          </m:rPr>
                          <m:t xml:space="preserve">)</m:t>
                        </m:r>
                        <m:r>
                          <m:rPr>
                            <m:sty m:val="p"/>
                          </m:rPr>
                          <m:t xml:space="preserve">−</m:t>
                        </m:r>
                        <m:f>
                          <m:num>
                            <m:r>
                              <m:rPr>
                                <m:sty m:val="p"/>
                              </m:rPr>
                              <m:t xml:space="preserve">1</m:t>
                            </m:r>
                          </m:num>
                          <m:den>
                            <m:sSub>
                              <m:e>
                                <m:r>
                                  <m:t xml:space="preserve">n</m:t>
                                </m:r>
                              </m:e>
                              <m:sub>
                                <m:r>
                                  <m:rPr>
                                    <m:nor/>
                                  </m:rPr>
                                  <m:t xml:space="preserve">cal</m:t>
                                </m:r>
                              </m:sub>
                            </m:sSub>
                          </m:den>
                        </m:f>
                        <m:nary>
                          <m:naryPr>
                            <m:chr m:val="∑"/>
                            <m:limLoc m:val="undOvr"/>
                            <m:supHide m:val="1"/>
                          </m:naryPr>
                          <m:sub>
                            <m:r>
                              <m:t xml:space="preserve">v</m:t>
                            </m:r>
                            <m:r>
                              <m:rPr>
                                <m:sty m:val="p"/>
                              </m:rPr>
                              <m:t xml:space="preserve">≠</m:t>
                            </m:r>
                            <m:r>
                              <m:t xml:space="preserve">k</m:t>
                            </m:r>
                          </m:sub>
                          <m:sup/>
                          <m:e>
                            <m:sSubSup>
                              <m:e>
                                <m:r>
                                  <m:t xml:space="preserve">τ</m:t>
                                </m:r>
                              </m:e>
                              <m:sub>
                                <m:r>
                                  <m:t xml:space="preserve">b</m:t>
                                </m:r>
                              </m:sub>
                              <m:sup>
                                <m:r>
                                  <m:rPr>
                                    <m:sty m:val="p"/>
                                  </m:rPr>
                                  <m:t xml:space="preserve">(</m:t>
                                </m:r>
                                <m:r>
                                  <m:t xml:space="preserve">e</m:t>
                                </m:r>
                                <m:r>
                                  <m:rPr>
                                    <m:sty m:val="p"/>
                                  </m:rPr>
                                  <m:t xml:space="preserve">)</m:t>
                                </m:r>
                              </m:sup>
                            </m:sSubSup>
                            <m:r>
                              <m:rPr>
                                <m:sty m:val="p"/>
                              </m:rPr>
                              <m:t xml:space="preserve">(</m:t>
                            </m:r>
                            <m:r>
                              <m:t xml:space="preserve">v</m:t>
                            </m:r>
                            <m:r>
                              <m:rPr>
                                <m:sty m:val="p"/>
                              </m:rPr>
                              <m:t xml:space="preserve">)</m:t>
                            </m:r>
                          </m:e>
                        </m:nary>
                      </m:e>
                    </m:d>
                  </m:e>
                </m:nary>
                <m:r>
                  <m:rPr>
                    <m:sty m:val="p"/>
                  </m:rPr>
                  <m:t xml:space="preserve">,</m:t>
                </m:r>
                <m:r>
                  <m:rPr>
                    <m:nor/>
                  </m:rPr>
                  <m:t xml:space="preserve">  </m:t>
                </m:r>
                <m:r>
                  <m:t xml:space="preserve">k</m:t>
                </m:r>
                <m:r>
                  <m:rPr>
                    <m:sty m:val="p"/>
                  </m:rPr>
                  <m:t xml:space="preserve">=</m:t>
                </m:r>
                <m:r>
                  <m:rPr>
                    <m:sty m:val="p"/>
                  </m:rPr>
                  <m:t xml:space="preserve">1</m:t>
                </m:r>
                <m:r>
                  <m:rPr>
                    <m:sty m:val="p"/>
                  </m:rPr>
                  <m:t xml:space="preserve">,</m:t>
                </m:r>
                <m:r>
                  <m:rPr>
                    <m:sty m:val="p"/>
                  </m:rPr>
                  <m:t xml:space="preserve">…</m:t>
                </m:r>
                <m:r>
                  <m:rPr>
                    <m:sty m:val="p"/>
                  </m:rPr>
                  <m:t xml:space="preserve">,</m:t>
                </m:r>
                <m:sSub>
                  <m:e>
                    <m:r>
                      <m:t xml:space="preserve">n</m:t>
                    </m:r>
                  </m:e>
                  <m:sub>
                    <m:r>
                      <m:rPr>
                        <m:nor/>
                      </m:rPr>
                      <m:t xml:space="preserve">cal</m:t>
                    </m:r>
                  </m:sub>
                </m:sSub>
                <m:r>
                  <m:rPr>
                    <m:sty m:val="p"/>
                  </m:rPr>
                  <m:t xml:space="preserve">+</m:t>
                </m:r>
                <m:r>
                  <m:rPr>
                    <m:sty m:val="p"/>
                  </m:rPr>
                  <m:t xml:space="preserve">1</m:t>
                </m:r>
              </m:oMath>
            </m:oMathPara>
          </w:p>
        </w:tc>
        <w:tc>
          <w:tcPr>
            <w:tcW w:type="dxa" w:w="700"/>
            <w:vAlign w:val="center"/>
          </w:tcPr>
          <w:p>
            <w:pPr>
              <w:pStyle w:val="BodyText"/>
              <w:spacing w:before="60" w:after="60"/>
              <w:jc w:val="right"/>
            </w:pPr>
            <w:r>
              <w:t xml:space="preserve">(15)</w:t>
            </w:r>
          </w:p>
        </w:tc>
      </w:tr>
    </w:tbl>
    <w:p>
      <w:pPr>
        <w:pStyle w:val="BodyText"/>
      </w:pPr>
      <w:r>
        <w:t xml:space="preserve">where </w:t>
      </w:r>
      <w:r>
        <w:rPr>
          <w:i/>
          <w:iCs/>
        </w:rPr>
        <w:t xml:space="preserve">v</w:t>
      </w:r>
      <w:r>
        <w:t xml:space="preserve"> runs over the other </w:t>
      </w:r>
      <w:r>
        <w:rPr>
          <w:i/>
          <w:iCs/>
        </w:rPr>
        <w:t xml:space="preserve">n</w:t>
      </w:r>
      <w:r>
        <w:rPr>
          <w:vertAlign w:val="subscript"/>
        </w:rPr>
        <w:t xml:space="preserve">cal</w:t>
      </w:r>
      <w:r>
        <w:t xml:space="preserve"> windows, so that </w:t>
      </w:r>
      <w:r>
        <w:rPr>
          <w:i/>
          <w:iCs/>
        </w:rPr>
        <w:t xml:space="preserve">s</w:t>
      </w:r>
      <w:r>
        <w:rPr>
          <w:i/>
          <w:iCs/>
          <w:vertAlign w:val="subscript"/>
        </w:rPr>
        <w:t xml:space="preserve">n</w:t>
      </w:r>
      <w:r>
        <w:rPr>
          <w:vertAlign w:val="subscript"/>
        </w:rPr>
        <w:t xml:space="preserve">cal+1</w:t>
      </w:r>
      <w:r>
        <w:t xml:space="preserve">=</w:t>
      </w:r>
      <w:r>
        <w:rPr>
          <w:i/>
          <w:iCs/>
        </w:rPr>
        <w:t xml:space="preserve">D</w:t>
      </w:r>
      <w:r>
        <w:rPr>
          <w:i/>
          <w:iCs/>
          <w:vertAlign w:val="subscript"/>
        </w:rPr>
        <w:t xml:space="preserve">E</w:t>
      </w:r>
      <w:r>
        <w:t xml:space="preserve">(</w:t>
      </w:r>
      <w:r>
        <w:rPr>
          <w:i/>
          <w:iCs/>
        </w:rPr>
        <w:t xml:space="preserve">t</w:t>
      </w:r>
      <w:r>
        <w:t xml:space="preserve">)</w:t>
      </w:r>
      <w:r>
        <w:t xml:space="preserve"> exactly. Each score is a symmetric function of the other windows; if the </w:t>
      </w:r>
      <w:r>
        <w:rPr>
          <w:i/>
          <w:iCs/>
        </w:rPr>
        <w:t xml:space="preserve">n</w:t>
      </w:r>
      <w:r>
        <w:rPr>
          <w:vertAlign w:val="subscript"/>
        </w:rPr>
        <w:t xml:space="preserve">cal</w:t>
      </w:r>
      <w:r>
        <w:t xml:space="preserve">+1</w:t>
      </w:r>
      <w:r>
        <w:t xml:space="preserve"> window matrices are exchangeable, so are the scores, the rank of the monitored score among them is uniform, and the p-value of equation (8) satisfies </w:t>
      </w:r>
      <w:r>
        <w:t xml:space="preserve">Pr(</w:t>
      </w:r>
      <w:r>
        <w:rPr>
          <w:i/>
          <w:iCs/>
        </w:rPr>
        <w:t xml:space="preserve">p</w:t>
      </w:r>
      <w:r>
        <w:rPr>
          <w:i/>
          <w:iCs/>
          <w:vertAlign w:val="subscript"/>
        </w:rPr>
        <w:t xml:space="preserve">D</w:t>
      </w:r>
      <w:r>
        <w:t xml:space="preserve">≤</w:t>
      </w:r>
      <w:r>
        <w:rPr>
          <w:i/>
          <w:iCs/>
        </w:rPr>
        <w:t xml:space="preserve">α</w:t>
      </w:r>
      <w:r>
        <w:t xml:space="preserve">)≤</w:t>
      </w:r>
      <w:r>
        <w:rPr>
          <w:i/>
          <w:iCs/>
        </w:rPr>
        <w:t xml:space="preserve">α</w:t>
      </w:r>
      <w:r>
        <w:rPr>
          <w:vertAlign w:val="superscript"/>
        </w:rPr>
        <w:t xml:space="preserve">12</w:t>
      </w:r>
      <w:r>
        <w:t xml:space="preserve">. With </w:t>
      </w:r>
      <w:r>
        <w:rPr>
          <w:i/>
          <w:iCs/>
        </w:rPr>
        <w:t xml:space="preserve">n</w:t>
      </w:r>
      <w:r>
        <w:rPr>
          <w:vertAlign w:val="subscript"/>
        </w:rPr>
        <w:t xml:space="preserve">cal</w:t>
      </w:r>
      <w:r>
        <w:t xml:space="preserve">=39</w:t>
      </w:r>
      <w:r>
        <w:t xml:space="preserve"> and </w:t>
      </w:r>
      <w:r>
        <w:rPr>
          <w:i/>
          <w:iCs/>
        </w:rPr>
        <w:t xml:space="preserve">α</w:t>
      </w:r>
      <w:r>
        <w:t xml:space="preserve">=0.05</w:t>
      </w:r>
      <w:r>
        <w:t xml:space="preserve">, the alarm fires when </w:t>
      </w:r>
      <w:r>
        <w:rPr>
          <w:i/>
          <w:iCs/>
        </w:rPr>
        <w:t xml:space="preserve">D</w:t>
      </w:r>
      <w:r>
        <w:rPr>
          <w:i/>
          <w:iCs/>
          <w:vertAlign w:val="subscript"/>
        </w:rPr>
        <w:t xml:space="preserve">E</w:t>
      </w:r>
      <w:r>
        <w:t xml:space="preserve">(</w:t>
      </w:r>
      <w:r>
        <w:rPr>
          <w:i/>
          <w:iCs/>
        </w:rPr>
        <w:t xml:space="preserve">t</w:t>
      </w:r>
      <w:r>
        <w:t xml:space="preserve">)</w:t>
      </w:r>
      <w:r>
        <w:t xml:space="preserve"> exceeds all but at most one calibration score. Replacing the mean absolute deviation by the absolute mean deviation gives the signed controls on </w:t>
      </w:r>
      <w:r>
        <w:rPr>
          <w:i/>
          <w:iCs/>
        </w:rPr>
        <w:t xml:space="preserve">E</w:t>
      </w:r>
      <w:r>
        <w:t xml:space="preserve"> and on </w:t>
      </w:r>
      <w:r>
        <w:rPr>
          <w:i/>
          <w:iCs/>
        </w:rPr>
        <w:t xml:space="preserve">P</w:t>
      </w:r>
      <w:r>
        <w:t xml:space="preserve">. Consecutive windows of a stationary process are only approximately exchangeable; in the simulations, latent states persisted for about 33 ticks against windows of 600 ticks, and the empirical false-alarm rates were within binomial error of </w:t>
      </w:r>
      <w:r>
        <w:rPr>
          <w:i/>
          <w:iCs/>
        </w:rPr>
        <w:t xml:space="preserve">α</w:t>
      </w:r>
      <w:r>
        <w:t xml:space="preserve">.</w:t>
      </w:r>
    </w:p>
    <w:p>
      <w:pPr>
        <w:pStyle w:val="Heading2"/>
      </w:pPr>
      <w:r>
        <w:t xml:space="preserve">Simulation model and protocol</w:t>
      </w:r>
    </w:p>
    <w:p>
      <w:pPr>
        <w:pStyle w:val="BodyText"/>
        <w:keepNext/>
      </w:pPr>
      <w:r>
        <w:t xml:space="preserve">Module </w:t>
      </w:r>
      <w:r>
        <w:rPr>
          <w:i/>
          <w:iCs/>
        </w:rPr>
        <w:t xml:space="preserve">i</w:t>
      </w:r>
      <w:r>
        <w:t xml:space="preserve"> emits an event at tick </w:t>
      </w:r>
      <w:r>
        <w:rPr>
          <w:i/>
          <w:iCs/>
        </w:rPr>
        <w:t xml:space="preserve">t</w:t>
      </w:r>
      <w:r>
        <w:t xml:space="preserve"> with probability</w:t>
      </w:r>
    </w:p>
    <w:tbl>
      <w:tblPr>
        <w:tblW w:type="dxa" w:w="9360"/>
        <w:jc w:val="center"/>
        <w:tblBorders>
          <w:top w:val="nil"/>
          <w:left w:val="nil"/>
          <w:bottom w:val="nil"/>
          <w:right w:val="nil"/>
          <w:insideH w:val="nil"/>
          <w:insideV w:val="nil"/>
        </w:tblBorders>
        <w:tblLayout w:type="fixed"/>
        <w:tblCellMar>
          <w:left w:w="0" w:type="dxa"/>
          <w:right w:w="0" w:type="dxa"/>
        </w:tblCellMar>
      </w:tblPr>
      <w:tblGrid>
        <w:gridCol w:w="8660"/>
        <w:gridCol w:w="700"/>
      </w:tblGrid>
      <w:tr>
        <w:trPr>
          <w:cantSplit/>
        </w:trPr>
        <w:tc>
          <w:tcPr>
            <w:tcW w:type="dxa" w:w="8660"/>
            <w:vAlign w:val="center"/>
          </w:tcPr>
          <w:p>
            <w:pPr>
              <w:pStyle w:val="BodyText"/>
              <w:keepLines/>
              <w:spacing w:before="60" w:after="60"/>
              <w:jc w:val="center"/>
            </w:pPr>
            <m:oMathPara>
              <m:oMathParaPr>
                <m:jc m:val="center"/>
              </m:oMathParaPr>
              <m:oMath>
                <m:sSub>
                  <m:e>
                    <m:r>
                      <m:t xml:space="preserve">λ</m:t>
                    </m:r>
                  </m:e>
                  <m:sub>
                    <m:r>
                      <m:t xml:space="preserve">i</m:t>
                    </m:r>
                  </m:sub>
                </m:sSub>
                <m:r>
                  <m:rPr>
                    <m:sty m:val="p"/>
                  </m:rPr>
                  <m:t xml:space="preserve">(</m:t>
                </m:r>
                <m:r>
                  <m:t xml:space="preserve">t</m:t>
                </m:r>
                <m:r>
                  <m:rPr>
                    <m:sty m:val="p"/>
                  </m:rPr>
                  <m:t xml:space="preserve">)</m:t>
                </m:r>
                <m:r>
                  <m:rPr>
                    <m:sty m:val="p"/>
                  </m:rPr>
                  <m:t xml:space="preserve">=</m:t>
                </m:r>
                <m:r>
                  <m:rPr>
                    <m:nor/>
                  </m:rPr>
                  <m:t xml:space="preserve">min</m:t>
                </m:r>
                <m:d>
                  <m:dPr>
                    <m:begChr m:val="("/>
                    <m:endChr m:val=")"/>
                  </m:dPr>
                  <m:e>
                    <m:r>
                      <m:rPr>
                        <m:sty m:val="p"/>
                      </m:rPr>
                      <m:t xml:space="preserve">1</m:t>
                    </m:r>
                    <m:r>
                      <m:rPr>
                        <m:sty m:val="p"/>
                      </m:rPr>
                      <m:t xml:space="preserve">,</m:t>
                    </m:r>
                    <m:r>
                      <m:rPr>
                        <m:nor/>
                      </m:rPr>
                      <m:t xml:space="preserve"> </m:t>
                    </m:r>
                    <m:r>
                      <m:rPr>
                        <m:nor/>
                      </m:rPr>
                      <m:t xml:space="preserve">max</m:t>
                    </m:r>
                    <m:d>
                      <m:dPr>
                        <m:begChr m:val="("/>
                        <m:endChr m:val=")"/>
                      </m:dPr>
                      <m:e>
                        <m:r>
                          <m:rPr>
                            <m:sty m:val="p"/>
                          </m:rPr>
                          <m:t xml:space="preserve">0</m:t>
                        </m:r>
                        <m:r>
                          <m:rPr>
                            <m:sty m:val="p"/>
                          </m:rPr>
                          <m:t xml:space="preserve">,</m:t>
                        </m:r>
                        <m:r>
                          <m:rPr>
                            <m:nor/>
                          </m:rPr>
                          <m:t xml:space="preserve"> </m:t>
                        </m:r>
                        <m:sSub>
                          <m:e>
                            <m:r>
                              <m:t xml:space="preserve">p</m:t>
                            </m:r>
                          </m:e>
                          <m:sub>
                            <m:r>
                              <m:t xml:space="preserve">i</m:t>
                            </m:r>
                          </m:sub>
                        </m:sSub>
                        <m:d>
                          <m:dPr>
                            <m:begChr m:val="("/>
                            <m:endChr m:val=")"/>
                          </m:dPr>
                          <m:e>
                            <m:r>
                              <m:rPr>
                                <m:sty m:val="p"/>
                              </m:rPr>
                              <m:t xml:space="preserve">1</m:t>
                            </m:r>
                            <m:r>
                              <m:rPr>
                                <m:sty m:val="p"/>
                              </m:rPr>
                              <m:t xml:space="preserve">+</m:t>
                            </m:r>
                            <m:r>
                              <m:t xml:space="preserve">a</m:t>
                            </m:r>
                            <m:nary>
                              <m:naryPr>
                                <m:chr m:val="∑"/>
                                <m:limLoc m:val="undOvr"/>
                                <m:supHide m:val="1"/>
                              </m:naryPr>
                              <m:sub>
                                <m:r>
                                  <m:t xml:space="preserve">e</m:t>
                                </m:r>
                                <m:r>
                                  <m:rPr>
                                    <m:sty m:val="p"/>
                                  </m:rPr>
                                  <m:t xml:space="preserve">∋</m:t>
                                </m:r>
                                <m:r>
                                  <m:t xml:space="preserve">i</m:t>
                                </m:r>
                              </m:sub>
                              <m:sup/>
                              <m:e>
                                <m:sSub>
                                  <m:e>
                                    <m:r>
                                      <m:t xml:space="preserve">w</m:t>
                                    </m:r>
                                  </m:e>
                                  <m:sub>
                                    <m:r>
                                      <m:t xml:space="preserve">i</m:t>
                                    </m:r>
                                    <m:r>
                                      <m:t xml:space="preserve">e</m:t>
                                    </m:r>
                                  </m:sub>
                                </m:sSub>
                                <m:r>
                                  <m:rPr>
                                    <m:nor/>
                                  </m:rPr>
                                  <m:t xml:space="preserve"> </m:t>
                                </m:r>
                                <m:sSub>
                                  <m:e>
                                    <m:r>
                                      <m:t xml:space="preserve">c</m:t>
                                    </m:r>
                                  </m:e>
                                  <m:sub>
                                    <m:r>
                                      <m:t xml:space="preserve">e</m:t>
                                    </m:r>
                                  </m:sub>
                                </m:sSub>
                                <m:r>
                                  <m:rPr>
                                    <m:sty m:val="p"/>
                                  </m:rPr>
                                  <m:t xml:space="preserve">(</m:t>
                                </m:r>
                                <m:r>
                                  <m:t xml:space="preserve">t</m:t>
                                </m:r>
                                <m:r>
                                  <m:rPr>
                                    <m:sty m:val="p"/>
                                  </m:rPr>
                                  <m:t xml:space="preserve">)</m:t>
                                </m:r>
                              </m:e>
                            </m:nary>
                            <m:r>
                              <m:rPr>
                                <m:sty m:val="p"/>
                              </m:rPr>
                              <m:t xml:space="preserve">+</m:t>
                            </m:r>
                            <m:r>
                              <m:t xml:space="preserve">γ</m:t>
                            </m:r>
                            <m:r>
                              <m:rPr>
                                <m:nor/>
                              </m:rPr>
                              <m:t xml:space="preserve"> </m:t>
                            </m:r>
                            <m:r>
                              <m:t xml:space="preserve">g</m:t>
                            </m:r>
                            <m:r>
                              <m:rPr>
                                <m:sty m:val="p"/>
                              </m:rPr>
                              <m:t xml:space="preserve">(</m:t>
                            </m:r>
                            <m:r>
                              <m:t xml:space="preserve">t</m:t>
                            </m:r>
                            <m:r>
                              <m:rPr>
                                <m:sty m:val="p"/>
                              </m:rPr>
                              <m:t xml:space="preserve">)</m:t>
                            </m:r>
                          </m:e>
                        </m:d>
                      </m:e>
                    </m:d>
                  </m:e>
                </m:d>
              </m:oMath>
            </m:oMathPara>
          </w:p>
        </w:tc>
        <w:tc>
          <w:tcPr>
            <w:tcW w:type="dxa" w:w="700"/>
            <w:vAlign w:val="center"/>
          </w:tcPr>
          <w:p>
            <w:pPr>
              <w:pStyle w:val="BodyText"/>
              <w:spacing w:before="60" w:after="60"/>
              <w:jc w:val="right"/>
            </w:pPr>
            <w:r>
              <w:t xml:space="preserve">(16)</w:t>
            </w:r>
          </w:p>
        </w:tc>
      </w:tr>
    </w:tbl>
    <w:p>
      <w:pPr>
        <w:pStyle w:val="BodyText"/>
      </w:pPr>
      <w:r>
        <w:t xml:space="preserve">where each edge </w:t>
      </w:r>
      <w:r>
        <w:rPr>
          <w:i/>
          <w:iCs/>
        </w:rPr>
        <w:t xml:space="preserve">e</w:t>
      </w:r>
      <w:r>
        <w:t xml:space="preserve"> carries a latent state </w:t>
      </w:r>
      <w:r>
        <w:rPr>
          <w:i/>
          <w:iCs/>
        </w:rPr>
        <w:t xml:space="preserve">c</w:t>
      </w:r>
      <w:r>
        <w:rPr>
          <w:i/>
          <w:iCs/>
          <w:vertAlign w:val="subscript"/>
        </w:rPr>
        <w:t xml:space="preserve">e</w:t>
      </w:r>
      <w:r>
        <w:t xml:space="preserve">(</w:t>
      </w:r>
      <w:r>
        <w:rPr>
          <w:i/>
          <w:iCs/>
        </w:rPr>
        <w:t xml:space="preserve">t</w:t>
      </w:r>
      <w:r>
        <w:t xml:space="preserve">)∈{−1,+1}</w:t>
      </w:r>
      <w:r>
        <w:t xml:space="preserve"> that keeps its value from one tick to the next with probability 0.97, </w:t>
      </w:r>
      <w:r>
        <w:rPr>
          <w:i/>
          <w:iCs/>
        </w:rPr>
        <w:t xml:space="preserve">g</w:t>
      </w:r>
      <w:r>
        <w:t xml:space="preserve">(</w:t>
      </w:r>
      <w:r>
        <w:rPr>
          <w:i/>
          <w:iCs/>
        </w:rPr>
        <w:t xml:space="preserve">t</w:t>
      </w:r>
      <w:r>
        <w:t xml:space="preserve">)</w:t>
      </w:r>
      <w:r>
        <w:t xml:space="preserve"> is a common latent state of the same kind, </w:t>
      </w:r>
      <w:r>
        <w:rPr>
          <w:i/>
          <w:iCs/>
        </w:rPr>
        <w:t xml:space="preserve">w</w:t>
      </w:r>
      <w:r>
        <w:rPr>
          <w:i/>
          <w:iCs/>
          <w:vertAlign w:val="subscript"/>
        </w:rPr>
        <w:t xml:space="preserve">ie</w:t>
      </w:r>
      <w:r>
        <w:t xml:space="preserve">=1</w:t>
      </w:r>
      <w:r>
        <w:t xml:space="preserve"> for the first endpoint of </w:t>
      </w:r>
      <w:r>
        <w:rPr>
          <w:i/>
          <w:iCs/>
        </w:rPr>
        <w:t xml:space="preserve">e</w:t>
      </w:r>
      <w:r>
        <w:t xml:space="preserve"> and </w:t>
      </w:r>
      <w:r>
        <w:rPr>
          <w:i/>
          <w:iCs/>
        </w:rPr>
        <w:t xml:space="preserve">w</w:t>
      </w:r>
      <w:r>
        <w:rPr>
          <w:i/>
          <w:iCs/>
          <w:vertAlign w:val="subscript"/>
        </w:rPr>
        <w:t xml:space="preserve">je</w:t>
      </w:r>
      <w:r>
        <w:t xml:space="preserve">=</w:t>
      </w:r>
      <w:r>
        <w:rPr>
          <w:i/>
          <w:iCs/>
        </w:rPr>
        <w:t xml:space="preserve">s</w:t>
      </w:r>
      <w:r>
        <w:rPr>
          <w:i/>
          <w:iCs/>
          <w:vertAlign w:val="subscript"/>
        </w:rPr>
        <w:t xml:space="preserve">e</w:t>
      </w:r>
      <w:r>
        <w:t xml:space="preserve">∈{−1,+1}</w:t>
      </w:r>
      <w:r>
        <w:t xml:space="preserve"> for the second, and </w:t>
      </w:r>
      <w:r>
        <w:rPr>
          <w:i/>
          <w:iCs/>
        </w:rPr>
        <w:t xml:space="preserve">a</w:t>
      </w:r>
      <w:r>
        <w:t xml:space="preserve">=0.5</w:t>
      </w:r>
      <w:r>
        <w:t xml:space="preserve">. The coupling graph is a ring of 10 modules with 6 random chords (16 edges, 8 with </w:t>
      </w:r>
      <w:r>
        <w:rPr>
          <w:i/>
          <w:iCs/>
        </w:rPr>
        <w:t xml:space="preserve">s</w:t>
      </w:r>
      <w:r>
        <w:rPr>
          <w:i/>
          <w:iCs/>
          <w:vertAlign w:val="subscript"/>
        </w:rPr>
        <w:t xml:space="preserve">e</w:t>
      </w:r>
      <w:r>
        <w:t xml:space="preserve">=+1</w:t>
      </w:r>
      <w:r>
        <w:t xml:space="preserve"> and 8 with </w:t>
      </w:r>
      <w:r>
        <w:rPr>
          <w:i/>
          <w:iCs/>
        </w:rPr>
        <w:t xml:space="preserve">s</w:t>
      </w:r>
      <w:r>
        <w:rPr>
          <w:i/>
          <w:iCs/>
          <w:vertAlign w:val="subscript"/>
        </w:rPr>
        <w:t xml:space="preserve">e</w:t>
      </w:r>
      <w:r>
        <w:t xml:space="preserve">=−1</w:t>
      </w:r>
      <w:r>
        <w:t xml:space="preserve">); the base probabilities </w:t>
      </w:r>
      <w:r>
        <w:rPr>
          <w:i/>
          <w:iCs/>
        </w:rPr>
        <w:t xml:space="preserve">p</w:t>
      </w:r>
      <w:r>
        <w:rPr>
          <w:i/>
          <w:iCs/>
          <w:vertAlign w:val="subscript"/>
        </w:rPr>
        <w:t xml:space="preserve">i</w:t>
      </w:r>
      <w:r>
        <w:t xml:space="preserve"> were drawn once from </w:t>
      </w:r>
      <w:r>
        <w:rPr>
          <w:i/>
          <w:iCs/>
        </w:rPr>
        <w:t xml:space="preserve">U</w:t>
      </w:r>
      <w:r>
        <w:t xml:space="preserve">(0.08,0.20)</w:t>
      </w:r>
      <w:r>
        <w:t xml:space="preserve"> (range 0.104–0.186). Events are counted in bins of 10 ticks, and windows contain 60 bins. Each replicate draws 39 consecutive calibration windows, and each monitored condition draws 5 consecutive windows from a separate stretch of the process, with common random numbers across conditions. Balanced rewiring multiplies </w:t>
      </w:r>
      <w:r>
        <w:rPr>
          <w:i/>
          <w:iCs/>
        </w:rPr>
        <w:t xml:space="preserve">w</w:t>
      </w:r>
      <w:r>
        <w:rPr>
          <w:i/>
          <w:iCs/>
          <w:vertAlign w:val="subscript"/>
        </w:rPr>
        <w:t xml:space="preserve">je</w:t>
      </w:r>
      <w:r>
        <w:t xml:space="preserve"> by </w:t>
      </w:r>
      <w:r>
        <w:t xml:space="preserve">1−2</w:t>
      </w:r>
      <w:r>
        <w:rPr>
          <w:i/>
          <w:iCs/>
        </w:rPr>
        <w:t xml:space="preserve">θ</w:t>
      </w:r>
      <w:r>
        <w:t xml:space="preserve"> on a set of four concordant and four anti-concordant edges (</w:t>
      </w:r>
      <w:r>
        <w:rPr>
          <w:i/>
          <w:iCs/>
        </w:rPr>
        <w:t xml:space="preserve">θ</w:t>
      </w:r>
      <w:r>
        <w:t xml:space="preserve">=1</w:t>
      </w:r>
      <w:r>
        <w:t xml:space="preserve"> in Table 1), chosen in a 2,000-window pilot as the combination whose expected baselines sum closest to zero. The coherent shift sets </w:t>
      </w:r>
      <w:r>
        <w:rPr>
          <w:i/>
          <w:iCs/>
        </w:rPr>
        <w:t xml:space="preserve">γ</w:t>
      </w:r>
      <w:r>
        <w:t xml:space="preserve">&gt;0</w:t>
      </w:r>
      <w:r>
        <w:t xml:space="preserve">; Table 1 uses </w:t>
      </w:r>
      <w:r>
        <w:rPr>
          <w:i/>
          <w:iCs/>
        </w:rPr>
        <w:t xml:space="preserve">γ</w:t>
      </w:r>
      <w:r>
        <w:t xml:space="preserve">=0.5</w:t>
      </w:r>
      <w:r>
        <w:t xml:space="preserve">, the value on the grid </w:t>
      </w:r>
      <w:r>
        <w:t xml:space="preserve">0.1,0.2,…,0.7</w:t>
      </w:r>
      <w:r>
        <w:t xml:space="preserve"> whose mean absolute expected edge change, the mean over edges of the absolute mean of </w:t>
      </w:r>
      <w:r>
        <w:t xml:space="preserve">Δ</w:t>
      </w:r>
      <w:r>
        <w:rPr>
          <w:i/>
          <w:iCs/>
          <w:vertAlign w:val="subscript"/>
        </w:rPr>
        <w:t xml:space="preserve">e</w:t>
      </w:r>
      <w:r>
        <w:t xml:space="preserve"> over monitored windows, is closest to that of rewiring at </w:t>
      </w:r>
      <w:r>
        <w:rPr>
          <w:i/>
          <w:iCs/>
        </w:rPr>
        <w:t xml:space="preserve">θ</w:t>
      </w:r>
      <w:r>
        <w:t xml:space="preserve">=1</w:t>
      </w:r>
      <w:r>
        <w:t xml:space="preserve"> (0.104 against 0.119). The independent null drives each module by private copies of its latent states with the same weights, which preserves the marginal law and autocorrelation of each stream and removes all cross-dependence. Circular-shift surrogates rotate each module’s concatenated calibration record, except that of a reference module, by an independent lag of at least one window. Detection curves use </w:t>
      </w:r>
      <w:r>
        <w:rPr>
          <w:i/>
          <w:iCs/>
        </w:rPr>
        <w:t xml:space="preserve">γ</w:t>
      </w:r>
      <w:r>
        <w:t xml:space="preserve">∈{0,0.1,…,0.7}</w:t>
      </w:r>
      <w:r>
        <w:t xml:space="preserve"> and </w:t>
      </w:r>
      <w:r>
        <w:rPr>
          <w:i/>
          <w:iCs/>
        </w:rPr>
        <w:t xml:space="preserve">θ</w:t>
      </w:r>
      <w:r>
        <w:t xml:space="preserve">∈{0,0.125,…,1}</w:t>
      </w:r>
      <w:r>
        <w:t xml:space="preserve">. All random streams derive from one NumPy seed sequence (seed 20260930), and the full configuration is written with the results.</w:t>
      </w:r>
    </w:p>
    <w:p>
      <w:pPr>
        <w:pStyle w:val="Heading1"/>
      </w:pPr>
      <w:r>
        <w:t xml:space="preserve">Data and code availability</w:t>
      </w:r>
    </w:p>
    <w:p>
      <w:pPr>
        <w:pStyle w:val="BodyText"/>
      </w:pPr>
      <w:r>
        <w:t xml:space="preserve">No experimental data were used. The Python package that implements the operator, the decomposition, the null guide, the conformal rule and the simulation, together with its unit tests and a script that regenerates every number in the text, Table 1 and Fig. 1 with a single command, is archived on Zenodo alongside this note, with the resulting CSV and JSON files. The </w:t>
      </w:r>
      <w:r>
        <w:rPr>
          <w:i/>
          <w:iCs/>
        </w:rPr>
        <w:t xml:space="preserve">τ</w:t>
      </w:r>
      <w:r>
        <w:rPr>
          <w:i/>
          <w:iCs/>
          <w:vertAlign w:val="subscript"/>
        </w:rPr>
        <w:t xml:space="preserve">b</w:t>
      </w:r>
      <w:r>
        <w:t xml:space="preserve"> estimator follows the reference implementation of Systemic Tau</w:t>
      </w:r>
      <w:r>
        <w:rPr>
          <w:vertAlign w:val="superscript"/>
        </w:rPr>
        <w:t xml:space="preserve">17</w:t>
      </w:r>
      <w:r>
        <w:t xml:space="preserve">.</w:t>
      </w:r>
    </w:p>
    <w:p>
      <w:pPr>
        <w:pStyle w:val="Heading1"/>
      </w:pPr>
      <w:r>
        <w:t xml:space="preserve">Acknowledgements</w:t>
      </w:r>
    </w:p>
    <w:p>
      <w:pPr>
        <w:pStyle w:val="BodyText"/>
      </w:pPr>
      <w:r>
        <w:t xml:space="preserve">Large language model tools (DeepSeek; Grok) assisted in exploring the formulation and in editing; the author verified all derivations and takes full responsibility.</w:t>
      </w:r>
    </w:p>
    <w:p>
      <w:pPr>
        <w:pStyle w:val="Heading1"/>
      </w:pPr>
      <w:r>
        <w:t xml:space="preserve">Author contributions</w:t>
      </w:r>
    </w:p>
    <w:p>
      <w:pPr>
        <w:pStyle w:val="BodyText"/>
      </w:pPr>
      <w:r>
        <w:t xml:space="preserve">J.P.-V. conceived the study, derived the results, wrote the code and wrote the manuscript.</w:t>
      </w:r>
    </w:p>
    <w:p>
      <w:pPr>
        <w:pStyle w:val="Heading1"/>
      </w:pPr>
      <w:r>
        <w:t xml:space="preserve">Competing interests</w:t>
      </w:r>
    </w:p>
    <w:p>
      <w:pPr>
        <w:pStyle w:val="BodyText"/>
      </w:pPr>
      <w:r>
        <w:t xml:space="preserve">The author declares no competing interests.</w:t>
      </w:r>
    </w:p>
    <w:p>
      <w:pPr>
        <w:pStyle w:val="Heading1"/>
      </w:pPr>
      <w:r>
        <w:t xml:space="preserve">References</w:t>
      </w:r>
    </w:p>
    <w:p>
      <w:pPr>
        <w:pStyle w:val="Bibliography"/>
        <w:spacing w:before="0" w:after="30"/>
      </w:pPr>
      <w:r>
        <w:t xml:space="preserve">1.	Padilla-Villanueva, J. Unveiling Systemic Tau: redefining the fabric of time, stability, and emergent order across complex chaotic systems in the age of interdisciplinary discovery. Preprint at https://doi.org/10.5281/zenodo.17127368 (2025).</w:t>
      </w:r>
    </w:p>
    <w:p>
      <w:pPr>
        <w:pStyle w:val="Bibliography"/>
        <w:spacing w:before="0" w:after="30"/>
      </w:pPr>
      <w:r>
        <w:t xml:space="preserve">2.	Padilla-Villanueva, J. Systemic Tau and hierarchical ordinal conjunctions: a relational theory of critical transitions. Preprint at https://doi.org/10.5281/zenodo.21753560 (2026).</w:t>
      </w:r>
    </w:p>
    <w:p>
      <w:pPr>
        <w:pStyle w:val="Bibliography"/>
        <w:spacing w:before="0" w:after="30"/>
      </w:pPr>
      <w:r>
        <w:t xml:space="preserve">3.	Padilla-Villanueva, J. Systemic Tau and hierarchical ordinal conjunctions: a relational theory of critical transitions. Preprint, version with erratum at https://doi.org/10.5281/zenodo.22970130 (2026).</w:t>
      </w:r>
    </w:p>
    <w:p>
      <w:pPr>
        <w:pStyle w:val="Bibliography"/>
        <w:spacing w:before="0" w:after="30"/>
      </w:pPr>
      <w:r>
        <w:t xml:space="preserve">4.	Kendall, M. G. A new measure of rank correlation. </w:t>
      </w:r>
      <w:r>
        <w:rPr>
          <w:i/>
          <w:iCs/>
        </w:rPr>
        <w:t xml:space="preserve">Biometrika</w:t>
      </w:r>
      <w:r>
        <w:t xml:space="preserve"> </w:t>
      </w:r>
      <w:r>
        <w:rPr>
          <w:b/>
          <w:bCs/>
        </w:rPr>
        <w:t xml:space="preserve">30</w:t>
      </w:r>
      <w:r>
        <w:t xml:space="preserve">, 81–93 (1938).</w:t>
      </w:r>
    </w:p>
    <w:p>
      <w:pPr>
        <w:pStyle w:val="Bibliography"/>
        <w:spacing w:before="0" w:after="30"/>
      </w:pPr>
      <w:r>
        <w:t xml:space="preserve">5.	Kendall, M. G. The treatment of ties in ranking problems. </w:t>
      </w:r>
      <w:r>
        <w:rPr>
          <w:i/>
          <w:iCs/>
        </w:rPr>
        <w:t xml:space="preserve">Biometrika</w:t>
      </w:r>
      <w:r>
        <w:t xml:space="preserve"> </w:t>
      </w:r>
      <w:r>
        <w:rPr>
          <w:b/>
          <w:bCs/>
        </w:rPr>
        <w:t xml:space="preserve">33</w:t>
      </w:r>
      <w:r>
        <w:t xml:space="preserve">, 239–251 (1945).</w:t>
      </w:r>
    </w:p>
    <w:p>
      <w:pPr>
        <w:pStyle w:val="Bibliography"/>
        <w:spacing w:before="0" w:after="30"/>
      </w:pPr>
      <w:r>
        <w:t xml:space="preserve">6.	Padilla-Villanueva, J. Systemic Tau as a homeostatic trigger for structural self-repair in event-driven networks. Companion manuscript (2026).</w:t>
      </w:r>
    </w:p>
    <w:p>
      <w:pPr>
        <w:pStyle w:val="Bibliography"/>
        <w:spacing w:before="0" w:after="30"/>
      </w:pPr>
      <w:r>
        <w:t xml:space="preserve">7.	Ashby, W. R. </w:t>
      </w:r>
      <w:r>
        <w:rPr>
          <w:i/>
          <w:iCs/>
        </w:rPr>
        <w:t xml:space="preserve">Design for a Brain</w:t>
      </w:r>
      <w:r>
        <w:t xml:space="preserve"> (Springer Netherlands, 1960).</w:t>
      </w:r>
    </w:p>
    <w:p>
      <w:pPr>
        <w:pStyle w:val="Bibliography"/>
        <w:spacing w:before="0" w:after="30"/>
      </w:pPr>
      <w:r>
        <w:t xml:space="preserve">8.	Turrigiano, G. G. The self-tuning neuron: synaptic scaling of excitatory synapses. </w:t>
      </w:r>
      <w:r>
        <w:rPr>
          <w:i/>
          <w:iCs/>
        </w:rPr>
        <w:t xml:space="preserve">Cell</w:t>
      </w:r>
      <w:r>
        <w:t xml:space="preserve"> </w:t>
      </w:r>
      <w:r>
        <w:rPr>
          <w:b/>
          <w:bCs/>
        </w:rPr>
        <w:t xml:space="preserve">135</w:t>
      </w:r>
      <w:r>
        <w:t xml:space="preserve">, 422–435 (2008).</w:t>
      </w:r>
    </w:p>
    <w:p>
      <w:pPr>
        <w:pStyle w:val="Bibliography"/>
        <w:spacing w:before="0" w:after="30"/>
      </w:pPr>
      <w:r>
        <w:t xml:space="preserve">9.	Bandt, C. &amp; Pompe, B. Permutation entropy: a natural complexity measure for time series. </w:t>
      </w:r>
      <w:r>
        <w:rPr>
          <w:i/>
          <w:iCs/>
        </w:rPr>
        <w:t xml:space="preserve">Phys. Rev. Lett.</w:t>
      </w:r>
      <w:r>
        <w:t xml:space="preserve"> </w:t>
      </w:r>
      <w:r>
        <w:rPr>
          <w:b/>
          <w:bCs/>
        </w:rPr>
        <w:t xml:space="preserve">88</w:t>
      </w:r>
      <w:r>
        <w:t xml:space="preserve">, 174102 (2002).</w:t>
      </w:r>
    </w:p>
    <w:p>
      <w:pPr>
        <w:pStyle w:val="Bibliography"/>
        <w:spacing w:before="0" w:after="30"/>
      </w:pPr>
      <w:r>
        <w:t xml:space="preserve">10.	Bartlett, M. S. Some aspects of the time-correlation problem in regard to tests of significance. </w:t>
      </w:r>
      <w:r>
        <w:rPr>
          <w:i/>
          <w:iCs/>
        </w:rPr>
        <w:t xml:space="preserve">J. R. Stat. Soc.</w:t>
      </w:r>
      <w:r>
        <w:t xml:space="preserve"> </w:t>
      </w:r>
      <w:r>
        <w:rPr>
          <w:b/>
          <w:bCs/>
        </w:rPr>
        <w:t xml:space="preserve">98</w:t>
      </w:r>
      <w:r>
        <w:t xml:space="preserve">, 536–543 (1935).</w:t>
      </w:r>
    </w:p>
    <w:p>
      <w:pPr>
        <w:pStyle w:val="Bibliography"/>
        <w:spacing w:before="0" w:after="30"/>
      </w:pPr>
      <w:r>
        <w:t xml:space="preserve">11.	Leone, F. C., Nelson, L. S. &amp; Nottingham, R. B. The folded normal distribution. </w:t>
      </w:r>
      <w:r>
        <w:rPr>
          <w:i/>
          <w:iCs/>
        </w:rPr>
        <w:t xml:space="preserve">Technometrics</w:t>
      </w:r>
      <w:r>
        <w:t xml:space="preserve"> </w:t>
      </w:r>
      <w:r>
        <w:rPr>
          <w:b/>
          <w:bCs/>
        </w:rPr>
        <w:t xml:space="preserve">3</w:t>
      </w:r>
      <w:r>
        <w:t xml:space="preserve">, 543–550 (1961).</w:t>
      </w:r>
    </w:p>
    <w:p>
      <w:pPr>
        <w:pStyle w:val="Bibliography"/>
        <w:spacing w:before="0" w:after="30"/>
      </w:pPr>
      <w:r>
        <w:t xml:space="preserve">12.	Vovk, V., Gammerman, A. &amp; Shafer, G. </w:t>
      </w:r>
      <w:r>
        <w:rPr>
          <w:i/>
          <w:iCs/>
        </w:rPr>
        <w:t xml:space="preserve">Algorithmic Learning in a Random World</w:t>
      </w:r>
      <w:r>
        <w:t xml:space="preserve"> (Springer, 2005).</w:t>
      </w:r>
    </w:p>
    <w:p>
      <w:pPr>
        <w:pStyle w:val="Bibliography"/>
        <w:spacing w:before="0" w:after="30"/>
      </w:pPr>
      <w:r>
        <w:t xml:space="preserve">13.	Theiler, J., Eubank, S., Longtin, A., Galdrikian, B. &amp; Farmer, J. D. Testing for nonlinearity in time series: the method of surrogate data. </w:t>
      </w:r>
      <w:r>
        <w:rPr>
          <w:i/>
          <w:iCs/>
        </w:rPr>
        <w:t xml:space="preserve">Physica D</w:t>
      </w:r>
      <w:r>
        <w:t xml:space="preserve"> </w:t>
      </w:r>
      <w:r>
        <w:rPr>
          <w:b/>
          <w:bCs/>
        </w:rPr>
        <w:t xml:space="preserve">58</w:t>
      </w:r>
      <w:r>
        <w:t xml:space="preserve">, 77–94 (1992).</w:t>
      </w:r>
    </w:p>
    <w:p>
      <w:pPr>
        <w:pStyle w:val="Bibliography"/>
        <w:spacing w:before="0" w:after="30"/>
      </w:pPr>
      <w:r>
        <w:t xml:space="preserve">14.	Schreiber, T. &amp; Schmitz, A. Surrogate time series. </w:t>
      </w:r>
      <w:r>
        <w:rPr>
          <w:i/>
          <w:iCs/>
        </w:rPr>
        <w:t xml:space="preserve">Physica D</w:t>
      </w:r>
      <w:r>
        <w:t xml:space="preserve"> </w:t>
      </w:r>
      <w:r>
        <w:rPr>
          <w:b/>
          <w:bCs/>
        </w:rPr>
        <w:t xml:space="preserve">142</w:t>
      </w:r>
      <w:r>
        <w:t xml:space="preserve">, 346–382 (2000).</w:t>
      </w:r>
    </w:p>
    <w:p>
      <w:pPr>
        <w:pStyle w:val="Bibliography"/>
        <w:spacing w:before="0" w:after="30"/>
      </w:pPr>
      <w:r>
        <w:t xml:space="preserve">15.	Lancaster, G., Iatsenko, D., Pidde, A., Ticcinelli, V. &amp; Stefanovska, A. Surrogate data for hypothesis testing of physical systems. </w:t>
      </w:r>
      <w:r>
        <w:rPr>
          <w:i/>
          <w:iCs/>
        </w:rPr>
        <w:t xml:space="preserve">Phys. Rep.</w:t>
      </w:r>
      <w:r>
        <w:t xml:space="preserve"> </w:t>
      </w:r>
      <w:r>
        <w:rPr>
          <w:b/>
          <w:bCs/>
        </w:rPr>
        <w:t xml:space="preserve">748</w:t>
      </w:r>
      <w:r>
        <w:t xml:space="preserve">, 1–60 (2018).</w:t>
      </w:r>
    </w:p>
    <w:p>
      <w:pPr>
        <w:pStyle w:val="Bibliography"/>
        <w:spacing w:before="0" w:after="30"/>
      </w:pPr>
      <w:r>
        <w:t xml:space="preserve">16.	Scheffer, M. </w:t>
      </w:r>
      <w:r>
        <w:rPr>
          <w:i/>
          <w:iCs/>
        </w:rPr>
        <w:t xml:space="preserve">et al.</w:t>
      </w:r>
      <w:r>
        <w:t xml:space="preserve"> Early-warning signals for critical transitions. </w:t>
      </w:r>
      <w:r>
        <w:rPr>
          <w:i/>
          <w:iCs/>
        </w:rPr>
        <w:t xml:space="preserve">Nature</w:t>
      </w:r>
      <w:r>
        <w:t xml:space="preserve"> </w:t>
      </w:r>
      <w:r>
        <w:rPr>
          <w:b/>
          <w:bCs/>
        </w:rPr>
        <w:t xml:space="preserve">461</w:t>
      </w:r>
      <w:r>
        <w:t xml:space="preserve">, 53–59 (2009).</w:t>
      </w:r>
    </w:p>
    <w:p>
      <w:pPr>
        <w:pStyle w:val="Bibliography"/>
        <w:spacing w:before="0" w:after="30"/>
      </w:pPr>
      <w:r>
        <w:t xml:space="preserve">17.	Padilla-Villanueva, J. Systemic Tau (Stable). Zenodo https://doi.org/10.5281/zenodo.22863378 (2026).</w:t>
      </w:r>
    </w:p>
    <w:sectPr>
      <w:headerReference w:type="default" r:id="rId9"/>
      <w:footerReference w:type="default" r:id="rId11"/>
      <w:footerReference w:type="first" r:id="rId12"/>
      <w:footnotePr>
        <w:numRestart w:val="eachSect"/>
      </w:footnotePr>
      <w:pgSz w:w="12240" w:h="15840"/>
      <w:pgMar w:top="1440" w:bottom="1440" w:left="1440" w:right="1440" w:header="720" w:footer="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i w:val="0"/>
        <w:color w:val="595959"/>
        <w:sz w:val="17"/>
      </w:rPr>
      <w:t xml:space="preserve">Page </w:t>
    </w:r>
    <w:r>
      <w:rPr>
        <w:rFonts w:ascii="Calibri" w:hAnsi="Calibri" w:eastAsia="Calibri" w:cs="Calibri"/>
        <w:color w:val="595959"/>
        <w:sz w:val="17"/>
      </w:rPr>
      <w:fldChar w:fldCharType="begin"/>
      <w:instrText xml:space="preserve">PAGE</w:instrText>
      <w:fldChar w:fldCharType="separate"/>
      <w:t>1</w:t>
      <w:fldChar w:fldCharType="end"/>
    </w:r>
    <w:r>
      <w:rPr>
        <w:rFonts w:ascii="Calibri" w:hAnsi="Calibri" w:eastAsia="Calibri" w:cs="Calibri"/>
        <w:i w:val="0"/>
        <w:color w:val="595959"/>
        <w:sz w:val="17"/>
      </w:rPr>
      <w:t xml:space="preserve"> of </w:t>
    </w:r>
    <w:r>
      <w:rPr>
        <w:rFonts w:ascii="Calibri" w:hAnsi="Calibri" w:eastAsia="Calibri" w:cs="Calibri"/>
        <w:color w:val="595959"/>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i w:val="0"/>
        <w:color w:val="595959"/>
        <w:sz w:val="17"/>
      </w:rPr>
      <w:t xml:space="preserve">Page </w:t>
    </w:r>
    <w:r>
      <w:rPr>
        <w:rFonts w:ascii="Calibri" w:hAnsi="Calibri" w:eastAsia="Calibri" w:cs="Calibri"/>
        <w:color w:val="595959"/>
        <w:sz w:val="17"/>
      </w:rPr>
      <w:fldChar w:fldCharType="begin"/>
      <w:instrText xml:space="preserve">PAGE</w:instrText>
      <w:fldChar w:fldCharType="separate"/>
      <w:t>1</w:t>
      <w:fldChar w:fldCharType="end"/>
    </w:r>
    <w:r>
      <w:rPr>
        <w:rFonts w:ascii="Calibri" w:hAnsi="Calibri" w:eastAsia="Calibri" w:cs="Calibri"/>
        <w:i w:val="0"/>
        <w:color w:val="595959"/>
        <w:sz w:val="17"/>
      </w:rPr>
      <w:t xml:space="preserve"> of </w:t>
    </w:r>
    <w:r>
      <w:rPr>
        <w:rFonts w:ascii="Calibri" w:hAnsi="Calibri" w:eastAsia="Calibri" w:cs="Calibri"/>
        <w:color w:val="595959"/>
        <w:sz w:val="17"/>
      </w:rPr>
      <w:fldChar w:fldCharType="begin"/>
      <w:instrText xml:space="preserve">NUMPAGES</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Bdr>
        <w:bottom w:val="single" w:sz="4" w:space="4" w:color="BFBFBF"/>
      </w:pBdr>
    </w:pPr>
    <w:r/>
    <w:r>
      <w:rPr>
        <w:rFonts w:ascii="Calibri" w:hAnsi="Calibri" w:eastAsia="Calibri" w:cs="Calibri"/>
        <w:i w:val="0"/>
        <w:color w:val="595959"/>
        <w:sz w:val="17"/>
      </w:rPr>
      <w:t>Padilla-Villanueva</w:t>
    </w:r>
    <w:r>
      <w:rPr>
        <w:rFonts w:ascii="Calibri" w:hAnsi="Calibri" w:eastAsia="Calibri" w:cs="Calibri"/>
        <w:i/>
        <w:color w:val="595959"/>
        <w:sz w:val="17"/>
      </w:rPr>
      <w:tab/>
      <w:t>Cancellation-aware order coherence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hAnsi="Georgia" w:eastAsia="Georgia" w:cs="Georgia"/>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76" w:lineRule="auto"/>
      <w:ind w:firstLine="0" w:left="0" w:right="0"/>
      <w:jc w:val="both"/>
    </w:pPr>
    <w:rPr>
      <w:rFonts w:ascii="Georgia" w:hAnsi="Georgia" w:eastAsia="Georgia" w:cs="Georgia"/>
      <w:b w:val="0"/>
      <w:i w:val="0"/>
      <w:color w:val="000000"/>
      <w:sz w:val="21"/>
    </w:rPr>
  </w:style>
  <w:style w:styleId="BodyText" w:type="paragraph">
    <w:name w:val="Body Text"/>
    <w:basedOn w:val="Normal"/>
    <w:link w:val="BodyTextChar"/>
    <w:qFormat/>
    <w:pPr>
      <w:spacing w:after="120" w:before="0" w:line="276" w:lineRule="auto"/>
      <w:ind w:firstLine="0" w:left="0" w:right="0"/>
      <w:jc w:val="both"/>
    </w:pPr>
    <w:rPr>
      <w:rFonts w:ascii="Georgia" w:hAnsi="Georgia" w:eastAsia="Georgia" w:cs="Georgia"/>
      <w:b w:val="0"/>
      <w:i w:val="0"/>
      <w:color w:val="000000"/>
      <w:sz w:val="21"/>
    </w:rPr>
  </w:style>
  <w:style w:customStyle="1" w:styleId="FirstParagraph" w:type="paragraph">
    <w:name w:val="First Paragraph"/>
    <w:basedOn w:val="BodyText"/>
    <w:next w:val="BodyText"/>
    <w:qFormat/>
    <w:pPr>
      <w:spacing w:before="0" w:after="120" w:line="276" w:lineRule="auto"/>
      <w:ind w:firstLine="0" w:left="0" w:right="0"/>
      <w:jc w:val="both"/>
    </w:pPr>
    <w:rPr>
      <w:rFonts w:ascii="Georgia" w:hAnsi="Georgia" w:eastAsia="Georgia" w:cs="Georgia"/>
      <w:b w:val="0"/>
      <w:i w:val="0"/>
      <w:color w:val="000000"/>
      <w:sz w:val="21"/>
    </w:rPr>
  </w:style>
  <w:style w:customStyle="1" w:styleId="Compact" w:type="paragraph">
    <w:name w:val="Compact"/>
    <w:basedOn w:val="BodyText"/>
    <w:qFormat/>
    <w:pPr>
      <w:spacing w:after="40" w:before="0" w:line="276" w:lineRule="auto"/>
      <w:ind w:firstLine="0" w:left="0" w:right="0"/>
      <w:jc w:val="left"/>
    </w:pPr>
    <w:rPr>
      <w:rFonts w:ascii="Georgia" w:hAnsi="Georgia" w:eastAsia="Georgia" w:cs="Georgia"/>
      <w:b w:val="0"/>
      <w:i w:val="0"/>
      <w:color w:val="000000"/>
      <w:sz w:val="20"/>
    </w:rPr>
  </w:style>
  <w:style w:styleId="Title" w:type="paragraph">
    <w:name w:val="Title"/>
    <w:basedOn w:val="Normal"/>
    <w:next w:val="BodyText"/>
    <w:link w:val="TitleChar"/>
    <w:uiPriority w:val="10"/>
    <w:qFormat/>
    <w:rsid w:val="00A10FD9"/>
    <w:pPr>
      <w:spacing w:after="200" w:line="252" w:lineRule="auto" w:before="0"/>
      <w:ind w:firstLine="0" w:left="0" w:right="0"/>
      <w:contextualSpacing/>
      <w:jc w:val="left"/>
    </w:pPr>
    <w:rPr>
      <w:rFonts w:ascii="Calibri" w:hAnsi="Calibri" w:eastAsia="Calibri" w:cs="Calibri"/>
      <w:b/>
      <w:i w:val="0"/>
      <w:color w:val="1F3864"/>
      <w:sz w:val="4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40" w:line="276" w:lineRule="auto"/>
      <w:ind w:firstLine="0" w:left="0" w:right="0"/>
      <w:jc w:val="left"/>
    </w:pPr>
    <w:rPr>
      <w:rFonts w:ascii="Georgia" w:hAnsi="Georgia" w:eastAsia="Georgia" w:cs="Georgia"/>
      <w:b/>
      <w:i w:val="0"/>
      <w:color w:val="000000"/>
      <w:sz w:val="23"/>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280" w:before="0" w:line="276" w:lineRule="auto"/>
      <w:ind w:firstLine="0" w:left="0" w:right="0"/>
      <w:jc w:val="both"/>
      <w:pBdr>
        <w:top w:val="single" w:sz="4" w:space="6" w:color="8497B0"/>
        <w:bottom w:val="single" w:sz="4" w:space="6" w:color="8497B0"/>
      </w:pBdr>
    </w:pPr>
    <w:rPr>
      <w:rFonts w:ascii="Georgia" w:hAnsi="Georgia" w:eastAsia="Georgia" w:cs="Georgia"/>
      <w:b w:val="0"/>
      <w:i w:val="0"/>
      <w:color w:val="000000"/>
      <w:sz w:val="21"/>
      <w:szCs w:val="20"/>
    </w:rPr>
  </w:style>
  <w:style w:styleId="Bibliography" w:type="paragraph">
    <w:name w:val="Bibliography"/>
    <w:basedOn w:val="Normal"/>
    <w:next w:val="Bibliography"/>
    <w:qFormat/>
    <w:pPr>
      <w:tabs>
        <w:tab w:pos="425" w:val="left"/>
      </w:tabs>
      <w:spacing w:before="0" w:after="50" w:line="259" w:lineRule="auto"/>
      <w:ind w:left="425" w:right="0" w:hanging="425"/>
      <w:jc w:val="left"/>
    </w:pPr>
    <w:rPr>
      <w:rFonts w:ascii="Georgia" w:hAnsi="Georgia" w:eastAsia="Georgia" w:cs="Georgia"/>
      <w:b w:val="0"/>
      <w:i w:val="0"/>
      <w:color w:val="000000"/>
      <w:sz w:val="18"/>
    </w:rPr>
  </w:style>
  <w:style w:styleId="Heading1" w:type="paragraph">
    <w:name w:val="heading 1"/>
    <w:basedOn w:val="Normal"/>
    <w:next w:val="BodyText"/>
    <w:link w:val="Heading1Char"/>
    <w:uiPriority w:val="9"/>
    <w:qFormat/>
    <w:rsid w:val="00A10FD9"/>
    <w:pPr>
      <w:keepNext/>
      <w:keepLines/>
      <w:spacing w:after="80" w:before="280" w:line="240" w:lineRule="auto"/>
      <w:ind w:firstLine="0" w:left="0" w:right="0"/>
      <w:jc w:val="left"/>
      <w:outlineLvl w:val="0"/>
    </w:pPr>
    <w:rPr>
      <w:rFonts w:ascii="Calibri" w:hAnsi="Calibri" w:eastAsia="Calibri" w:cs="Calibri"/>
      <w:b/>
      <w:i w:val="0"/>
      <w:color w:val="1F3864"/>
      <w:sz w:val="26"/>
      <w:szCs w:val="40"/>
    </w:rPr>
  </w:style>
  <w:style w:styleId="Heading2" w:type="paragraph">
    <w:name w:val="heading 2"/>
    <w:basedOn w:val="Normal"/>
    <w:next w:val="BodyText"/>
    <w:link w:val="Heading2Char"/>
    <w:uiPriority w:val="9"/>
    <w:semiHidden/>
    <w:unhideWhenUsed/>
    <w:qFormat/>
    <w:rsid w:val="00A10FD9"/>
    <w:pPr>
      <w:keepNext/>
      <w:keepLines/>
      <w:spacing w:after="40" w:before="180" w:line="240" w:lineRule="auto"/>
      <w:ind w:firstLine="0" w:left="0" w:right="0"/>
      <w:jc w:val="left"/>
      <w:outlineLvl w:val="1"/>
    </w:pPr>
    <w:rPr>
      <w:rFonts w:ascii="Calibri" w:hAnsi="Calibri" w:eastAsia="Calibri" w:cs="Calibri"/>
      <w:b/>
      <w:i w:val="0"/>
      <w:color w:val="1F3864"/>
      <w:sz w:val="21"/>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left="0" w:right="0" w:firstLine="0"/>
      <w:jc w:val="both"/>
    </w:pPr>
    <w:rPr>
      <w:rFonts w:ascii="Georgia" w:hAnsi="Georgia" w:eastAsia="Georgia" w:cs="Georgia"/>
      <w:b w:val="0"/>
      <w:i w:val="0"/>
      <w:color w:val="00000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864"/>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Head">
    <w:name w:val="AbstractHead"/>
    <w:basedOn w:val="BodyText"/>
    <w:qFormat/>
    <w:pPr>
      <w:keepNext/>
      <w:spacing w:before="320" w:after="60" w:line="276" w:lineRule="auto"/>
      <w:ind w:firstLine="0" w:left="0" w:right="0"/>
    </w:pPr>
    <w:rPr>
      <w:rFonts w:ascii="Calibri" w:hAnsi="Calibri" w:eastAsia="Calibri" w:cs="Calibri"/>
      <w:b/>
      <w:i w:val="0"/>
      <w:color w:val="1F3864"/>
      <w:sz w:val="22"/>
    </w:rPr>
  </w:style>
  <w:style w:type="paragraph" w:customStyle="1" w:styleId="Affiliation">
    <w:name w:val="Affiliation"/>
    <w:basedOn w:val="BodyText"/>
    <w:qFormat/>
    <w:pPr>
      <w:spacing w:before="0" w:after="20" w:line="264" w:lineRule="auto"/>
      <w:ind w:firstLine="0" w:left="0" w:right="0"/>
      <w:jc w:val="left"/>
    </w:pPr>
    <w:rPr>
      <w:rFonts w:ascii="Georgia" w:hAnsi="Georgia" w:eastAsia="Georgia" w:cs="Georgia"/>
      <w:b w:val="0"/>
      <w:i w:val="0"/>
      <w:color w:val="595959"/>
      <w:sz w:val="18"/>
    </w:rPr>
  </w:style>
  <w:style w:type="paragraph" w:customStyle="1" w:styleId="FigCap">
    <w:name w:val="FigCap"/>
    <w:basedOn w:val="BodyText"/>
    <w:qFormat/>
    <w:pPr>
      <w:spacing w:before="40" w:after="200" w:line="264" w:lineRule="auto"/>
      <w:ind w:firstLine="0" w:left="0" w:right="0"/>
      <w:jc w:val="both"/>
    </w:pPr>
    <w:rPr>
      <w:rFonts w:ascii="Georgia" w:hAnsi="Georgia" w:eastAsia="Georgia" w:cs="Georgia"/>
      <w:b w:val="0"/>
      <w:i w:val="0"/>
      <w:color w:val="000000"/>
      <w:sz w:val="18"/>
    </w:rPr>
  </w:style>
  <w:style w:type="paragraph" w:customStyle="1" w:styleId="TabCap">
    <w:name w:val="TabCap"/>
    <w:basedOn w:val="BodyText"/>
    <w:qFormat/>
    <w:pPr>
      <w:keepNext/>
      <w:spacing w:before="160" w:after="80" w:line="264" w:lineRule="auto"/>
      <w:ind w:firstLine="0" w:left="0" w:right="0"/>
      <w:jc w:val="both"/>
    </w:pPr>
    <w:rPr>
      <w:rFonts w:ascii="Georgia" w:hAnsi="Georgia" w:eastAsia="Georgia" w:cs="Georgia"/>
      <w:b w:val="0"/>
      <w:i w:val="0"/>
      <w:color w:val="00000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1" Type="http://schemas.openxmlformats.org/officeDocument/2006/relationships/footer" Target="footer1.xml"/><Relationship Id="rId12" Type="http://schemas.openxmlformats.org/officeDocument/2006/relationships/footer" Target="footer2.xml"/><Relationship Id="rId10" Type="http://schemas.openxmlformats.org/officeDocument/2006/relationships/image" Target="media/image1.png"/></Relationships>
</file>

<file path=word/_rels/footnotes.xml.rels><?xml version='1.0' encoding='UTF-8' standalone='yes'?>
<Relationships xmlns="http://schemas.openxmlformats.org/package/2006/relationships"><Relationship Id="rId57" Type="http://schemas.openxmlformats.org/officeDocument/2006/relationships/hyperlink" Target="https://doi.org/10.1007/978-3-642-69689-3" TargetMode="External"/><Relationship Id="rId55" Type="http://schemas.openxmlformats.org/officeDocument/2006/relationships/hyperlink" Target="https://doi.org/10.1007/978-94-015-1320-3" TargetMode="External"/><Relationship Id="rId77" Type="http://schemas.openxmlformats.org/officeDocument/2006/relationships/hyperlink" Target="https://doi.org/10.1016/0167-2789(92)90102-S" TargetMode="External"/><Relationship Id="rId37" Type="http://schemas.openxmlformats.org/officeDocument/2006/relationships/hyperlink" Target="https://doi.org/10.1016/S0079-7421(08)60536-8" TargetMode="External"/><Relationship Id="rId79" Type="http://schemas.openxmlformats.org/officeDocument/2006/relationships/hyperlink" Target="https://doi.org/10.1016/S0167-2789(00)00043-9" TargetMode="External"/><Relationship Id="rId101" Type="http://schemas.openxmlformats.org/officeDocument/2006/relationships/hyperlink" Target="https://doi.org/10.1016/S0893-6080(97)00011-7" TargetMode="External"/><Relationship Id="rId53" Type="http://schemas.openxmlformats.org/officeDocument/2006/relationships/hyperlink" Target="https://doi.org/10.1016/j.brainresrev.2008.12.023" TargetMode="External"/><Relationship Id="rId51" Type="http://schemas.openxmlformats.org/officeDocument/2006/relationships/hyperlink" Target="https://doi.org/10.1016/j.cell.2008.10.008" TargetMode="External"/><Relationship Id="rId45" Type="http://schemas.openxmlformats.org/officeDocument/2006/relationships/hyperlink" Target="https://doi.org/10.1016/j.neunet.2019.01.012" TargetMode="External"/><Relationship Id="rId81" Type="http://schemas.openxmlformats.org/officeDocument/2006/relationships/hyperlink" Target="https://doi.org/10.1016/j.physrep.2018.06.001" TargetMode="External"/><Relationship Id="rId41" Type="http://schemas.openxmlformats.org/officeDocument/2006/relationships/hyperlink" Target="https://doi.org/10.1016/j.tins.2004.12.003" TargetMode="External"/><Relationship Id="rId59" Type="http://schemas.openxmlformats.org/officeDocument/2006/relationships/hyperlink" Target="https://doi.org/10.1017/CBO9780511755743" TargetMode="External"/><Relationship Id="rId39" Type="http://schemas.openxmlformats.org/officeDocument/2006/relationships/hyperlink" Target="https://doi.org/10.1037/0033-295X.97.2.285" TargetMode="External"/><Relationship Id="rId47" Type="http://schemas.openxmlformats.org/officeDocument/2006/relationships/hyperlink" Target="https://doi.org/10.1038/36103" TargetMode="External"/><Relationship Id="rId107" Type="http://schemas.openxmlformats.org/officeDocument/2006/relationships/hyperlink" Target="https://doi.org/10.1038/nature08227" TargetMode="External"/><Relationship Id="rId49" Type="http://schemas.openxmlformats.org/officeDocument/2006/relationships/hyperlink" Target="https://doi.org/10.1038/nrn1327" TargetMode="External"/><Relationship Id="rId99" Type="http://schemas.openxmlformats.org/officeDocument/2006/relationships/hyperlink" Target="https://doi.org/10.1038/s41467-018-04316-3" TargetMode="External"/><Relationship Id="rId43" Type="http://schemas.openxmlformats.org/officeDocument/2006/relationships/hyperlink" Target="https://doi.org/10.1073/pnas.1611835114" TargetMode="External"/><Relationship Id="rId73" Type="http://schemas.openxmlformats.org/officeDocument/2006/relationships/hyperlink" Target="https://doi.org/10.1093/biomet/30.1-2.81" TargetMode="External"/><Relationship Id="rId75" Type="http://schemas.openxmlformats.org/officeDocument/2006/relationships/hyperlink" Target="https://doi.org/10.1093/biomet/33.3.239" TargetMode="External"/><Relationship Id="rId105" Type="http://schemas.openxmlformats.org/officeDocument/2006/relationships/hyperlink" Target="https://doi.org/10.1103/PhysRevLett.88.174102" TargetMode="External"/><Relationship Id="rId95" Type="http://schemas.openxmlformats.org/officeDocument/2006/relationships/hyperlink" Target="https://doi.org/10.1109/72.279181" TargetMode="External"/><Relationship Id="rId103" Type="http://schemas.openxmlformats.org/officeDocument/2006/relationships/hyperlink" Target="https://doi.org/10.1109/MM.2018.112130359" TargetMode="External"/><Relationship Id="rId89" Type="http://schemas.openxmlformats.org/officeDocument/2006/relationships/hyperlink" Target="https://doi.org/10.1145/2523813" TargetMode="External"/><Relationship Id="rId97" Type="http://schemas.openxmlformats.org/officeDocument/2006/relationships/hyperlink" Target="https://doi.org/10.1162/106365602320169811" TargetMode="External"/><Relationship Id="rId91" Type="http://schemas.openxmlformats.org/officeDocument/2006/relationships/hyperlink" Target="https://doi.org/10.1162/neco.1997.9.8.1735" TargetMode="External"/><Relationship Id="rId93" Type="http://schemas.openxmlformats.org/officeDocument/2006/relationships/hyperlink" Target="https://doi.org/10.1201/9780429246593" TargetMode="External"/><Relationship Id="rId61" Type="http://schemas.openxmlformats.org/officeDocument/2006/relationships/hyperlink" Target="https://doi.org/10.5281/zenodo.17127368" TargetMode="External"/><Relationship Id="rId63" Type="http://schemas.openxmlformats.org/officeDocument/2006/relationships/hyperlink" Target="https://doi.org/10.5281/zenodo.17186886" TargetMode="External"/><Relationship Id="rId69" Type="http://schemas.openxmlformats.org/officeDocument/2006/relationships/hyperlink" Target="https://doi.org/10.5281/zenodo.20185930" TargetMode="External"/><Relationship Id="rId71" Type="http://schemas.openxmlformats.org/officeDocument/2006/relationships/hyperlink" Target="https://doi.org/10.5281/zenodo.20657723" TargetMode="External"/><Relationship Id="rId85" Type="http://schemas.openxmlformats.org/officeDocument/2006/relationships/hyperlink" Target="https://doi.org/10.5281/zenodo.21537494" TargetMode="External"/><Relationship Id="rId65" Type="http://schemas.openxmlformats.org/officeDocument/2006/relationships/hyperlink" Target="https://doi.org/10.5281/zenodo.21753560" TargetMode="External"/><Relationship Id="rId87" Type="http://schemas.openxmlformats.org/officeDocument/2006/relationships/hyperlink" Target="https://doi.org/10.5281/zenodo.22863378" TargetMode="External"/><Relationship Id="rId83" Type="http://schemas.openxmlformats.org/officeDocument/2006/relationships/hyperlink" Target="https://doi.org/10.5281/zenodo.22970079" TargetMode="External"/><Relationship Id="rId67" Type="http://schemas.openxmlformats.org/officeDocument/2006/relationships/hyperlink" Target="https://doi.org/10.5281/zenodo.229701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Cancellation-aware order coherence: an exact decomposition of absolute concordance change into signed Systemic Tau and a cancellation index</dc:title>
  <dc:creator>Johel Padilla-Villanueva</dc:creator>
  <cp:keywords>Systemic Tau; Kendall tau-b; concordance; cancellation; change detection; conformal calibration; surrogate data</cp:keywords>
  <dcterms:created xsi:type="dcterms:W3CDTF">2026-09-30T12:00:00Z</dcterms:created>
  <dcterms:modified xsi:type="dcterms:W3CDTF">2026-09-30T12:00:00Z</dcterms:modified>
  <dc:subject>Technical note</dc:subject>
  <dc:description/>
  <cp:lastModifiedBy>Johel Padilla-Villanueva</cp:lastModifiedBy>
</cp:coreProperties>
</file>

<file path=docProps/custom.xml><?xml version="1.0" encoding="utf-8"?>
<Properties xmlns="http://schemas.openxmlformats.org/officeDocument/2006/custom-properties" xmlns:vt="http://schemas.openxmlformats.org/officeDocument/2006/docPropsVTypes"/>
</file>