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Systemic Tau as a homeostatic trigger for structural self-repair in event-driven networks</w:t>
      </w:r>
    </w:p>
    <w:p>
      <w:pPr>
        <w:pStyle w:val="Author"/>
      </w:pPr>
      <w:r>
        <w:t xml:space="preserve">Johel Padilla-Villanueva, DrPH</w:t>
      </w:r>
    </w:p>
    <w:p>
      <w:pPr>
        <w:pStyle w:val="Affiliation"/>
      </w:pPr>
      <w:r>
        <w:t xml:space="preserve">Department of Environmental Health, Graduate School of Public Health, Medical Sciences Campus, University of Puerto Rico, San Juan, Puerto Rico, USA</w:t>
      </w:r>
    </w:p>
    <w:p>
      <w:pPr>
        <w:pStyle w:val="Affiliation"/>
        <w:spacing w:after="240"/>
      </w:pPr>
      <w:r>
        <w:t xml:space="preserve">ORCID 0000-0002-5797-6931 · Correspondence: joel.padilla2@upr.edu</w:t>
      </w:r>
    </w:p>
    <w:p>
      <w:pPr>
        <w:pStyle w:val="AbstractHead"/>
      </w:pPr>
      <w:r>
        <w:t xml:space="preserve">Abstract</w:t>
      </w:r>
    </w:p>
    <w:p>
      <w:pPr>
        <w:pStyle w:val="Abstract"/>
      </w:pPr>
      <w:r>
        <w:t xml:space="preserve">Nervous systems hold essential variables within bounds and rewire themselves when those bounds are violated, whereas artificial networks typically respond to damage or distributional change only by retraining their weights. Here we propose Tau Regenerative Intelligence (TRI), a framework in which the regulated variable is Systemic Tau (</w:t>
      </w:r>
      <w:r>
        <w:rPr>
          <w:i/>
          <w:iCs/>
        </w:rPr>
        <w:t xml:space="preserve">τ</w:t>
      </w:r>
      <w:r>
        <w:rPr>
          <w:vertAlign w:val="subscript"/>
        </w:rPr>
        <w:t xml:space="preserve">s</w:t>
      </w:r>
      <w:r>
        <w:t xml:space="preserve">), the mean pairwise Kendall concordance of module activity on a common event index, and the effector is structural. When</w:t>
      </w:r>
      <w:r>
        <w:t xml:space="preserve"> </w:t>
      </w:r>
      <w:r>
        <w:rPr>
          <w:i/>
          <w:iCs/>
        </w:rPr>
        <w:t xml:space="preserve">τ</w:t>
      </w:r>
      <w:r>
        <w:rPr>
          <w:vertAlign w:val="subscript"/>
        </w:rPr>
        <w:t xml:space="preserve">s</w:t>
      </w:r>
      <w:r>
        <w:t xml:space="preserve"> </w:t>
      </w:r>
      <w:r>
        <w:t xml:space="preserve">leaves a band calibrated on the intact network, a controller identifies the module pair whose concordance has departed most from baseline, adds or removes connections, spawns or prunes relay modules and re-entrains firing thresholds. We give</w:t>
      </w:r>
      <w:r>
        <w:t xml:space="preserve"> </w:t>
      </w:r>
      <w:r>
        <w:rPr>
          <w:i/>
          <w:iCs/>
        </w:rPr>
        <w:t xml:space="preserve">τ</w:t>
      </w:r>
      <w:r>
        <w:rPr>
          <w:vertAlign w:val="subscript"/>
        </w:rPr>
        <w:t xml:space="preserve">s</w:t>
      </w:r>
      <w:r>
        <w:t xml:space="preserve"> </w:t>
      </w:r>
      <w:r>
        <w:t xml:space="preserve">a well-posed estimator for event streams, derive its range, its lower bound of −1/(N−1) and its behaviour under independence, and show that a signed mean of concordances can conceal structured change, which constrains how any such quantity may serve as an alarm. We then specify a decisive experiment, lesion and concept drift in an event-coded XOR network, in which</w:t>
      </w:r>
      <w:r>
        <w:t xml:space="preserve"> </w:t>
      </w:r>
      <w:r>
        <w:rPr>
          <w:i/>
          <w:iCs/>
        </w:rPr>
        <w:t xml:space="preserve">τ</w:t>
      </w:r>
      <w:r>
        <w:rPr>
          <w:vertAlign w:val="subscript"/>
        </w:rPr>
        <w:t xml:space="preserve">s</w:t>
      </w:r>
      <w:r>
        <w:t xml:space="preserve">-guided repair must outperform yoked random rewiring, randomly timed repair and no repair, and must not be inferior to repair triggered by task error. Hypotheses, endpoints, analyses and falsification criteria are fixed in advance.</w:t>
      </w:r>
    </w:p>
    <w:p>
      <w:pPr>
        <w:pStyle w:val="BodyText"/>
      </w:pPr>
      <w:r>
        <w:t xml:space="preserve">An artificial neural network is usually a fixed architecture with adjustable weights. When part of that architecture is lost, or when the statistics of its inputs change, the standard remedy is to adjust the weights again, and the cost of doing so is well documented: sequential learning in shared parameters overwrites what was learned before</w:t>
      </w:r>
      <w:r>
        <w:rPr>
          <w:vertAlign w:val="superscript"/>
        </w:rPr>
        <w:t xml:space="preserve">1,2</w:t>
      </w:r>
      <w:r>
        <w:t xml:space="preserve">, an instance of the stability–plasticity dilemma</w:t>
      </w:r>
      <w:r>
        <w:rPr>
          <w:vertAlign w:val="superscript"/>
        </w:rPr>
        <w:t xml:space="preserve">3</w:t>
      </w:r>
      <w:r>
        <w:t xml:space="preserve"> </w:t>
      </w:r>
      <w:r>
        <w:t xml:space="preserve">that continual-learning methods mitigate but do not remove</w:t>
      </w:r>
      <w:r>
        <w:rPr>
          <w:vertAlign w:val="superscript"/>
        </w:rPr>
        <w:t xml:space="preserve">4,5</w:t>
      </w:r>
      <w:r>
        <w:t xml:space="preserve">. Nervous systems meet a related challenge by other means. Neurons scale their synaptic strengths to hold firing near a set point</w:t>
      </w:r>
      <w:r>
        <w:rPr>
          <w:vertAlign w:val="superscript"/>
        </w:rPr>
        <w:t xml:space="preserve">6–8</w:t>
      </w:r>
      <w:r>
        <w:t xml:space="preserve">, and circuits form and eliminate synapses as a function of activity</w:t>
      </w:r>
      <w:r>
        <w:rPr>
          <w:vertAlign w:val="superscript"/>
        </w:rPr>
        <w:t xml:space="preserve">9</w:t>
      </w:r>
      <w:r>
        <w:t xml:space="preserve">. The logic of such regulation was stated in general form by Ashby, whose ultrastable system changes its own parameters whenever an essential variable leaves prescribed limits and ceases to change them once the variable returns</w:t>
      </w:r>
      <w:r>
        <w:rPr>
          <w:vertAlign w:val="superscript"/>
        </w:rPr>
        <w:t xml:space="preserve">10</w:t>
      </w:r>
      <w:r>
        <w:t xml:space="preserve">.</w:t>
      </w:r>
    </w:p>
    <w:p>
      <w:pPr>
        <w:pStyle w:val="BodyText"/>
      </w:pPr>
      <w:r>
        <w:t xml:space="preserve">Carrying this logic over to artificial networks requires an answer to a question that Ashby left open for any particular system: which variable is essential? For a network that must repair its own structure, a useful essential variable should satisfy three conditions. It should be computable from the network’s own activity, without access to labels or task performance, so that repair can proceed when supervision is absent or delayed. It should respond to structural damage, so that its excursions signal that repair is needed. And it should be decomposable, so that the computation that raises the alarm also indicates where the damage lies. Phase-synchronization indices for coupled oscillators</w:t>
      </w:r>
      <w:r>
        <w:rPr>
          <w:vertAlign w:val="superscript"/>
        </w:rPr>
        <w:t xml:space="preserve">11,12</w:t>
      </w:r>
      <w:r>
        <w:t xml:space="preserve"> </w:t>
      </w:r>
      <w:r>
        <w:t xml:space="preserve">satisfy the first condition but are defined for phases rather than discrete events; signals derived from task error satisfy the second but violate the first.</w:t>
      </w:r>
    </w:p>
    <w:p>
      <w:pPr>
        <w:pStyle w:val="BodyText"/>
      </w:pPr>
      <w:r>
        <w:t xml:space="preserve">Systemic Tau (</w:t>
      </w:r>
      <w:r>
        <w:rPr>
          <w:i/>
          <w:iCs/>
        </w:rPr>
        <w:t xml:space="preserve">τ</w:t>
      </w:r>
      <w:r>
        <w:rPr>
          <w:vertAlign w:val="subscript"/>
        </w:rPr>
        <w:t xml:space="preserve">s</w:t>
      </w:r>
      <w:r>
        <w:t xml:space="preserve">) meets all three conditions by construction. Introduced as an ordinal, multivariate index of coordination in chaotic and ecological dynamics</w:t>
      </w:r>
      <w:r>
        <w:rPr>
          <w:vertAlign w:val="superscript"/>
        </w:rPr>
        <w:t xml:space="preserve">13,14</w:t>
      </w:r>
      <w:r>
        <w:t xml:space="preserve"> </w:t>
      </w:r>
      <w:r>
        <w:t xml:space="preserve">and formalized as the sliding-window mean of pairwise Kendall-type concordances across variables</w:t>
      </w:r>
      <w:r>
        <w:rPr>
          <w:vertAlign w:val="superscript"/>
        </w:rPr>
        <w:t xml:space="preserve">15,16</w:t>
      </w:r>
      <w:r>
        <w:t xml:space="preserve">, it has been used to characterize synchronization hierarchies in modular chaotic networks</w:t>
      </w:r>
      <w:r>
        <w:rPr>
          <w:vertAlign w:val="superscript"/>
        </w:rPr>
        <w:t xml:space="preserve">17</w:t>
      </w:r>
      <w:r>
        <w:t xml:space="preserve"> </w:t>
      </w:r>
      <w:r>
        <w:t xml:space="preserve">and as an early-warning signal for dengue outbreaks</w:t>
      </w:r>
      <w:r>
        <w:rPr>
          <w:vertAlign w:val="superscript"/>
        </w:rPr>
        <w:t xml:space="preserve">18</w:t>
      </w:r>
      <w:r>
        <w:t xml:space="preserve">. Because</w:t>
      </w:r>
      <w:r>
        <w:t xml:space="preserve"> </w:t>
      </w:r>
      <w:r>
        <w:rPr>
          <w:i/>
          <w:iCs/>
        </w:rPr>
        <w:t xml:space="preserve">τ</w:t>
      </w:r>
      <w:r>
        <w:rPr>
          <w:vertAlign w:val="subscript"/>
        </w:rPr>
        <w:t xml:space="preserve">s</w:t>
      </w:r>
      <w:r>
        <w:t xml:space="preserve"> </w:t>
      </w:r>
      <w:r>
        <w:t xml:space="preserve">is an average of pairwise terms, a change in its value can be traced to the pairs responsible; because it is built on ranks, it is invariant to monotone transformations of activity and requires neither phases nor labels.</w:t>
      </w:r>
    </w:p>
    <w:p>
      <w:pPr>
        <w:pStyle w:val="BodyText"/>
      </w:pPr>
      <w:r>
        <w:t xml:space="preserve">Here we propose Tau Regenerative Intelligence (TRI), a framework in which</w:t>
      </w:r>
      <w:r>
        <w:t xml:space="preserve"> </w:t>
      </w:r>
      <w:r>
        <w:rPr>
          <w:i/>
          <w:iCs/>
        </w:rPr>
        <w:t xml:space="preserve">τ</w:t>
      </w:r>
      <w:r>
        <w:rPr>
          <w:vertAlign w:val="subscript"/>
        </w:rPr>
        <w:t xml:space="preserve">s</w:t>
      </w:r>
      <w:r>
        <w:t xml:space="preserve"> </w:t>
      </w:r>
      <w:r>
        <w:t xml:space="preserve">is treated as a regulated variable of an event-driven network and structural change is its effector (Fig. 1). We give</w:t>
      </w:r>
      <w:r>
        <w:t xml:space="preserve"> </w:t>
      </w:r>
      <w:r>
        <w:rPr>
          <w:i/>
          <w:iCs/>
        </w:rPr>
        <w:t xml:space="preserve">τ</w:t>
      </w:r>
      <w:r>
        <w:rPr>
          <w:vertAlign w:val="subscript"/>
        </w:rPr>
        <w:t xml:space="preserve">s</w:t>
      </w:r>
      <w:r>
        <w:t xml:space="preserve"> </w:t>
      </w:r>
      <w:r>
        <w:t xml:space="preserve">a well-posed estimator for event streams, characterize its range and its behaviour under independence, and identify a property of signed concordance averages, cancellation between concordant and anti-concordant pairs, that constrains how any such variable can be used as a trigger. We then specify a decisive experiment. Its central contrast is not between TRI and a conventional learner but between</w:t>
      </w:r>
      <w:r>
        <w:t xml:space="preserve"> </w:t>
      </w:r>
      <w:r>
        <w:rPr>
          <w:i/>
          <w:iCs/>
        </w:rPr>
        <w:t xml:space="preserve">τ</w:t>
      </w:r>
      <w:r>
        <w:rPr>
          <w:vertAlign w:val="subscript"/>
        </w:rPr>
        <w:t xml:space="preserve">s</w:t>
      </w:r>
      <w:r>
        <w:t xml:space="preserve">-guided repair and the same repair machinery acting on random targets, at random times, or when prompted by task error. The framework is stated so that it can fail: hypotheses, endpoints, analyses and the conditions under which the central claim would be rejected are fixed before any confirmatory data exist.</w:t>
      </w:r>
    </w:p>
    <w:bookmarkStart w:id="9" w:name="order-coherence-as-a-regulated-variable"/>
    <w:p>
      <w:pPr>
        <w:pStyle w:val="Heading1"/>
      </w:pPr>
      <w:r>
        <w:t xml:space="preserve">Order coherence as a regulated variable</w:t>
      </w:r>
    </w:p>
    <w:p>
      <w:pPr>
        <w:pStyle w:val="FirstParagraph"/>
      </w:pPr>
      <w:r>
        <w:t xml:space="preserve">A concordance between two modules requires two series indexed by the same points. Event times of different modules do not provide such an index: modules emit different numbers of events, and the ranks of a single module’s own event times are trivially ordered, so a concordance computed on them carries no information about the dynamics. We therefore place all modules on a common discrete event index, bin their binary emissions into counts and compute, within a sliding window of</w:t>
      </w:r>
      <w:r>
        <w:t xml:space="preserve"> </w:t>
      </w:r>
      <w:r>
        <w:rPr>
          <w:i/>
          <w:iCs/>
        </w:rPr>
        <w:t xml:space="preserve">W</w:t>
      </w:r>
      <w:r>
        <w:t xml:space="preserve"> </w:t>
      </w:r>
      <w:r>
        <w:t xml:space="preserve">ticks, the tie-corrected Kendall coefficient</w:t>
      </w:r>
      <w:r>
        <w:t xml:space="preserve"> </w:t>
      </w:r>
      <w:r>
        <w:rPr>
          <w:i/>
          <w:iCs/>
        </w:rPr>
        <w:t xml:space="preserve">τ</w:t>
      </w:r>
      <w:r>
        <w:rPr>
          <w:vertAlign w:val="subscript"/>
        </w:rPr>
        <w:t xml:space="preserve">b</w:t>
      </w:r>
      <w:r>
        <w:rPr>
          <w:vertAlign w:val="superscript"/>
        </w:rPr>
        <w:t xml:space="preserve">19,20</w:t>
      </w:r>
      <w:r>
        <w:t xml:space="preserve"> </w:t>
      </w:r>
      <w:r>
        <w:t xml:space="preserve">for every pair of monitored modules (Methods, equations (1)–(3)). The tie correction is a necessity rather than a refinement, because binned spike counts are dominated by ties. Systemic Tau is the mean of these pairwise coefficients over the</w:t>
      </w:r>
      <w:r>
        <w:t xml:space="preserve"> </w:t>
      </w:r>
      <w:r>
        <w:rPr>
          <w:i/>
          <w:iCs/>
        </w:rPr>
        <w:t xml:space="preserve">M</w:t>
      </w:r>
      <w:r>
        <w:t xml:space="preserve"> </w:t>
      </w:r>
      <w:r>
        <w:t xml:space="preserve">=</w:t>
      </w:r>
      <w:r>
        <w:t xml:space="preserve"> </w:t>
      </w:r>
      <w:r>
        <w:rPr>
          <w:i/>
          <w:iCs/>
        </w:rPr>
        <w:t xml:space="preserve">N</w:t>
      </w:r>
      <w:r>
        <w:t xml:space="preserve">(</w:t>
      </w:r>
      <w:r>
        <w:rPr>
          <w:i/>
          <w:iCs/>
        </w:rPr>
        <w:t xml:space="preserve">N</w:t>
      </w:r>
      <w:r>
        <w:t xml:space="preserve"> </w:t>
      </w:r>
      <w:r>
        <w:t xml:space="preserve">− 1)/2 pairs of</w:t>
      </w:r>
      <w:r>
        <w:t xml:space="preserve"> </w:t>
      </w:r>
      <w:r>
        <w:rPr>
          <w:i/>
          <w:iCs/>
        </w:rPr>
        <w:t xml:space="preserve">N</w:t>
      </w:r>
      <w:r>
        <w:t xml:space="preserve"> </w:t>
      </w:r>
      <w:r>
        <w:t xml:space="preserve">modules (equation (4)).</w:t>
      </w:r>
    </w:p>
    <w:p>
      <w:pPr>
        <w:pStyle w:val="BodyText"/>
      </w:pPr>
      <w:r>
        <w:t xml:space="preserve">Two properties of this estimator govern how it can be read. First,</w:t>
      </w:r>
      <w:r>
        <w:t xml:space="preserve"> </w:t>
      </w:r>
      <w:r>
        <w:rPr>
          <w:i/>
          <w:iCs/>
        </w:rPr>
        <w:t xml:space="preserve">τ</w:t>
      </w:r>
      <w:r>
        <w:rPr>
          <w:vertAlign w:val="subscript"/>
        </w:rPr>
        <w:t xml:space="preserve">b</w:t>
      </w:r>
      <w:r>
        <w:t xml:space="preserve"> </w:t>
      </w:r>
      <w:r>
        <w:t xml:space="preserve">is the cosine between the vectors of pairwise sign differences of two streams, so the matrix of pairwise coefficients is a Gram matrix and is positive semidefinite. It follows that</w:t>
      </w:r>
      <w:r>
        <w:t xml:space="preserve"> </w:t>
      </w:r>
      <w:r>
        <w:rPr>
          <w:i/>
          <w:iCs/>
        </w:rPr>
        <w:t xml:space="preserve">τ</w:t>
      </w:r>
      <w:r>
        <w:rPr>
          <w:vertAlign w:val="subscript"/>
        </w:rPr>
        <w:t xml:space="preserve">s</w:t>
      </w:r>
      <w:r>
        <w:t xml:space="preserve"> </w:t>
      </w:r>
      <w:r>
        <w:t xml:space="preserve">is bounded below by −1/(</w:t>
      </w:r>
      <w:r>
        <w:rPr>
          <w:i/>
          <w:iCs/>
        </w:rPr>
        <w:t xml:space="preserve">N</w:t>
      </w:r>
      <w:r>
        <w:t xml:space="preserve"> </w:t>
      </w:r>
      <w:r>
        <w:t xml:space="preserve">− 1) rather than by −1: with seven modules,</w:t>
      </w:r>
      <w:r>
        <w:t xml:space="preserve"> </w:t>
      </w:r>
      <w:r>
        <w:rPr>
          <w:i/>
          <w:iCs/>
        </w:rPr>
        <w:t xml:space="preserve">τ</w:t>
      </w:r>
      <w:r>
        <w:rPr>
          <w:vertAlign w:val="subscript"/>
        </w:rPr>
        <w:t xml:space="preserve">s</w:t>
      </w:r>
      <w:r>
        <w:t xml:space="preserve"> </w:t>
      </w:r>
      <w:r>
        <w:t xml:space="preserve">cannot fall below −1/6 although any single pair can reach −1. Second, negative values have a definite meaning. They indicate anti-concordance, in which some modules are active while others are silent, as under mutual inhibition, alternation or one-hot coding. Anti-concordance is an ordered relation, not an absence of order and not a signature of chaos. Values near zero, conversely, do not establish independence; they are equally consistent with non-monotone dependence and with concordant and anti-concordant pairs that offset one another.</w:t>
      </w:r>
    </w:p>
    <w:p>
      <w:pPr>
        <w:pStyle w:val="BodyText"/>
      </w:pPr>
      <w:r>
        <w:t xml:space="preserve">This last possibility is more than a technicality, because networks that compute are generically built from both kinds of relation. In the XOR network used below, the two complementary codes of each input bit are anti-concordant by design, whereas each input and the coincidence detector it drives are concordant. The mean of such a matrix can lie close to zero, and close to the value expected under independence, while the matrix itself is highly structured; a lesion that weakens concordant and anti-concordant pairs alike can leave the mean almost unchanged. Three requirements follow for any controller that regulates a signed concordance average. The admissible band must be two-sided, because the variable can leave it in either direction. A matrix-level deviation statistic, immune to cancellation, must be available as an alternative trigger. And the healthy value of</w:t>
      </w:r>
      <w:r>
        <w:t xml:space="preserve"> </w:t>
      </w:r>
      <w:r>
        <w:rPr>
          <w:i/>
          <w:iCs/>
        </w:rPr>
        <w:t xml:space="preserve">τ</w:t>
      </w:r>
      <w:r>
        <w:rPr>
          <w:vertAlign w:val="subscript"/>
        </w:rPr>
        <w:t xml:space="preserve">s</w:t>
      </w:r>
      <w:r>
        <w:t xml:space="preserve"> </w:t>
      </w:r>
      <w:r>
        <w:t xml:space="preserve">must be shown to differ from its no-dependence reference at the chosen window before</w:t>
      </w:r>
      <w:r>
        <w:t xml:space="preserve"> </w:t>
      </w:r>
      <w:r>
        <w:rPr>
          <w:i/>
          <w:iCs/>
        </w:rPr>
        <w:t xml:space="preserve">τ</w:t>
      </w:r>
      <w:r>
        <w:rPr>
          <w:vertAlign w:val="subscript"/>
        </w:rPr>
        <w:t xml:space="preserve">s</w:t>
      </w:r>
      <w:r>
        <w:t xml:space="preserve"> </w:t>
      </w:r>
      <w:r>
        <w:t xml:space="preserve">can serve as an alarm at all.</w:t>
      </w:r>
    </w:p>
    <w:p>
      <w:pPr>
        <w:pStyle w:val="BodyText"/>
      </w:pPr>
      <w:r>
        <w:t xml:space="preserve">That reference must accompany every reported value of</w:t>
      </w:r>
      <w:r>
        <w:t xml:space="preserve"> </w:t>
      </w:r>
      <w:r>
        <w:rPr>
          <w:i/>
          <w:iCs/>
        </w:rPr>
        <w:t xml:space="preserve">τ</w:t>
      </w:r>
      <w:r>
        <w:rPr>
          <w:vertAlign w:val="subscript"/>
        </w:rPr>
        <w:t xml:space="preserve">s</w:t>
      </w:r>
      <w:r>
        <w:t xml:space="preserve">. We obtain it from circular-shift surrogates, which preserve each stream’s values and autocorrelation while destroying cross-module alignment</w:t>
      </w:r>
      <w:r>
        <w:rPr>
          <w:vertAlign w:val="superscript"/>
        </w:rPr>
        <w:t xml:space="preserve">21–23</w:t>
      </w:r>
      <w:r>
        <w:t xml:space="preserve">, complemented by rate-matched independent streams and by an analytical guide: for serially independent binary streams, the null standard deviation of</w:t>
      </w:r>
      <w:r>
        <w:t xml:space="preserve"> </w:t>
      </w:r>
      <w:r>
        <w:rPr>
          <w:i/>
          <w:iCs/>
        </w:rPr>
        <w:t xml:space="preserve">τ</w:t>
      </w:r>
      <w:r>
        <w:rPr>
          <w:vertAlign w:val="subscript"/>
        </w:rPr>
        <w:t xml:space="preserve">s</w:t>
      </w:r>
      <w:r>
        <w:t xml:space="preserve"> </w:t>
      </w:r>
      <w:r>
        <w:t xml:space="preserve">is approximately 1/√(</w:t>
      </w:r>
      <w:r>
        <w:rPr>
          <w:i/>
          <w:iCs/>
        </w:rPr>
        <w:t xml:space="preserve">W</w:t>
      </w:r>
      <w:r>
        <w:rPr>
          <w:vertAlign w:val="subscript"/>
        </w:rPr>
        <w:t xml:space="preserve">b</w:t>
      </w:r>
      <w:r>
        <w:rPr>
          <w:i/>
          <w:iCs/>
        </w:rPr>
        <w:t xml:space="preserve">M</w:t>
      </w:r>
      <w:r>
        <w:t xml:space="preserve">), where</w:t>
      </w:r>
      <w:r>
        <w:t xml:space="preserve"> </w:t>
      </w:r>
      <w:r>
        <w:rPr>
          <w:i/>
          <w:iCs/>
        </w:rPr>
        <w:t xml:space="preserve">W</w:t>
      </w:r>
      <w:r>
        <w:rPr>
          <w:vertAlign w:val="subscript"/>
        </w:rPr>
        <w:t xml:space="preserve">b</w:t>
      </w:r>
      <w:r>
        <w:t xml:space="preserve"> </w:t>
      </w:r>
      <w:r>
        <w:t xml:space="preserve">is the number of bins in the window (equation (6)). Short windows also bias</w:t>
      </w:r>
      <w:r>
        <w:t xml:space="preserve"> </w:t>
      </w:r>
      <w:r>
        <w:rPr>
          <w:i/>
          <w:iCs/>
        </w:rPr>
        <w:t xml:space="preserve">τ</w:t>
      </w:r>
      <w:r>
        <w:rPr>
          <w:vertAlign w:val="subscript"/>
        </w:rPr>
        <w:t xml:space="preserve">s</w:t>
      </w:r>
      <w:r>
        <w:t xml:space="preserve"> </w:t>
      </w:r>
      <w:r>
        <w:t xml:space="preserve">towards zero, because a sparse module is often silent throughout a window, leaving its pairs undefined (equation (8)). Together these relations imply a minimum window below which</w:t>
      </w:r>
      <w:r>
        <w:t xml:space="preserve"> </w:t>
      </w:r>
      <w:r>
        <w:rPr>
          <w:i/>
          <w:iCs/>
        </w:rPr>
        <w:t xml:space="preserve">τ</w:t>
      </w:r>
      <w:r>
        <w:rPr>
          <w:vertAlign w:val="subscript"/>
        </w:rPr>
        <w:t xml:space="preserve">s</w:t>
      </w:r>
      <w:r>
        <w:t xml:space="preserve"> </w:t>
      </w:r>
      <w:r>
        <w:t xml:space="preserve">cannot be distinguished from its null (equation (7)), and the experiment below selects the window by a prespecified check rather than by assumption. The practical weight of such references is illustrated by a recent correction to multivariate ordinal-information software, in which an error in joint symbol counting went undetected partly because estimates were not reported alongside their no-dependence values</w:t>
      </w:r>
      <w:r>
        <w:rPr>
          <w:vertAlign w:val="superscript"/>
        </w:rPr>
        <w:t xml:space="preserve">24</w:t>
      </w:r>
      <w:r>
        <w:t xml:space="preserve">. An operational, machine-checkable specification of</w:t>
      </w:r>
      <w:r>
        <w:t xml:space="preserve"> </w:t>
      </w:r>
      <w:r>
        <w:rPr>
          <w:i/>
          <w:iCs/>
        </w:rPr>
        <w:t xml:space="preserve">τ</w:t>
      </w:r>
      <w:r>
        <w:rPr>
          <w:vertAlign w:val="subscript"/>
        </w:rPr>
        <w:t xml:space="preserve">s</w:t>
      </w:r>
      <w:r>
        <w:t xml:space="preserve"> </w:t>
      </w:r>
      <w:r>
        <w:t xml:space="preserve">and an open implementation are available</w:t>
      </w:r>
      <w:r>
        <w:rPr>
          <w:vertAlign w:val="superscript"/>
        </w:rPr>
        <w:t xml:space="preserve">25,26</w:t>
      </w:r>
      <w:r>
        <w:t xml:space="preserve">.</w:t>
      </w:r>
    </w:p>
    <w:bookmarkEnd w:id="9"/>
    <w:bookmarkStart w:id="13" w:name="a-regenerative-controller"/>
    <w:p>
      <w:pPr>
        <w:pStyle w:val="Heading1"/>
      </w:pPr>
      <w:r>
        <w:t xml:space="preserve">A regenerative controller</w:t>
      </w:r>
    </w:p>
    <w:p>
      <w:pPr>
        <w:pStyle w:val="FirstParagraph"/>
      </w:pPr>
      <w:r>
        <w:t xml:space="preserve">TRI acts on a Dynamic Event Graph, a directed graph whose nodes are modules and whose edges carry events. Each non-input module is a discrete-time leaky integrate-and-fire unit whose synaptic weights are fixed in magnitude and sign (equation (9)); what the controller changes is structure, meaning which connections and which modules exist, together with firing thresholds. Edges are admissible only from lower to higher layers, so every event reaches the output within a bounded number of ticks.</w:t>
      </w:r>
    </w:p>
    <w:p>
      <w:pPr>
        <w:pStyle w:val="BodyText"/>
      </w:pPr>
      <w:r>
        <w:t xml:space="preserve">The controller has four components (Fig. 1). A calibration phase on the intact network records the mean</w:t>
      </w:r>
      <w:r>
        <w:t xml:space="preserve"> </w:t>
      </w:r>
      <w:r>
        <w:rPr>
          <w:i/>
          <w:iCs/>
        </w:rPr>
        <w:t xml:space="preserve">μ</w:t>
      </w:r>
      <w:r>
        <w:rPr>
          <w:vertAlign w:val="subscript"/>
        </w:rPr>
        <w:t xml:space="preserve">0</w:t>
      </w:r>
      <w:r>
        <w:t xml:space="preserve"> </w:t>
      </w:r>
      <w:r>
        <w:t xml:space="preserve">and standard deviation</w:t>
      </w:r>
      <w:r>
        <w:t xml:space="preserve"> </w:t>
      </w:r>
      <w:r>
        <w:rPr>
          <w:i/>
          <w:iCs/>
        </w:rPr>
        <w:t xml:space="preserve">σ</w:t>
      </w:r>
      <w:r>
        <w:rPr>
          <w:vertAlign w:val="subscript"/>
        </w:rPr>
        <w:t xml:space="preserve">0</w:t>
      </w:r>
      <w:r>
        <w:t xml:space="preserve"> </w:t>
      </w:r>
      <w:r>
        <w:t xml:space="preserve">of</w:t>
      </w:r>
      <w:r>
        <w:t xml:space="preserve"> </w:t>
      </w:r>
      <w:r>
        <w:rPr>
          <w:i/>
          <w:iCs/>
        </w:rPr>
        <w:t xml:space="preserve">τ</w:t>
      </w:r>
      <w:r>
        <w:rPr>
          <w:vertAlign w:val="subscript"/>
        </w:rPr>
        <w:t xml:space="preserve">s</w:t>
      </w:r>
      <w:r>
        <w:t xml:space="preserve">, the mean pairwise concordance matrix and each module’s firing rate. A trigger fires when</w:t>
      </w:r>
      <w:r>
        <w:t xml:space="preserve"> </w:t>
      </w:r>
      <w:r>
        <w:rPr>
          <w:i/>
          <w:iCs/>
        </w:rPr>
        <w:t xml:space="preserve">τ</w:t>
      </w:r>
      <w:r>
        <w:rPr>
          <w:vertAlign w:val="subscript"/>
        </w:rPr>
        <w:t xml:space="preserve">s</w:t>
      </w:r>
      <w:r>
        <w:t xml:space="preserve"> </w:t>
      </w:r>
      <w:r>
        <w:t xml:space="preserve">departs from</w:t>
      </w:r>
      <w:r>
        <w:t xml:space="preserve"> </w:t>
      </w:r>
      <w:r>
        <w:rPr>
          <w:i/>
          <w:iCs/>
        </w:rPr>
        <w:t xml:space="preserve">μ</w:t>
      </w:r>
      <w:r>
        <w:rPr>
          <w:vertAlign w:val="subscript"/>
        </w:rPr>
        <w:t xml:space="preserve">0</w:t>
      </w:r>
      <w:r>
        <w:t xml:space="preserve"> </w:t>
      </w:r>
      <w:r>
        <w:t xml:space="preserve">by more than</w:t>
      </w:r>
      <w:r>
        <w:t xml:space="preserve"> </w:t>
      </w:r>
      <w:r>
        <w:rPr>
          <w:i/>
          <w:iCs/>
        </w:rPr>
        <w:t xml:space="preserve">kσ</w:t>
      </w:r>
      <w:r>
        <w:rPr>
          <w:vertAlign w:val="subscript"/>
        </w:rPr>
        <w:t xml:space="preserve">0</w:t>
      </w:r>
      <w:r>
        <w:t xml:space="preserve"> </w:t>
      </w:r>
      <w:r>
        <w:t xml:space="preserve">in either direction, subject to a refractory period (equation (10)); a matrix variant fires when the mean absolute deviation of the pairwise matrix from its baseline exceeds a band calibrated in the same way (equation (11)). A source-identification step then selects the pair of modules, in different layers, whose absolute concordance has fallen furthest below its baseline value (equation (12)). Defining the source by loss relative to baseline, rather than by the lowest current concordance, prevents the controller from repairing pairs that are anti-concordant by design. Finally, a regenerative event acts on that pair. It adds a missing connection with the sign of the baseline concordance or, if the connection already exists, spawns a bridge module that relays activity between the two; if coherence has not recovered after a fixed delay, a bridge is added; bridge modules that fall silent are pruned; and the thresholds of hidden and bridge modules are re-entrained towards their baseline firing rates, a form of rate homeostasis</w:t>
      </w:r>
      <w:r>
        <w:rPr>
          <w:vertAlign w:val="superscript"/>
        </w:rPr>
        <w:t xml:space="preserve">8</w:t>
      </w:r>
      <w:r>
        <w:t xml:space="preserve"> </w:t>
      </w:r>
      <w:r>
        <w:t xml:space="preserve">(equation (14)).</w:t>
      </w:r>
    </w:p>
    <w:p>
      <w:pPr>
        <w:pStyle w:val="BodyText"/>
        <w:keepNext/>
        <w:spacing w:before="120" w:after="80"/>
        <w:jc w:val="center"/>
      </w:pPr>
      <w:r>
        <w:drawing>
          <wp:inline>
            <wp:extent cx="5334000" cy="2717259"/>
            <wp:effectExtent b="0" l="0" r="0" t="0"/>
            <wp:docPr descr="" title="" id="11" name="Picture"/>
            <a:graphic>
              <a:graphicData uri="http://schemas.openxmlformats.org/drawingml/2006/picture">
                <pic:pic>
                  <pic:nvPicPr>
                    <pic:cNvPr descr="fig1.png" id="12" name="Picture"/>
                    <pic:cNvPicPr>
                      <a:picLocks noChangeArrowheads="1" noChangeAspect="1"/>
                    </pic:cNvPicPr>
                  </pic:nvPicPr>
                  <pic:blipFill>
                    <a:blip r:embed="rId10"/>
                    <a:stretch>
                      <a:fillRect/>
                    </a:stretch>
                  </pic:blipFill>
                  <pic:spPr bwMode="auto">
                    <a:xfrm>
                      <a:off x="0" y="0"/>
                      <a:ext cx="5334000" cy="2717259"/>
                    </a:xfrm>
                    <a:prstGeom prst="rect">
                      <a:avLst/>
                    </a:prstGeom>
                    <a:noFill/>
                    <a:ln w="9525">
                      <a:noFill/>
                      <a:headEnd/>
                      <a:tailEnd/>
                    </a:ln>
                  </pic:spPr>
                </pic:pic>
              </a:graphicData>
            </a:graphic>
          </wp:inline>
        </w:drawing>
      </w:r>
      <w:r>
        <w:br/>
      </w:r>
    </w:p>
    <w:p>
      <w:pPr>
        <w:pStyle w:val="FigCap"/>
      </w:pPr>
      <w:r>
        <w:rPr>
          <w:b/>
          <w:bCs/>
        </w:rPr>
        <w:t xml:space="preserve">Fig. 1 | The TRI control loop.</w:t>
      </w:r>
      <w:r>
        <w:t xml:space="preserve"> </w:t>
      </w:r>
      <w:r>
        <w:t xml:space="preserve">An event-driven network, a Dynamic Event Graph of leaky integrate-and-fire modules, emits binary events on a common index. Systemic Tau, the mean pairwise Kendall</w:t>
      </w:r>
      <w:r>
        <w:t xml:space="preserve"> </w:t>
      </w:r>
      <w:r>
        <w:rPr>
          <w:i/>
          <w:iCs/>
        </w:rPr>
        <w:t xml:space="preserve">τ</w:t>
      </w:r>
      <w:r>
        <w:rPr>
          <w:vertAlign w:val="subscript"/>
        </w:rPr>
        <w:t xml:space="preserve">b</w:t>
      </w:r>
      <w:r>
        <w:t xml:space="preserve"> </w:t>
      </w:r>
      <w:r>
        <w:t xml:space="preserve">of binned module activity within a sliding window, is compared with a two-sided band calibrated on the intact network. When</w:t>
      </w:r>
      <w:r>
        <w:t xml:space="preserve"> </w:t>
      </w:r>
      <w:r>
        <w:rPr>
          <w:i/>
          <w:iCs/>
        </w:rPr>
        <w:t xml:space="preserve">τ</w:t>
      </w:r>
      <w:r>
        <w:rPr>
          <w:vertAlign w:val="subscript"/>
        </w:rPr>
        <w:t xml:space="preserve">s</w:t>
      </w:r>
      <w:r>
        <w:t xml:space="preserve"> </w:t>
      </w:r>
      <w:r>
        <w:t xml:space="preserve">leaves the band, the controller identifies the module pair whose concordance has departed most from baseline, rewires it by edge addition or removal, bridge genesis and pruning of silent bridges, and re-entrains thresholds before monitoring resumes. Threshold tuning by ordinal error correction runs continuously and is common to all experimental arms; it is the only component that uses task labels.</w:t>
      </w:r>
    </w:p>
    <w:p>
      <w:pPr>
        <w:pStyle w:val="BodyText"/>
      </w:pPr>
      <w:r>
        <w:t xml:space="preserve">Both the alarm and the map are label-free: the trigger and the choice of target depend only on the network’s event streams. TRI as a whole is not objective-free. Thresholds are additionally tuned by a gradient-free rule, ordinal error correction, which accepts random threshold perturbations when they increase the concordance between desired and actual output event streams (equation (13)). This rule uses task labels and runs identically in every arm of the experiment, so that arms differ only in their structural controller. Whether a label-free structural trigger can match one that monitors task error is itself among the hypotheses under test.</w:t>
      </w:r>
    </w:p>
    <w:bookmarkEnd w:id="13"/>
    <w:bookmarkStart w:id="14" w:name="a-falsifiable-test"/>
    <w:p>
      <w:pPr>
        <w:pStyle w:val="Heading1"/>
      </w:pPr>
      <w:r>
        <w:t xml:space="preserve">A falsifiable test</w:t>
      </w:r>
    </w:p>
    <w:p>
      <w:pPr>
        <w:pStyle w:val="FirstParagraph"/>
      </w:pPr>
      <w:r>
        <w:t xml:space="preserve">The claim that</w:t>
      </w:r>
      <w:r>
        <w:t xml:space="preserve"> </w:t>
      </w:r>
      <w:r>
        <w:rPr>
          <w:i/>
          <w:iCs/>
        </w:rPr>
        <w:t xml:space="preserve">τ</w:t>
      </w:r>
      <w:r>
        <w:rPr>
          <w:vertAlign w:val="subscript"/>
        </w:rPr>
        <w:t xml:space="preserve">s</w:t>
      </w:r>
      <w:r>
        <w:t xml:space="preserve"> </w:t>
      </w:r>
      <w:r>
        <w:t xml:space="preserve">tells a network when and where to rebuild has a direct experimental translation. If the claim holds, restructuring triggered and targeted by</w:t>
      </w:r>
      <w:r>
        <w:t xml:space="preserve"> </w:t>
      </w:r>
      <w:r>
        <w:rPr>
          <w:i/>
          <w:iCs/>
        </w:rPr>
        <w:t xml:space="preserve">τ</w:t>
      </w:r>
      <w:r>
        <w:rPr>
          <w:vertAlign w:val="subscript"/>
        </w:rPr>
        <w:t xml:space="preserve">s</w:t>
      </w:r>
      <w:r>
        <w:t xml:space="preserve"> </w:t>
      </w:r>
      <w:r>
        <w:t xml:space="preserve">should restore function after damage better than the same structural operations applied to random targets at the same moments, better than targeted operations applied at random moments and better than no restructuring at all; and it should not be materially worse than restructuring triggered by task error, which has access to information that</w:t>
      </w:r>
      <w:r>
        <w:t xml:space="preserve"> </w:t>
      </w:r>
      <w:r>
        <w:rPr>
          <w:i/>
          <w:iCs/>
        </w:rPr>
        <w:t xml:space="preserve">τ</w:t>
      </w:r>
      <w:r>
        <w:rPr>
          <w:vertAlign w:val="subscript"/>
        </w:rPr>
        <w:t xml:space="preserve">s</w:t>
      </w:r>
      <w:r>
        <w:t xml:space="preserve"> </w:t>
      </w:r>
      <w:r>
        <w:t xml:space="preserve">lacks. Each comparison isolates one component of the claim, and together they constitute the test. Comparisons with conventional learners are informative about cost and retention but cannot, on their own, confirm or refute the role of</w:t>
      </w:r>
      <w:r>
        <w:t xml:space="preserve"> </w:t>
      </w:r>
      <w:r>
        <w:rPr>
          <w:i/>
          <w:iCs/>
        </w:rPr>
        <w:t xml:space="preserve">τ</w:t>
      </w:r>
      <w:r>
        <w:rPr>
          <w:vertAlign w:val="subscript"/>
        </w:rPr>
        <w:t xml:space="preserve">s</w:t>
      </w:r>
      <w:r>
        <w:t xml:space="preserve">.</w:t>
      </w:r>
    </w:p>
    <w:p>
      <w:pPr>
        <w:pStyle w:val="BodyText"/>
      </w:pPr>
      <w:r>
        <w:t xml:space="preserve">We instantiate the test in a regenerative XOR task encoded as event streams (Methods). Four input modules carry one-hot codes of two random bits as Bernoulli spike trains, and two hidden coincidence detectors and one output module form the minimal correct wiring, so the experiment probes regeneration rather than the acquisition of XOR from scratch. In the primary experiment (E1), half of the network’s connections are removed at trial 2,500 of 6,000 while input statistics alternate between two regimes every 1,000 trials, a covariate drift that probes false alarms and recovery under changed conditions. In the secondary experiment (E2) no lesion is applied; instead, the polarity of one input code is swapped every 1,000 trials, so that the fixed wiring computes XNOR rather than XOR and structure must change for function to recover, while each return to the original code measures retention, the stream-learning form of the forgetting problem</w:t>
      </w:r>
      <w:r>
        <w:rPr>
          <w:vertAlign w:val="superscript"/>
        </w:rPr>
        <w:t xml:space="preserve">27</w:t>
      </w:r>
      <w:r>
        <w:t xml:space="preserve">.</w:t>
      </w:r>
    </w:p>
    <w:p>
      <w:pPr>
        <w:pStyle w:val="BodyText"/>
      </w:pPr>
      <w:r>
        <w:t xml:space="preserve">Eleven arms share inputs, noise and lesioned connections through common random numbers (Table 1). Four ablations isolate the contribution of</w:t>
      </w:r>
      <w:r>
        <w:t xml:space="preserve"> </w:t>
      </w:r>
      <w:r>
        <w:rPr>
          <w:i/>
          <w:iCs/>
        </w:rPr>
        <w:t xml:space="preserve">τ</w:t>
      </w:r>
      <w:r>
        <w:rPr>
          <w:vertAlign w:val="subscript"/>
        </w:rPr>
        <w:t xml:space="preserve">s</w:t>
      </w:r>
      <w:r>
        <w:t xml:space="preserve">. Yoked random rewiring performs the same operations as TRI at the same trials on random admissible targets and is the direct descendant of Ashby’s homeostat</w:t>
      </w:r>
      <w:r>
        <w:rPr>
          <w:vertAlign w:val="superscript"/>
        </w:rPr>
        <w:t xml:space="preserve">10</w:t>
      </w:r>
      <w:r>
        <w:t xml:space="preserve">; random-time triggering applies targeted repair at the same number of uniformly random trials; no regeneration leaves only thresholds free to adapt; and performance-triggered regeneration applies targeted repair when running error rises. A one-sided trigger, the matrix trigger and intact networks with and without the controller serve as variants and controls. A long short-term memory (LSTM) network</w:t>
      </w:r>
      <w:r>
        <w:rPr>
          <w:vertAlign w:val="superscript"/>
        </w:rPr>
        <w:t xml:space="preserve">28</w:t>
      </w:r>
      <w:r>
        <w:t xml:space="preserve"> </w:t>
      </w:r>
      <w:r>
        <w:t xml:space="preserve">retrained online after an equivalent lesion, with and without elastic weight consolidation (EWC)</w:t>
      </w:r>
      <w:r>
        <w:rPr>
          <w:vertAlign w:val="superscript"/>
        </w:rPr>
        <w:t xml:space="preserve">4</w:t>
      </w:r>
      <w:r>
        <w:t xml:space="preserve">, provides the conventional reference.</w:t>
      </w:r>
    </w:p>
    <w:p>
      <w:pPr>
        <w:pStyle w:val="TabCap"/>
      </w:pPr>
      <w:r>
        <w:rPr>
          <w:b/>
          <w:bCs/>
        </w:rPr>
        <w:t xml:space="preserve">Table 1 | Experimental arms.</w:t>
      </w:r>
      <w:r>
        <w:t xml:space="preserve"> </w:t>
      </w:r>
      <w:r>
        <w:t xml:space="preserve">All event-driven arms share the module model, ordinal error correction and entrainment and differ only in their structural controller. Experiment E2 uses the first five arms and both LSTM baselines.</w:t>
      </w:r>
    </w:p>
    <w:tbl>
      <w:tblPr>
        <w:tblStyle w:val="Table"/>
        <w:tblW w:type="pct" w:w="5000"/>
        <w:tblLayout w:type="fixed"/>
        <w:tblLook w:firstRow="1" w:lastRow="0" w:firstColumn="0" w:lastColumn="0" w:noHBand="0" w:noVBand="0" w:val="0020"/>
        <w:jc w:val="center"/>
        <w:tblBorders>
          <w:top w:val="single" w:sz="10" w:space="0" w:color="1F3864"/>
          <w:bottom w:val="single" w:sz="10" w:space="0" w:color="1F3864"/>
          <w:insideH w:val="single" w:sz="2" w:space="0" w:color="C8C8C8"/>
          <w:left w:val="nil" w:sz="0" w:space="0" w:color="FFFFFF"/>
          <w:right w:val="nil" w:sz="0" w:space="0" w:color="FFFFFF"/>
          <w:insideV w:val="nil" w:sz="0" w:space="0" w:color="FFFFFF"/>
        </w:tblBorders>
        <w:tblCellMar>
          <w:top w:w="25" w:type="dxa"/>
          <w:left w:w="60" w:type="dxa"/>
          <w:bottom w:w="25" w:type="dxa"/>
          <w:right w:w="60" w:type="dxa"/>
        </w:tblCellMar>
        <w:tblLayout w:type="fixed"/>
      </w:tblPr>
      <w:tblGrid>
        <w:gridCol w:w="1778"/>
        <w:gridCol w:w="2620"/>
        <w:gridCol w:w="2620"/>
        <w:gridCol w:w="2340"/>
      </w:tblGrid>
      <w:tr>
        <w:trPr>
          <w:tblHeader w:val="on"/>
          <w:cantSplit/>
          <w:tblHeader/>
        </w:trPr>
        <w:tc>
          <w:tcPr>
            <w:tcW w:type="dxa" w:w="1778"/>
          </w:tcPr>
          <w:p>
            <w:pPr>
              <w:pStyle w:val="Compact"/>
              <w:keepNext/>
              <w:spacing w:after="20" w:before="20" w:line="240" w:lineRule="auto"/>
              <w:jc w:val="left"/>
            </w:pPr>
            <w:r>
              <w:rPr>
                <w:rFonts w:ascii="Calibri" w:hAnsi="Calibri" w:eastAsia="Calibri" w:cs="Calibri"/>
                <w:b/>
                <w:color w:val="1F3864"/>
                <w:sz w:val="17"/>
              </w:rPr>
              <w:t xml:space="preserve">Arm</w:t>
            </w:r>
          </w:p>
        </w:tc>
        <w:tc>
          <w:tcPr>
            <w:tcW w:type="dxa" w:w="2620"/>
          </w:tcPr>
          <w:p>
            <w:pPr>
              <w:pStyle w:val="Compact"/>
              <w:keepNext/>
              <w:spacing w:after="20" w:before="20" w:line="240" w:lineRule="auto"/>
              <w:jc w:val="left"/>
            </w:pPr>
            <w:r>
              <w:rPr>
                <w:rFonts w:ascii="Calibri" w:hAnsi="Calibri" w:eastAsia="Calibri" w:cs="Calibri"/>
                <w:b/>
                <w:color w:val="1F3864"/>
                <w:sz w:val="17"/>
              </w:rPr>
              <w:t xml:space="preserve">Trigger</w:t>
            </w:r>
          </w:p>
        </w:tc>
        <w:tc>
          <w:tcPr>
            <w:tcW w:type="dxa" w:w="2620"/>
          </w:tcPr>
          <w:p>
            <w:pPr>
              <w:pStyle w:val="Compact"/>
              <w:keepNext/>
              <w:spacing w:after="20" w:before="20" w:line="240" w:lineRule="auto"/>
              <w:jc w:val="left"/>
            </w:pPr>
            <w:r>
              <w:rPr>
                <w:rFonts w:ascii="Calibri" w:hAnsi="Calibri" w:eastAsia="Calibri" w:cs="Calibri"/>
                <w:b/>
                <w:color w:val="1F3864"/>
                <w:sz w:val="17"/>
              </w:rPr>
              <w:t xml:space="preserve">Structural action</w:t>
            </w:r>
          </w:p>
        </w:tc>
        <w:tc>
          <w:tcPr>
            <w:tcW w:type="dxa" w:w="2340"/>
          </w:tcPr>
          <w:p>
            <w:pPr>
              <w:pStyle w:val="Compact"/>
              <w:keepNext/>
              <w:spacing w:after="20" w:before="20" w:line="240" w:lineRule="auto"/>
              <w:jc w:val="left"/>
            </w:pPr>
            <w:r>
              <w:rPr>
                <w:rFonts w:ascii="Calibri" w:hAnsi="Calibri" w:eastAsia="Calibri" w:cs="Calibri"/>
                <w:b/>
                <w:color w:val="1F3864"/>
                <w:sz w:val="17"/>
              </w:rPr>
              <w:t xml:space="preserve">Question addressed</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TRI</w:t>
            </w:r>
          </w:p>
        </w:tc>
        <w:tc>
          <w:tcPr>
            <w:tcW w:type="dxa" w:w="2620"/>
          </w:tcPr>
          <w:p>
            <w:pPr>
              <w:pStyle w:val="Compact"/>
              <w:keepNext/>
              <w:spacing w:after="20" w:before="20" w:line="240" w:lineRule="auto"/>
              <w:jc w:val="left"/>
            </w:pP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 </w:t>
            </w:r>
            <w:r>
              <w:rPr>
                <w:rFonts w:ascii="Calibri" w:hAnsi="Calibri" w:eastAsia="Calibri" w:cs="Calibri"/>
                <w:sz w:val="17"/>
              </w:rPr>
              <w:t xml:space="preserve">outside two-sided band (eq. 10)</w:t>
            </w:r>
          </w:p>
        </w:tc>
        <w:tc>
          <w:tcPr>
            <w:tcW w:type="dxa" w:w="2620"/>
          </w:tcPr>
          <w:p>
            <w:pPr>
              <w:pStyle w:val="Compact"/>
              <w:keepNext/>
              <w:spacing w:after="20" w:before="20" w:line="240" w:lineRule="auto"/>
              <w:jc w:val="left"/>
            </w:pPr>
            <w:r>
              <w:rPr>
                <w:rFonts w:ascii="Calibri" w:hAnsi="Calibri" w:eastAsia="Calibri" w:cs="Calibri"/>
                <w:sz w:val="17"/>
              </w:rPr>
              <w:t xml:space="preserve">Targeted (eq. 12)</w:t>
            </w:r>
          </w:p>
        </w:tc>
        <w:tc>
          <w:tcPr>
            <w:tcW w:type="dxa" w:w="2340"/>
          </w:tcPr>
          <w:p>
            <w:pPr>
              <w:pStyle w:val="Compact"/>
              <w:keepNext/>
              <w:spacing w:after="20" w:before="20" w:line="240" w:lineRule="auto"/>
              <w:jc w:val="left"/>
            </w:pPr>
            <w:r>
              <w:rPr>
                <w:rFonts w:ascii="Calibri" w:hAnsi="Calibri" w:eastAsia="Calibri" w:cs="Calibri"/>
                <w:sz w:val="17"/>
              </w:rPr>
              <w:t xml:space="preserve">Proposed controller</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Yoked random rewiring</w:t>
            </w:r>
          </w:p>
        </w:tc>
        <w:tc>
          <w:tcPr>
            <w:tcW w:type="dxa" w:w="2620"/>
          </w:tcPr>
          <w:p>
            <w:pPr>
              <w:pStyle w:val="Compact"/>
              <w:keepNext/>
              <w:spacing w:after="20" w:before="20" w:line="240" w:lineRule="auto"/>
              <w:jc w:val="left"/>
            </w:pPr>
            <w:r>
              <w:rPr>
                <w:rFonts w:ascii="Calibri" w:hAnsi="Calibri" w:eastAsia="Calibri" w:cs="Calibri"/>
                <w:sz w:val="17"/>
              </w:rPr>
              <w:t xml:space="preserve">Same trials as TRI</w:t>
            </w:r>
          </w:p>
        </w:tc>
        <w:tc>
          <w:tcPr>
            <w:tcW w:type="dxa" w:w="2620"/>
          </w:tcPr>
          <w:p>
            <w:pPr>
              <w:pStyle w:val="Compact"/>
              <w:keepNext/>
              <w:spacing w:after="20" w:before="20" w:line="240" w:lineRule="auto"/>
              <w:jc w:val="left"/>
            </w:pPr>
            <w:r>
              <w:rPr>
                <w:rFonts w:ascii="Calibri" w:hAnsi="Calibri" w:eastAsia="Calibri" w:cs="Calibri"/>
                <w:sz w:val="17"/>
              </w:rPr>
              <w:t xml:space="preserve">Same operation types, random admissible targets</w:t>
            </w:r>
          </w:p>
        </w:tc>
        <w:tc>
          <w:tcPr>
            <w:tcW w:type="dxa" w:w="2340"/>
          </w:tcPr>
          <w:p>
            <w:pPr>
              <w:pStyle w:val="Compact"/>
              <w:keepNext/>
              <w:spacing w:after="20" w:before="20" w:line="240" w:lineRule="auto"/>
              <w:jc w:val="left"/>
            </w:pPr>
            <w:r>
              <w:rPr>
                <w:rFonts w:ascii="Calibri" w:hAnsi="Calibri" w:eastAsia="Calibri" w:cs="Calibri"/>
                <w:sz w:val="17"/>
              </w:rPr>
              <w:t xml:space="preserve">Does targeting matter?</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Random timing</w:t>
            </w:r>
          </w:p>
        </w:tc>
        <w:tc>
          <w:tcPr>
            <w:tcW w:type="dxa" w:w="2620"/>
          </w:tcPr>
          <w:p>
            <w:pPr>
              <w:pStyle w:val="Compact"/>
              <w:keepNext/>
              <w:spacing w:after="20" w:before="20" w:line="240" w:lineRule="auto"/>
              <w:jc w:val="left"/>
            </w:pPr>
            <w:r>
              <w:rPr>
                <w:rFonts w:ascii="Calibri" w:hAnsi="Calibri" w:eastAsia="Calibri" w:cs="Calibri"/>
                <w:sz w:val="17"/>
              </w:rPr>
              <w:t xml:space="preserve">Same number of triggers, uniformly random trials</w:t>
            </w:r>
          </w:p>
        </w:tc>
        <w:tc>
          <w:tcPr>
            <w:tcW w:type="dxa" w:w="2620"/>
          </w:tcPr>
          <w:p>
            <w:pPr>
              <w:pStyle w:val="Compact"/>
              <w:keepNext/>
              <w:spacing w:after="20" w:before="20" w:line="240" w:lineRule="auto"/>
              <w:jc w:val="left"/>
            </w:pPr>
            <w:r>
              <w:rPr>
                <w:rFonts w:ascii="Calibri" w:hAnsi="Calibri" w:eastAsia="Calibri" w:cs="Calibri"/>
                <w:sz w:val="17"/>
              </w:rPr>
              <w:t xml:space="preserve">Targeted</w:t>
            </w:r>
          </w:p>
        </w:tc>
        <w:tc>
          <w:tcPr>
            <w:tcW w:type="dxa" w:w="2340"/>
          </w:tcPr>
          <w:p>
            <w:pPr>
              <w:pStyle w:val="Compact"/>
              <w:keepNext/>
              <w:spacing w:after="20" w:before="20" w:line="240" w:lineRule="auto"/>
              <w:jc w:val="left"/>
            </w:pPr>
            <w:r>
              <w:rPr>
                <w:rFonts w:ascii="Calibri" w:hAnsi="Calibri" w:eastAsia="Calibri" w:cs="Calibri"/>
                <w:sz w:val="17"/>
              </w:rPr>
              <w:t xml:space="preserve">Does timing by</w:t>
            </w:r>
            <w:r>
              <w:rPr>
                <w:rFonts w:ascii="Calibri" w:hAnsi="Calibri" w:eastAsia="Calibri" w:cs="Calibri"/>
                <w:sz w:val="17"/>
              </w:rPr>
              <w:t xml:space="preserve"> </w:t>
            </w: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 </w:t>
            </w:r>
            <w:r>
              <w:rPr>
                <w:rFonts w:ascii="Calibri" w:hAnsi="Calibri" w:eastAsia="Calibri" w:cs="Calibri"/>
                <w:sz w:val="17"/>
              </w:rPr>
              <w:t xml:space="preserve">matter?</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No regeneration</w:t>
            </w:r>
          </w:p>
        </w:tc>
        <w:tc>
          <w:tcPr>
            <w:tcW w:type="dxa" w:w="2620"/>
          </w:tcPr>
          <w:p>
            <w:pPr>
              <w:pStyle w:val="Compact"/>
              <w:keepNext/>
              <w:spacing w:after="20" w:before="20" w:line="240" w:lineRule="auto"/>
              <w:jc w:val="left"/>
            </w:pPr>
            <w:r>
              <w:rPr>
                <w:rFonts w:ascii="Calibri" w:hAnsi="Calibri" w:eastAsia="Calibri" w:cs="Calibri"/>
                <w:sz w:val="17"/>
              </w:rPr>
              <w:t xml:space="preserve">Never</w:t>
            </w:r>
          </w:p>
        </w:tc>
        <w:tc>
          <w:tcPr>
            <w:tcW w:type="dxa" w:w="2620"/>
          </w:tcPr>
          <w:p>
            <w:pPr>
              <w:pStyle w:val="Compact"/>
              <w:keepNext/>
              <w:spacing w:after="20" w:before="20" w:line="240" w:lineRule="auto"/>
              <w:jc w:val="left"/>
            </w:pPr>
            <w:r>
              <w:rPr>
                <w:rFonts w:ascii="Calibri" w:hAnsi="Calibri" w:eastAsia="Calibri" w:cs="Calibri"/>
                <w:sz w:val="17"/>
              </w:rPr>
              <w:t xml:space="preserve">None; thresholds still adapt</w:t>
            </w:r>
          </w:p>
        </w:tc>
        <w:tc>
          <w:tcPr>
            <w:tcW w:type="dxa" w:w="2340"/>
          </w:tcPr>
          <w:p>
            <w:pPr>
              <w:pStyle w:val="Compact"/>
              <w:keepNext/>
              <w:spacing w:after="20" w:before="20" w:line="240" w:lineRule="auto"/>
              <w:jc w:val="left"/>
            </w:pPr>
            <w:r>
              <w:rPr>
                <w:rFonts w:ascii="Calibri" w:hAnsi="Calibri" w:eastAsia="Calibri" w:cs="Calibri"/>
                <w:sz w:val="17"/>
              </w:rPr>
              <w:t xml:space="preserve">Does restructuring add anything?</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Performance-triggered</w:t>
            </w:r>
          </w:p>
        </w:tc>
        <w:tc>
          <w:tcPr>
            <w:tcW w:type="dxa" w:w="2620"/>
          </w:tcPr>
          <w:p>
            <w:pPr>
              <w:pStyle w:val="Compact"/>
              <w:keepNext/>
              <w:spacing w:after="20" w:before="20" w:line="240" w:lineRule="auto"/>
              <w:jc w:val="left"/>
            </w:pPr>
            <w:r>
              <w:rPr>
                <w:rFonts w:ascii="Calibri" w:hAnsi="Calibri" w:eastAsia="Calibri" w:cs="Calibri"/>
                <w:sz w:val="17"/>
              </w:rPr>
              <w:t xml:space="preserve">Running error above</w:t>
            </w:r>
            <w:r>
              <w:rPr>
                <w:rFonts w:ascii="Calibri" w:hAnsi="Calibri" w:eastAsia="Calibri" w:cs="Calibri"/>
                <w:sz w:val="17"/>
              </w:rPr>
              <w:t xml:space="preserve"> </w:t>
            </w:r>
            <w:r>
              <w:rPr>
                <w:rFonts w:ascii="Calibri" w:hAnsi="Calibri" w:eastAsia="Calibri" w:cs="Calibri"/>
                <w:i/>
                <w:iCs/>
                <w:sz w:val="17"/>
              </w:rPr>
              <w:t xml:space="preserve">μ</w:t>
            </w:r>
            <w:r>
              <w:rPr>
                <w:rFonts w:ascii="Calibri" w:hAnsi="Calibri" w:eastAsia="Calibri" w:cs="Calibri"/>
                <w:sz w:val="17"/>
                <w:vertAlign w:val="subscript"/>
              </w:rPr>
              <w:t xml:space="preserve">e</w:t>
            </w:r>
            <w:r>
              <w:rPr>
                <w:rFonts w:ascii="Calibri" w:hAnsi="Calibri" w:eastAsia="Calibri" w:cs="Calibri"/>
                <w:sz w:val="17"/>
              </w:rPr>
              <w:t xml:space="preserve"> </w:t>
            </w:r>
            <w:r>
              <w:rPr>
                <w:rFonts w:ascii="Calibri" w:hAnsi="Calibri" w:eastAsia="Calibri" w:cs="Calibri"/>
                <w:sz w:val="17"/>
              </w:rPr>
              <w:t xml:space="preserve">+ 3</w:t>
            </w:r>
            <w:r>
              <w:rPr>
                <w:rFonts w:ascii="Calibri" w:hAnsi="Calibri" w:eastAsia="Calibri" w:cs="Calibri"/>
                <w:i/>
                <w:iCs/>
                <w:sz w:val="17"/>
              </w:rPr>
              <w:t xml:space="preserve">σ</w:t>
            </w:r>
            <w:r>
              <w:rPr>
                <w:rFonts w:ascii="Calibri" w:hAnsi="Calibri" w:eastAsia="Calibri" w:cs="Calibri"/>
                <w:sz w:val="17"/>
                <w:vertAlign w:val="subscript"/>
              </w:rPr>
              <w:t xml:space="preserve">e</w:t>
            </w:r>
            <w:r>
              <w:rPr>
                <w:rFonts w:ascii="Calibri" w:hAnsi="Calibri" w:eastAsia="Calibri" w:cs="Calibri"/>
                <w:sz w:val="17"/>
              </w:rPr>
              <w:t xml:space="preserve"> </w:t>
            </w:r>
            <w:r>
              <w:rPr>
                <w:rFonts w:ascii="Calibri" w:hAnsi="Calibri" w:eastAsia="Calibri" w:cs="Calibri"/>
                <w:sz w:val="17"/>
              </w:rPr>
              <w:t xml:space="preserve">(uses labels)</w:t>
            </w:r>
          </w:p>
        </w:tc>
        <w:tc>
          <w:tcPr>
            <w:tcW w:type="dxa" w:w="2620"/>
          </w:tcPr>
          <w:p>
            <w:pPr>
              <w:pStyle w:val="Compact"/>
              <w:keepNext/>
              <w:spacing w:after="20" w:before="20" w:line="240" w:lineRule="auto"/>
              <w:jc w:val="left"/>
            </w:pPr>
            <w:r>
              <w:rPr>
                <w:rFonts w:ascii="Calibri" w:hAnsi="Calibri" w:eastAsia="Calibri" w:cs="Calibri"/>
                <w:sz w:val="17"/>
              </w:rPr>
              <w:t xml:space="preserve">Targeted</w:t>
            </w:r>
          </w:p>
        </w:tc>
        <w:tc>
          <w:tcPr>
            <w:tcW w:type="dxa" w:w="2340"/>
          </w:tcPr>
          <w:p>
            <w:pPr>
              <w:pStyle w:val="Compact"/>
              <w:keepNext/>
              <w:spacing w:after="20" w:before="20" w:line="240" w:lineRule="auto"/>
              <w:jc w:val="left"/>
            </w:pPr>
            <w:r>
              <w:rPr>
                <w:rFonts w:ascii="Calibri" w:hAnsi="Calibri" w:eastAsia="Calibri" w:cs="Calibri"/>
                <w:sz w:val="17"/>
              </w:rPr>
              <w:t xml:space="preserve">Is a label-free trigger sufficient?</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One-sided TRI</w:t>
            </w:r>
          </w:p>
        </w:tc>
        <w:tc>
          <w:tcPr>
            <w:tcW w:type="dxa" w:w="2620"/>
          </w:tcPr>
          <w:p>
            <w:pPr>
              <w:pStyle w:val="Compact"/>
              <w:keepNext/>
              <w:spacing w:after="20" w:before="20" w:line="240" w:lineRule="auto"/>
              <w:jc w:val="left"/>
            </w:pP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 </w:t>
            </w:r>
            <w:r>
              <w:rPr>
                <w:rFonts w:ascii="Calibri" w:hAnsi="Calibri" w:eastAsia="Calibri" w:cs="Calibri"/>
                <w:sz w:val="17"/>
              </w:rPr>
              <w:t xml:space="preserve">&lt;</w:t>
            </w:r>
            <w:r>
              <w:rPr>
                <w:rFonts w:ascii="Calibri" w:hAnsi="Calibri" w:eastAsia="Calibri" w:cs="Calibri"/>
                <w:sz w:val="17"/>
              </w:rPr>
              <w:t xml:space="preserve"> </w:t>
            </w:r>
            <w:r>
              <w:rPr>
                <w:rFonts w:ascii="Calibri" w:hAnsi="Calibri" w:eastAsia="Calibri" w:cs="Calibri"/>
                <w:i/>
                <w:iCs/>
                <w:sz w:val="17"/>
              </w:rPr>
              <w:t xml:space="preserve">μ</w:t>
            </w:r>
            <w:r>
              <w:rPr>
                <w:rFonts w:ascii="Calibri" w:hAnsi="Calibri" w:eastAsia="Calibri" w:cs="Calibri"/>
                <w:sz w:val="17"/>
                <w:vertAlign w:val="subscript"/>
              </w:rPr>
              <w:t xml:space="preserve">0</w:t>
            </w:r>
            <w:r>
              <w:rPr>
                <w:rFonts w:ascii="Calibri" w:hAnsi="Calibri" w:eastAsia="Calibri" w:cs="Calibri"/>
                <w:sz w:val="17"/>
              </w:rPr>
              <w:t xml:space="preserve"> </w:t>
            </w:r>
            <w:r>
              <w:rPr>
                <w:rFonts w:ascii="Calibri" w:hAnsi="Calibri" w:eastAsia="Calibri" w:cs="Calibri"/>
                <w:sz w:val="17"/>
              </w:rPr>
              <w:t xml:space="preserve">−</w:t>
            </w:r>
            <w:r>
              <w:rPr>
                <w:rFonts w:ascii="Calibri" w:hAnsi="Calibri" w:eastAsia="Calibri" w:cs="Calibri"/>
                <w:sz w:val="17"/>
              </w:rPr>
              <w:t xml:space="preserve"> </w:t>
            </w:r>
            <w:r>
              <w:rPr>
                <w:rFonts w:ascii="Calibri" w:hAnsi="Calibri" w:eastAsia="Calibri" w:cs="Calibri"/>
                <w:i/>
                <w:iCs/>
                <w:sz w:val="17"/>
              </w:rPr>
              <w:t xml:space="preserve">kσ</w:t>
            </w:r>
            <w:r>
              <w:rPr>
                <w:rFonts w:ascii="Calibri" w:hAnsi="Calibri" w:eastAsia="Calibri" w:cs="Calibri"/>
                <w:sz w:val="17"/>
                <w:vertAlign w:val="subscript"/>
              </w:rPr>
              <w:t xml:space="preserve">0</w:t>
            </w:r>
          </w:p>
        </w:tc>
        <w:tc>
          <w:tcPr>
            <w:tcW w:type="dxa" w:w="2620"/>
          </w:tcPr>
          <w:p>
            <w:pPr>
              <w:pStyle w:val="Compact"/>
              <w:keepNext/>
              <w:spacing w:after="20" w:before="20" w:line="240" w:lineRule="auto"/>
              <w:jc w:val="left"/>
            </w:pPr>
            <w:r>
              <w:rPr>
                <w:rFonts w:ascii="Calibri" w:hAnsi="Calibri" w:eastAsia="Calibri" w:cs="Calibri"/>
                <w:sz w:val="17"/>
              </w:rPr>
              <w:t xml:space="preserve">Targeted</w:t>
            </w:r>
          </w:p>
        </w:tc>
        <w:tc>
          <w:tcPr>
            <w:tcW w:type="dxa" w:w="2340"/>
          </w:tcPr>
          <w:p>
            <w:pPr>
              <w:pStyle w:val="Compact"/>
              <w:keepNext/>
              <w:spacing w:after="20" w:before="20" w:line="240" w:lineRule="auto"/>
              <w:jc w:val="left"/>
            </w:pPr>
            <w:r>
              <w:rPr>
                <w:rFonts w:ascii="Calibri" w:hAnsi="Calibri" w:eastAsia="Calibri" w:cs="Calibri"/>
                <w:sz w:val="17"/>
              </w:rPr>
              <w:t xml:space="preserve">Is a two-sided band needed?</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Matrix TRI</w:t>
            </w:r>
          </w:p>
        </w:tc>
        <w:tc>
          <w:tcPr>
            <w:tcW w:type="dxa" w:w="2620"/>
          </w:tcPr>
          <w:p>
            <w:pPr>
              <w:pStyle w:val="Compact"/>
              <w:keepNext/>
              <w:spacing w:after="20" w:before="20" w:line="240" w:lineRule="auto"/>
              <w:jc w:val="left"/>
            </w:pPr>
            <w:r>
              <w:rPr>
                <w:rFonts w:ascii="Calibri" w:hAnsi="Calibri" w:eastAsia="Calibri" w:cs="Calibri"/>
                <w:i/>
                <w:iCs/>
                <w:sz w:val="17"/>
              </w:rPr>
              <w:t xml:space="preserve">D</w:t>
            </w:r>
            <w:r>
              <w:rPr>
                <w:rFonts w:ascii="Calibri" w:hAnsi="Calibri" w:eastAsia="Calibri" w:cs="Calibri"/>
                <w:sz w:val="17"/>
              </w:rPr>
              <w:t xml:space="preserve">(</w:t>
            </w:r>
            <w:r>
              <w:rPr>
                <w:rFonts w:ascii="Calibri" w:hAnsi="Calibri" w:eastAsia="Calibri" w:cs="Calibri"/>
                <w:i/>
                <w:iCs/>
                <w:sz w:val="17"/>
              </w:rPr>
              <w:t xml:space="preserve">κ</w:t>
            </w:r>
            <w:r>
              <w:rPr>
                <w:rFonts w:ascii="Calibri" w:hAnsi="Calibri" w:eastAsia="Calibri" w:cs="Calibri"/>
                <w:sz w:val="17"/>
              </w:rPr>
              <w:t xml:space="preserve">) outside band (eq. 11)</w:t>
            </w:r>
          </w:p>
        </w:tc>
        <w:tc>
          <w:tcPr>
            <w:tcW w:type="dxa" w:w="2620"/>
          </w:tcPr>
          <w:p>
            <w:pPr>
              <w:pStyle w:val="Compact"/>
              <w:keepNext/>
              <w:spacing w:after="20" w:before="20" w:line="240" w:lineRule="auto"/>
              <w:jc w:val="left"/>
            </w:pPr>
            <w:r>
              <w:rPr>
                <w:rFonts w:ascii="Calibri" w:hAnsi="Calibri" w:eastAsia="Calibri" w:cs="Calibri"/>
                <w:sz w:val="17"/>
              </w:rPr>
              <w:t xml:space="preserve">Targeted</w:t>
            </w:r>
          </w:p>
        </w:tc>
        <w:tc>
          <w:tcPr>
            <w:tcW w:type="dxa" w:w="2340"/>
          </w:tcPr>
          <w:p>
            <w:pPr>
              <w:pStyle w:val="Compact"/>
              <w:keepNext/>
              <w:spacing w:after="20" w:before="20" w:line="240" w:lineRule="auto"/>
              <w:jc w:val="left"/>
            </w:pPr>
            <w:r>
              <w:rPr>
                <w:rFonts w:ascii="Calibri" w:hAnsi="Calibri" w:eastAsia="Calibri" w:cs="Calibri"/>
                <w:sz w:val="17"/>
              </w:rPr>
              <w:t xml:space="preserve">Robustness to cancellation</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Intact controls</w:t>
            </w:r>
          </w:p>
        </w:tc>
        <w:tc>
          <w:tcPr>
            <w:tcW w:type="dxa" w:w="2620"/>
          </w:tcPr>
          <w:p>
            <w:pPr>
              <w:pStyle w:val="Compact"/>
              <w:keepNext/>
              <w:spacing w:after="20" w:before="20" w:line="240" w:lineRule="auto"/>
              <w:jc w:val="left"/>
            </w:pP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 </w:t>
            </w:r>
            <w:r>
              <w:rPr>
                <w:rFonts w:ascii="Calibri" w:hAnsi="Calibri" w:eastAsia="Calibri" w:cs="Calibri"/>
                <w:sz w:val="17"/>
              </w:rPr>
              <w:t xml:space="preserve">band, or never; no lesion</w:t>
            </w:r>
          </w:p>
        </w:tc>
        <w:tc>
          <w:tcPr>
            <w:tcW w:type="dxa" w:w="2620"/>
          </w:tcPr>
          <w:p>
            <w:pPr>
              <w:pStyle w:val="Compact"/>
              <w:keepNext/>
              <w:spacing w:after="20" w:before="20" w:line="240" w:lineRule="auto"/>
              <w:jc w:val="left"/>
            </w:pPr>
            <w:r>
              <w:rPr>
                <w:rFonts w:ascii="Calibri" w:hAnsi="Calibri" w:eastAsia="Calibri" w:cs="Calibri"/>
                <w:sz w:val="17"/>
              </w:rPr>
              <w:t xml:space="preserve">Targeted, or none</w:t>
            </w:r>
          </w:p>
        </w:tc>
        <w:tc>
          <w:tcPr>
            <w:tcW w:type="dxa" w:w="2340"/>
          </w:tcPr>
          <w:p>
            <w:pPr>
              <w:pStyle w:val="Compact"/>
              <w:keepNext/>
              <w:spacing w:after="20" w:before="20" w:line="240" w:lineRule="auto"/>
              <w:jc w:val="left"/>
            </w:pPr>
            <w:r>
              <w:rPr>
                <w:rFonts w:ascii="Calibri" w:hAnsi="Calibri" w:eastAsia="Calibri" w:cs="Calibri"/>
                <w:sz w:val="17"/>
              </w:rPr>
              <w:t xml:space="preserve">False alarms; performance ceiling</w:t>
            </w:r>
          </w:p>
        </w:tc>
      </w:tr>
      <w:tr>
        <w:trPr>
          <w:cantSplit/>
        </w:trPr>
        <w:tc>
          <w:tcPr>
            <w:tcW w:type="dxa" w:w="1778"/>
          </w:tcPr>
          <w:p>
            <w:pPr>
              <w:pStyle w:val="Compact"/>
              <w:keepNext/>
              <w:spacing w:after="20" w:before="20" w:line="240" w:lineRule="auto"/>
              <w:jc w:val="left"/>
            </w:pPr>
            <w:r>
              <w:rPr>
                <w:rFonts w:ascii="Calibri" w:hAnsi="Calibri" w:eastAsia="Calibri" w:cs="Calibri"/>
                <w:sz w:val="17"/>
              </w:rPr>
              <w:t xml:space="preserve">LSTM</w:t>
            </w:r>
          </w:p>
        </w:tc>
        <w:tc>
          <w:tcPr>
            <w:tcW w:type="dxa" w:w="2620"/>
          </w:tcPr>
          <w:p>
            <w:pPr>
              <w:pStyle w:val="Compact"/>
              <w:keepNext/>
              <w:spacing w:after="20" w:before="20" w:line="240" w:lineRule="auto"/>
              <w:jc w:val="left"/>
            </w:pPr>
            <w:r>
              <w:rPr>
                <w:rFonts w:ascii="Calibri" w:hAnsi="Calibri" w:eastAsia="Calibri" w:cs="Calibri"/>
                <w:sz w:val="17"/>
              </w:rPr>
              <w:t xml:space="preserve">—</w:t>
            </w:r>
          </w:p>
        </w:tc>
        <w:tc>
          <w:tcPr>
            <w:tcW w:type="dxa" w:w="2620"/>
          </w:tcPr>
          <w:p>
            <w:pPr>
              <w:pStyle w:val="Compact"/>
              <w:keepNext/>
              <w:spacing w:after="20" w:before="20" w:line="240" w:lineRule="auto"/>
              <w:jc w:val="left"/>
            </w:pPr>
            <w:r>
              <w:rPr>
                <w:rFonts w:ascii="Calibri" w:hAnsi="Calibri" w:eastAsia="Calibri" w:cs="Calibri"/>
                <w:sz w:val="17"/>
              </w:rPr>
              <w:t xml:space="preserve">Lesion masks 50% of each weight matrix; online retraining</w:t>
            </w:r>
          </w:p>
        </w:tc>
        <w:tc>
          <w:tcPr>
            <w:tcW w:type="dxa" w:w="2340"/>
          </w:tcPr>
          <w:p>
            <w:pPr>
              <w:pStyle w:val="Compact"/>
              <w:keepNext/>
              <w:spacing w:after="20" w:before="20" w:line="240" w:lineRule="auto"/>
              <w:jc w:val="left"/>
            </w:pPr>
            <w:r>
              <w:rPr>
                <w:rFonts w:ascii="Calibri" w:hAnsi="Calibri" w:eastAsia="Calibri" w:cs="Calibri"/>
                <w:sz w:val="17"/>
              </w:rPr>
              <w:t xml:space="preserve">Conventional retraining</w:t>
            </w:r>
          </w:p>
        </w:tc>
      </w:tr>
      <w:tr>
        <w:trPr>
          <w:cantSplit/>
        </w:trPr>
        <w:tc>
          <w:tcPr>
            <w:tcW w:type="dxa" w:w="1778"/>
          </w:tcPr>
          <w:p>
            <w:pPr>
              <w:pStyle w:val="Compact"/>
              <w:spacing w:after="20" w:before="20" w:line="240" w:lineRule="auto"/>
              <w:jc w:val="left"/>
            </w:pPr>
            <w:r>
              <w:rPr>
                <w:rFonts w:ascii="Calibri" w:hAnsi="Calibri" w:eastAsia="Calibri" w:cs="Calibri"/>
                <w:sz w:val="17"/>
              </w:rPr>
              <w:t xml:space="preserve">LSTM + EWC</w:t>
            </w:r>
          </w:p>
        </w:tc>
        <w:tc>
          <w:tcPr>
            <w:tcW w:type="dxa" w:w="2620"/>
          </w:tcPr>
          <w:p>
            <w:pPr>
              <w:pStyle w:val="Compact"/>
              <w:spacing w:after="20" w:before="20" w:line="240" w:lineRule="auto"/>
              <w:jc w:val="left"/>
            </w:pPr>
            <w:r>
              <w:rPr>
                <w:rFonts w:ascii="Calibri" w:hAnsi="Calibri" w:eastAsia="Calibri" w:cs="Calibri"/>
                <w:sz w:val="17"/>
              </w:rPr>
              <w:t xml:space="preserve">—</w:t>
            </w:r>
          </w:p>
        </w:tc>
        <w:tc>
          <w:tcPr>
            <w:tcW w:type="dxa" w:w="2620"/>
          </w:tcPr>
          <w:p>
            <w:pPr>
              <w:pStyle w:val="Compact"/>
              <w:spacing w:after="20" w:before="20" w:line="240" w:lineRule="auto"/>
              <w:jc w:val="left"/>
            </w:pPr>
            <w:r>
              <w:rPr>
                <w:rFonts w:ascii="Calibri" w:hAnsi="Calibri" w:eastAsia="Calibri" w:cs="Calibri"/>
                <w:sz w:val="17"/>
              </w:rPr>
              <w:t xml:space="preserve">As LSTM, with consolidation at block ends</w:t>
            </w:r>
          </w:p>
        </w:tc>
        <w:tc>
          <w:tcPr>
            <w:tcW w:type="dxa" w:w="2340"/>
          </w:tcPr>
          <w:p>
            <w:pPr>
              <w:pStyle w:val="Compact"/>
              <w:spacing w:after="20" w:before="20" w:line="240" w:lineRule="auto"/>
              <w:jc w:val="left"/>
            </w:pPr>
            <w:r>
              <w:rPr>
                <w:rFonts w:ascii="Calibri" w:hAnsi="Calibri" w:eastAsia="Calibri" w:cs="Calibri"/>
                <w:sz w:val="17"/>
              </w:rPr>
              <w:t xml:space="preserve">Continual-learning reference</w:t>
            </w:r>
          </w:p>
        </w:tc>
      </w:tr>
    </w:tbl>
    <w:p>
      <w:pPr>
        <w:pStyle w:val="BodyText"/>
      </w:pPr>
      <w:r>
        <w:t xml:space="preserve">The primary endpoint is post-lesion accuracy, the mean prequential accuracy over the 1,500 trials after the lesion, which combines the speed and the level of recovery into one number per seed. We hypothesize that</w:t>
      </w:r>
      <w:r>
        <w:t xml:space="preserve"> </w:t>
      </w:r>
      <w:r>
        <w:rPr>
          <w:i/>
          <w:iCs/>
        </w:rPr>
        <w:t xml:space="preserve">τ</w:t>
      </w:r>
      <w:r>
        <w:rPr>
          <w:vertAlign w:val="subscript"/>
        </w:rPr>
        <w:t xml:space="preserve">s</w:t>
      </w:r>
      <w:r>
        <w:t xml:space="preserve"> </w:t>
      </w:r>
      <w:r>
        <w:t xml:space="preserve">leaves its band shortly after the lesion while rarely leaving it before (detection); that</w:t>
      </w:r>
      <w:r>
        <w:t xml:space="preserve"> </w:t>
      </w:r>
      <w:r>
        <w:rPr>
          <w:i/>
          <w:iCs/>
        </w:rPr>
        <w:t xml:space="preserve">τ</w:t>
      </w:r>
      <w:r>
        <w:rPr>
          <w:vertAlign w:val="subscript"/>
        </w:rPr>
        <w:t xml:space="preserve">s</w:t>
      </w:r>
      <w:r>
        <w:t xml:space="preserve">-guided repair exceeds yoked random rewiring (targeting), random-time repair (timing) and no repair (regeneration); and that it is non-inferior to performance-triggered repair within a margin of five percentage points (label-free triggering). As secondary questions we compare TRI with the LSTM baselines in accuracy and in post-lesion computational cost, including the cost of monitoring</w:t>
      </w:r>
      <w:r>
        <w:t xml:space="preserve"> </w:t>
      </w:r>
      <w:r>
        <w:rPr>
          <w:i/>
          <w:iCs/>
        </w:rPr>
        <w:t xml:space="preserve">τ</w:t>
      </w:r>
      <w:r>
        <w:rPr>
          <w:vertAlign w:val="subscript"/>
        </w:rPr>
        <w:t xml:space="preserve">s</w:t>
      </w:r>
      <w:r>
        <w:t xml:space="preserve"> </w:t>
      </w:r>
      <w:r>
        <w:t xml:space="preserve">itself, and we measure retention on return to a previously experienced code in E2. Properties often attributed to event-driven, self-repairing systems, such as immunity to catastrophic forgetting and energy efficiency relative to retraining, enter the design as these secondary hypotheses and are estimated with confidence intervals rather than judged against success thresholds.</w:t>
      </w:r>
    </w:p>
    <w:p>
      <w:pPr>
        <w:pStyle w:val="BodyText"/>
      </w:pPr>
      <w:r>
        <w:t xml:space="preserve">The decision rules are summarized in Table 2. The analysis is paired by seed over 30 confirmatory seeds, with bias-corrected and accelerated bootstrap intervals</w:t>
      </w:r>
      <w:r>
        <w:rPr>
          <w:vertAlign w:val="superscript"/>
        </w:rPr>
        <w:t xml:space="preserve">29</w:t>
      </w:r>
      <w:r>
        <w:t xml:space="preserve">, Holm-corrected Wilcoxon tests across the four primary contrasts, two one-sided tests for equivalence and a non-inferiority bound for the label-free contrast. If both yoked random rewiring and random-time repair prove equivalent to</w:t>
      </w:r>
      <w:r>
        <w:t xml:space="preserve"> </w:t>
      </w:r>
      <w:r>
        <w:rPr>
          <w:i/>
          <w:iCs/>
        </w:rPr>
        <w:t xml:space="preserve">τ</w:t>
      </w:r>
      <w:r>
        <w:rPr>
          <w:vertAlign w:val="subscript"/>
        </w:rPr>
        <w:t xml:space="preserve">s</w:t>
      </w:r>
      <w:r>
        <w:t xml:space="preserve">-guided repair, the central claim is refuted for this task, irrespective of TRI’s accuracy relative to the LSTM baselines. A further criterion protects the interpretation of every</w:t>
      </w:r>
      <w:r>
        <w:t xml:space="preserve"> </w:t>
      </w:r>
      <w:r>
        <w:rPr>
          <w:i/>
          <w:iCs/>
        </w:rPr>
        <w:t xml:space="preserve">τ</w:t>
      </w:r>
      <w:r>
        <w:rPr>
          <w:vertAlign w:val="subscript"/>
        </w:rPr>
        <w:t xml:space="preserve">s</w:t>
      </w:r>
      <w:r>
        <w:t xml:space="preserve">-triggered arm: if no candidate window separates the healthy</w:t>
      </w:r>
      <w:r>
        <w:t xml:space="preserve"> </w:t>
      </w:r>
      <w:r>
        <w:rPr>
          <w:i/>
          <w:iCs/>
        </w:rPr>
        <w:t xml:space="preserve">τ</w:t>
      </w:r>
      <w:r>
        <w:rPr>
          <w:vertAlign w:val="subscript"/>
        </w:rPr>
        <w:t xml:space="preserve">s</w:t>
      </w:r>
      <w:r>
        <w:t xml:space="preserve"> </w:t>
      </w:r>
      <w:r>
        <w:t xml:space="preserve">from its surrogate null on tuning seeds, those arms are uninformative by construction, and only the cancellation-immune matrix trigger is interpreted.</w:t>
      </w:r>
    </w:p>
    <w:p>
      <w:pPr>
        <w:pStyle w:val="TabCap"/>
      </w:pPr>
      <w:r>
        <w:rPr>
          <w:b/>
          <w:bCs/>
        </w:rPr>
        <w:t xml:space="preserve">Table 2 | Hypotheses and prespecified decision rules.</w:t>
      </w:r>
      <w:r>
        <w:t xml:space="preserve"> </w:t>
      </w:r>
      <w:r>
        <w:t xml:space="preserve">Contrasts are paired differences in post-lesion accuracy (E1, 30 seeds). Outcomes that meet neither rule are reported as inconclusive.</w:t>
      </w:r>
    </w:p>
    <w:tbl>
      <w:tblPr>
        <w:tblStyle w:val="Table"/>
        <w:tblW w:type="pct" w:w="5000"/>
        <w:tblLayout w:type="fixed"/>
        <w:tblLook w:firstRow="1" w:lastRow="0" w:firstColumn="0" w:lastColumn="0" w:noHBand="0" w:noVBand="0" w:val="0020"/>
        <w:jc w:val="center"/>
        <w:tblBorders>
          <w:top w:val="single" w:sz="10" w:space="0" w:color="1F3864"/>
          <w:bottom w:val="single" w:sz="10" w:space="0" w:color="1F3864"/>
          <w:insideH w:val="single" w:sz="2" w:space="0" w:color="C8C8C8"/>
          <w:left w:val="nil" w:sz="0" w:space="0" w:color="FFFFFF"/>
          <w:right w:val="nil" w:sz="0" w:space="0" w:color="FFFFFF"/>
          <w:insideV w:val="nil" w:sz="0" w:space="0" w:color="FFFFFF"/>
        </w:tblBorders>
        <w:tblCellMar>
          <w:top w:w="25" w:type="dxa"/>
          <w:left w:w="60" w:type="dxa"/>
          <w:bottom w:w="25" w:type="dxa"/>
          <w:right w:w="60" w:type="dxa"/>
        </w:tblCellMar>
        <w:tblLayout w:type="fixed"/>
      </w:tblPr>
      <w:tblGrid>
        <w:gridCol w:w="1310"/>
        <w:gridCol w:w="1965"/>
        <w:gridCol w:w="2714"/>
        <w:gridCol w:w="3369"/>
      </w:tblGrid>
      <w:tr>
        <w:trPr>
          <w:tblHeader w:val="on"/>
          <w:cantSplit/>
          <w:tblHeader/>
        </w:trPr>
        <w:tc>
          <w:tcPr>
            <w:tcW w:type="dxa" w:w="1310"/>
          </w:tcPr>
          <w:p>
            <w:pPr>
              <w:pStyle w:val="Compact"/>
              <w:keepNext/>
              <w:spacing w:after="20" w:before="20" w:line="240" w:lineRule="auto"/>
              <w:jc w:val="left"/>
            </w:pPr>
            <w:r>
              <w:rPr>
                <w:rFonts w:ascii="Calibri" w:hAnsi="Calibri" w:eastAsia="Calibri" w:cs="Calibri"/>
                <w:b/>
                <w:color w:val="1F3864"/>
                <w:sz w:val="17"/>
              </w:rPr>
              <w:t xml:space="preserve">Hypothesis</w:t>
            </w:r>
          </w:p>
        </w:tc>
        <w:tc>
          <w:tcPr>
            <w:tcW w:type="dxa" w:w="1965"/>
          </w:tcPr>
          <w:p>
            <w:pPr>
              <w:pStyle w:val="Compact"/>
              <w:keepNext/>
              <w:spacing w:after="20" w:before="20" w:line="240" w:lineRule="auto"/>
              <w:jc w:val="left"/>
            </w:pPr>
            <w:r>
              <w:rPr>
                <w:rFonts w:ascii="Calibri" w:hAnsi="Calibri" w:eastAsia="Calibri" w:cs="Calibri"/>
                <w:b/>
                <w:color w:val="1F3864"/>
                <w:sz w:val="17"/>
              </w:rPr>
              <w:t xml:space="preserve">Contrast</w:t>
            </w:r>
          </w:p>
        </w:tc>
        <w:tc>
          <w:tcPr>
            <w:tcW w:type="dxa" w:w="2714"/>
          </w:tcPr>
          <w:p>
            <w:pPr>
              <w:pStyle w:val="Compact"/>
              <w:keepNext/>
              <w:spacing w:after="20" w:before="20" w:line="240" w:lineRule="auto"/>
              <w:jc w:val="left"/>
            </w:pPr>
            <w:r>
              <w:rPr>
                <w:rFonts w:ascii="Calibri" w:hAnsi="Calibri" w:eastAsia="Calibri" w:cs="Calibri"/>
                <w:b/>
                <w:color w:val="1F3864"/>
                <w:sz w:val="17"/>
              </w:rPr>
              <w:t xml:space="preserve">Supported if</w:t>
            </w:r>
          </w:p>
        </w:tc>
        <w:tc>
          <w:tcPr>
            <w:tcW w:type="dxa" w:w="3369"/>
          </w:tcPr>
          <w:p>
            <w:pPr>
              <w:pStyle w:val="Compact"/>
              <w:keepNext/>
              <w:spacing w:after="20" w:before="20" w:line="240" w:lineRule="auto"/>
              <w:jc w:val="left"/>
            </w:pPr>
            <w:r>
              <w:rPr>
                <w:rFonts w:ascii="Calibri" w:hAnsi="Calibri" w:eastAsia="Calibri" w:cs="Calibri"/>
                <w:b/>
                <w:color w:val="1F3864"/>
                <w:sz w:val="17"/>
              </w:rPr>
              <w:t xml:space="preserve">Refuted if</w:t>
            </w:r>
          </w:p>
        </w:tc>
      </w:tr>
      <w:tr>
        <w:trPr>
          <w:cantSplit/>
        </w:trPr>
        <w:tc>
          <w:tcPr>
            <w:tcW w:type="dxa" w:w="1310"/>
          </w:tcPr>
          <w:p>
            <w:pPr>
              <w:pStyle w:val="Compact"/>
              <w:keepNext/>
              <w:spacing w:after="20" w:before="20" w:line="240" w:lineRule="auto"/>
              <w:jc w:val="left"/>
            </w:pPr>
            <w:r>
              <w:rPr>
                <w:rFonts w:ascii="Calibri" w:hAnsi="Calibri" w:eastAsia="Calibri" w:cs="Calibri"/>
                <w:sz w:val="17"/>
              </w:rPr>
              <w:t xml:space="preserve">H1 Detection</w:t>
            </w:r>
          </w:p>
        </w:tc>
        <w:tc>
          <w:tcPr>
            <w:tcW w:type="dxa" w:w="1965"/>
          </w:tcPr>
          <w:p>
            <w:pPr>
              <w:pStyle w:val="Compact"/>
              <w:keepNext/>
              <w:spacing w:after="20" w:before="20" w:line="240" w:lineRule="auto"/>
              <w:jc w:val="left"/>
            </w:pP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 </w:t>
            </w:r>
            <w:r>
              <w:rPr>
                <w:rFonts w:ascii="Calibri" w:hAnsi="Calibri" w:eastAsia="Calibri" w:cs="Calibri"/>
                <w:sz w:val="17"/>
              </w:rPr>
              <w:t xml:space="preserve">band exit after lesion</w:t>
            </w:r>
          </w:p>
        </w:tc>
        <w:tc>
          <w:tcPr>
            <w:tcW w:type="dxa" w:w="2714"/>
          </w:tcPr>
          <w:p>
            <w:pPr>
              <w:pStyle w:val="Compact"/>
              <w:keepNext/>
              <w:spacing w:after="20" w:before="20" w:line="240" w:lineRule="auto"/>
              <w:jc w:val="left"/>
            </w:pPr>
            <w:r>
              <w:rPr>
                <w:rFonts w:ascii="Calibri" w:hAnsi="Calibri" w:eastAsia="Calibri" w:cs="Calibri"/>
                <w:sz w:val="17"/>
              </w:rPr>
              <w:t xml:space="preserve">Exit within 50 trials in most seeds, with few pre-lesion false alarms</w:t>
            </w:r>
          </w:p>
        </w:tc>
        <w:tc>
          <w:tcPr>
            <w:tcW w:type="dxa" w:w="3369"/>
          </w:tcPr>
          <w:p>
            <w:pPr>
              <w:pStyle w:val="Compact"/>
              <w:keepNext/>
              <w:spacing w:after="20" w:before="20" w:line="240" w:lineRule="auto"/>
              <w:jc w:val="left"/>
            </w:pPr>
            <w:r>
              <w:rPr>
                <w:rFonts w:ascii="Calibri" w:hAnsi="Calibri" w:eastAsia="Calibri" w:cs="Calibri"/>
                <w:sz w:val="17"/>
              </w:rPr>
              <w:t xml:space="preserve">F6: exit within 50 trials in fewer than half of seeds</w:t>
            </w:r>
          </w:p>
        </w:tc>
      </w:tr>
      <w:tr>
        <w:trPr>
          <w:cantSplit/>
        </w:trPr>
        <w:tc>
          <w:tcPr>
            <w:tcW w:type="dxa" w:w="1310"/>
          </w:tcPr>
          <w:p>
            <w:pPr>
              <w:pStyle w:val="Compact"/>
              <w:keepNext/>
              <w:spacing w:after="20" w:before="20" w:line="240" w:lineRule="auto"/>
              <w:jc w:val="left"/>
            </w:pPr>
            <w:r>
              <w:rPr>
                <w:rFonts w:ascii="Calibri" w:hAnsi="Calibri" w:eastAsia="Calibri" w:cs="Calibri"/>
                <w:sz w:val="17"/>
              </w:rPr>
              <w:t xml:space="preserve">H2 Targeting</w:t>
            </w:r>
          </w:p>
        </w:tc>
        <w:tc>
          <w:tcPr>
            <w:tcW w:type="dxa" w:w="1965"/>
          </w:tcPr>
          <w:p>
            <w:pPr>
              <w:pStyle w:val="Compact"/>
              <w:keepNext/>
              <w:spacing w:after="20" w:before="20" w:line="240" w:lineRule="auto"/>
              <w:jc w:val="left"/>
            </w:pPr>
            <w:r>
              <w:rPr>
                <w:rFonts w:ascii="Calibri" w:hAnsi="Calibri" w:eastAsia="Calibri" w:cs="Calibri"/>
                <w:sz w:val="17"/>
              </w:rPr>
              <w:t xml:space="preserve">TRI − yoked random rewiring</w:t>
            </w:r>
          </w:p>
        </w:tc>
        <w:tc>
          <w:tcPr>
            <w:tcW w:type="dxa" w:w="2714"/>
          </w:tcPr>
          <w:p>
            <w:pPr>
              <w:pStyle w:val="Compact"/>
              <w:keepNext/>
              <w:spacing w:after="20" w:before="20" w:line="240" w:lineRule="auto"/>
              <w:jc w:val="left"/>
            </w:pPr>
            <w:r>
              <w:rPr>
                <w:rFonts w:ascii="Calibri" w:hAnsi="Calibri" w:eastAsia="Calibri" w:cs="Calibri"/>
                <w:sz w:val="17"/>
              </w:rPr>
              <w:t xml:space="preserve">Lower 95% bound &gt; +0.05</w:t>
            </w:r>
          </w:p>
        </w:tc>
        <w:tc>
          <w:tcPr>
            <w:tcW w:type="dxa" w:w="3369"/>
          </w:tcPr>
          <w:p>
            <w:pPr>
              <w:pStyle w:val="Compact"/>
              <w:keepNext/>
              <w:spacing w:after="20" w:before="20" w:line="240" w:lineRule="auto"/>
              <w:jc w:val="left"/>
            </w:pPr>
            <w:r>
              <w:rPr>
                <w:rFonts w:ascii="Calibri" w:hAnsi="Calibri" w:eastAsia="Calibri" w:cs="Calibri"/>
                <w:sz w:val="17"/>
              </w:rPr>
              <w:t xml:space="preserve">F1: 90% CI within ±0.05, or upper 95% bound &lt; 0</w:t>
            </w:r>
          </w:p>
        </w:tc>
      </w:tr>
      <w:tr>
        <w:trPr>
          <w:cantSplit/>
        </w:trPr>
        <w:tc>
          <w:tcPr>
            <w:tcW w:type="dxa" w:w="1310"/>
          </w:tcPr>
          <w:p>
            <w:pPr>
              <w:pStyle w:val="Compact"/>
              <w:keepNext/>
              <w:spacing w:after="20" w:before="20" w:line="240" w:lineRule="auto"/>
              <w:jc w:val="left"/>
            </w:pPr>
            <w:r>
              <w:rPr>
                <w:rFonts w:ascii="Calibri" w:hAnsi="Calibri" w:eastAsia="Calibri" w:cs="Calibri"/>
                <w:sz w:val="17"/>
              </w:rPr>
              <w:t xml:space="preserve">H3 Timing</w:t>
            </w:r>
          </w:p>
        </w:tc>
        <w:tc>
          <w:tcPr>
            <w:tcW w:type="dxa" w:w="1965"/>
          </w:tcPr>
          <w:p>
            <w:pPr>
              <w:pStyle w:val="Compact"/>
              <w:keepNext/>
              <w:spacing w:after="20" w:before="20" w:line="240" w:lineRule="auto"/>
              <w:jc w:val="left"/>
            </w:pPr>
            <w:r>
              <w:rPr>
                <w:rFonts w:ascii="Calibri" w:hAnsi="Calibri" w:eastAsia="Calibri" w:cs="Calibri"/>
                <w:sz w:val="17"/>
              </w:rPr>
              <w:t xml:space="preserve">TRI − random timing</w:t>
            </w:r>
          </w:p>
        </w:tc>
        <w:tc>
          <w:tcPr>
            <w:tcW w:type="dxa" w:w="2714"/>
          </w:tcPr>
          <w:p>
            <w:pPr>
              <w:pStyle w:val="Compact"/>
              <w:keepNext/>
              <w:spacing w:after="20" w:before="20" w:line="240" w:lineRule="auto"/>
              <w:jc w:val="left"/>
            </w:pPr>
            <w:r>
              <w:rPr>
                <w:rFonts w:ascii="Calibri" w:hAnsi="Calibri" w:eastAsia="Calibri" w:cs="Calibri"/>
                <w:sz w:val="17"/>
              </w:rPr>
              <w:t xml:space="preserve">Lower 95% bound &gt; +0.05</w:t>
            </w:r>
          </w:p>
        </w:tc>
        <w:tc>
          <w:tcPr>
            <w:tcW w:type="dxa" w:w="3369"/>
          </w:tcPr>
          <w:p>
            <w:pPr>
              <w:pStyle w:val="Compact"/>
              <w:keepNext/>
              <w:spacing w:after="20" w:before="20" w:line="240" w:lineRule="auto"/>
              <w:jc w:val="left"/>
            </w:pPr>
            <w:r>
              <w:rPr>
                <w:rFonts w:ascii="Calibri" w:hAnsi="Calibri" w:eastAsia="Calibri" w:cs="Calibri"/>
                <w:sz w:val="17"/>
              </w:rPr>
              <w:t xml:space="preserve">F2: 90% CI within ±0.05, or upper 95% bound &lt; 0</w:t>
            </w:r>
          </w:p>
        </w:tc>
      </w:tr>
      <w:tr>
        <w:trPr>
          <w:cantSplit/>
        </w:trPr>
        <w:tc>
          <w:tcPr>
            <w:tcW w:type="dxa" w:w="1310"/>
          </w:tcPr>
          <w:p>
            <w:pPr>
              <w:pStyle w:val="Compact"/>
              <w:keepNext/>
              <w:spacing w:after="20" w:before="20" w:line="240" w:lineRule="auto"/>
              <w:jc w:val="left"/>
            </w:pPr>
            <w:r>
              <w:rPr>
                <w:rFonts w:ascii="Calibri" w:hAnsi="Calibri" w:eastAsia="Calibri" w:cs="Calibri"/>
                <w:sz w:val="17"/>
              </w:rPr>
              <w:t xml:space="preserve">H4 Label-free trigger</w:t>
            </w:r>
          </w:p>
        </w:tc>
        <w:tc>
          <w:tcPr>
            <w:tcW w:type="dxa" w:w="1965"/>
          </w:tcPr>
          <w:p>
            <w:pPr>
              <w:pStyle w:val="Compact"/>
              <w:keepNext/>
              <w:spacing w:after="20" w:before="20" w:line="240" w:lineRule="auto"/>
              <w:jc w:val="left"/>
            </w:pPr>
            <w:r>
              <w:rPr>
                <w:rFonts w:ascii="Calibri" w:hAnsi="Calibri" w:eastAsia="Calibri" w:cs="Calibri"/>
                <w:sz w:val="17"/>
              </w:rPr>
              <w:t xml:space="preserve">TRI − performance-triggered</w:t>
            </w:r>
          </w:p>
        </w:tc>
        <w:tc>
          <w:tcPr>
            <w:tcW w:type="dxa" w:w="2714"/>
          </w:tcPr>
          <w:p>
            <w:pPr>
              <w:pStyle w:val="Compact"/>
              <w:keepNext/>
              <w:spacing w:after="20" w:before="20" w:line="240" w:lineRule="auto"/>
              <w:jc w:val="left"/>
            </w:pPr>
            <w:r>
              <w:rPr>
                <w:rFonts w:ascii="Calibri" w:hAnsi="Calibri" w:eastAsia="Calibri" w:cs="Calibri"/>
                <w:sz w:val="17"/>
              </w:rPr>
              <w:t xml:space="preserve">Lower 95% bound &gt; −0.05</w:t>
            </w:r>
          </w:p>
        </w:tc>
        <w:tc>
          <w:tcPr>
            <w:tcW w:type="dxa" w:w="3369"/>
          </w:tcPr>
          <w:p>
            <w:pPr>
              <w:pStyle w:val="Compact"/>
              <w:keepNext/>
              <w:spacing w:after="20" w:before="20" w:line="240" w:lineRule="auto"/>
              <w:jc w:val="left"/>
            </w:pPr>
            <w:r>
              <w:rPr>
                <w:rFonts w:ascii="Calibri" w:hAnsi="Calibri" w:eastAsia="Calibri" w:cs="Calibri"/>
                <w:sz w:val="17"/>
              </w:rPr>
              <w:t xml:space="preserve">F3: lower 95% bound ≤ −0.05</w:t>
            </w:r>
          </w:p>
        </w:tc>
      </w:tr>
      <w:tr>
        <w:trPr>
          <w:cantSplit/>
        </w:trPr>
        <w:tc>
          <w:tcPr>
            <w:tcW w:type="dxa" w:w="1310"/>
          </w:tcPr>
          <w:p>
            <w:pPr>
              <w:pStyle w:val="Compact"/>
              <w:keepNext/>
              <w:spacing w:after="20" w:before="20" w:line="240" w:lineRule="auto"/>
              <w:jc w:val="left"/>
            </w:pPr>
            <w:r>
              <w:rPr>
                <w:rFonts w:ascii="Calibri" w:hAnsi="Calibri" w:eastAsia="Calibri" w:cs="Calibri"/>
                <w:sz w:val="17"/>
              </w:rPr>
              <w:t xml:space="preserve">H5 Regeneration</w:t>
            </w:r>
          </w:p>
        </w:tc>
        <w:tc>
          <w:tcPr>
            <w:tcW w:type="dxa" w:w="1965"/>
          </w:tcPr>
          <w:p>
            <w:pPr>
              <w:pStyle w:val="Compact"/>
              <w:keepNext/>
              <w:spacing w:after="20" w:before="20" w:line="240" w:lineRule="auto"/>
              <w:jc w:val="left"/>
            </w:pPr>
            <w:r>
              <w:rPr>
                <w:rFonts w:ascii="Calibri" w:hAnsi="Calibri" w:eastAsia="Calibri" w:cs="Calibri"/>
                <w:sz w:val="17"/>
              </w:rPr>
              <w:t xml:space="preserve">TRI − no regeneration</w:t>
            </w:r>
          </w:p>
        </w:tc>
        <w:tc>
          <w:tcPr>
            <w:tcW w:type="dxa" w:w="2714"/>
          </w:tcPr>
          <w:p>
            <w:pPr>
              <w:pStyle w:val="Compact"/>
              <w:keepNext/>
              <w:spacing w:after="20" w:before="20" w:line="240" w:lineRule="auto"/>
              <w:jc w:val="left"/>
            </w:pPr>
            <w:r>
              <w:rPr>
                <w:rFonts w:ascii="Calibri" w:hAnsi="Calibri" w:eastAsia="Calibri" w:cs="Calibri"/>
                <w:sz w:val="17"/>
              </w:rPr>
              <w:t xml:space="preserve">Lower 95% bound &gt; +0.05</w:t>
            </w:r>
          </w:p>
        </w:tc>
        <w:tc>
          <w:tcPr>
            <w:tcW w:type="dxa" w:w="3369"/>
          </w:tcPr>
          <w:p>
            <w:pPr>
              <w:pStyle w:val="Compact"/>
              <w:keepNext/>
              <w:spacing w:after="20" w:before="20" w:line="240" w:lineRule="auto"/>
              <w:jc w:val="left"/>
            </w:pPr>
            <w:r>
              <w:rPr>
                <w:rFonts w:ascii="Calibri" w:hAnsi="Calibri" w:eastAsia="Calibri" w:cs="Calibri"/>
                <w:sz w:val="17"/>
              </w:rPr>
              <w:t xml:space="preserve">F4: 95% CI includes or lies below 0</w:t>
            </w:r>
          </w:p>
        </w:tc>
      </w:tr>
      <w:tr>
        <w:trPr>
          <w:cantSplit/>
        </w:trPr>
        <w:tc>
          <w:tcPr>
            <w:tcW w:type="dxa" w:w="1310"/>
          </w:tcPr>
          <w:p>
            <w:pPr>
              <w:pStyle w:val="Compact"/>
              <w:spacing w:after="20" w:before="20" w:line="240" w:lineRule="auto"/>
              <w:jc w:val="left"/>
            </w:pPr>
            <w:r>
              <w:rPr>
                <w:rFonts w:ascii="Calibri" w:hAnsi="Calibri" w:eastAsia="Calibri" w:cs="Calibri"/>
                <w:sz w:val="17"/>
              </w:rPr>
              <w:t xml:space="preserve">Validity of</w:t>
            </w:r>
            <w:r>
              <w:rPr>
                <w:rFonts w:ascii="Calibri" w:hAnsi="Calibri" w:eastAsia="Calibri" w:cs="Calibri"/>
                <w:sz w:val="17"/>
              </w:rPr>
              <w:t xml:space="preserve"> </w:t>
            </w:r>
            <w:r>
              <w:rPr>
                <w:rFonts w:ascii="Calibri" w:hAnsi="Calibri" w:eastAsia="Calibri" w:cs="Calibri"/>
                <w:i/>
                <w:iCs/>
                <w:sz w:val="17"/>
              </w:rPr>
              <w:t xml:space="preserve">τ</w:t>
            </w:r>
            <w:r>
              <w:rPr>
                <w:rFonts w:ascii="Calibri" w:hAnsi="Calibri" w:eastAsia="Calibri" w:cs="Calibri"/>
                <w:sz w:val="17"/>
                <w:vertAlign w:val="subscript"/>
              </w:rPr>
              <w:t xml:space="preserve">s</w:t>
            </w:r>
          </w:p>
        </w:tc>
        <w:tc>
          <w:tcPr>
            <w:tcW w:type="dxa" w:w="1965"/>
          </w:tcPr>
          <w:p>
            <w:pPr>
              <w:pStyle w:val="Compact"/>
              <w:spacing w:after="20" w:before="20" w:line="240" w:lineRule="auto"/>
              <w:jc w:val="left"/>
            </w:pPr>
            <w:r>
              <w:rPr>
                <w:rFonts w:ascii="Calibri" w:hAnsi="Calibri" w:eastAsia="Calibri" w:cs="Calibri"/>
                <w:sz w:val="17"/>
              </w:rPr>
              <w:t xml:space="preserve">Healthy</w:t>
            </w:r>
            <w:r>
              <w:rPr>
                <w:rFonts w:ascii="Calibri" w:hAnsi="Calibri" w:eastAsia="Calibri" w:cs="Calibri"/>
                <w:sz w:val="17"/>
              </w:rPr>
              <w:t xml:space="preserve"> </w:t>
            </w: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 </w:t>
            </w:r>
            <w:r>
              <w:rPr>
                <w:rFonts w:ascii="Calibri" w:hAnsi="Calibri" w:eastAsia="Calibri" w:cs="Calibri"/>
                <w:sz w:val="17"/>
              </w:rPr>
              <w:t xml:space="preserve">versus surrogate null</w:t>
            </w:r>
          </w:p>
        </w:tc>
        <w:tc>
          <w:tcPr>
            <w:tcW w:type="dxa" w:w="2714"/>
          </w:tcPr>
          <w:p>
            <w:pPr>
              <w:pStyle w:val="Compact"/>
              <w:spacing w:after="20" w:before="20" w:line="240" w:lineRule="auto"/>
              <w:jc w:val="left"/>
            </w:pPr>
            <w:r>
              <w:rPr>
                <w:rFonts w:ascii="Calibri" w:hAnsi="Calibri" w:eastAsia="Calibri" w:cs="Calibri"/>
                <w:sz w:val="17"/>
              </w:rPr>
              <w:t xml:space="preserve">Design check passes and baseline</w:t>
            </w:r>
            <w:r>
              <w:rPr>
                <w:rFonts w:ascii="Calibri" w:hAnsi="Calibri" w:eastAsia="Calibri" w:cs="Calibri"/>
                <w:sz w:val="17"/>
              </w:rPr>
              <w:t xml:space="preserve"> </w:t>
            </w: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 </w:t>
            </w:r>
            <w:r>
              <w:rPr>
                <w:rFonts w:ascii="Calibri" w:hAnsi="Calibri" w:eastAsia="Calibri" w:cs="Calibri"/>
                <w:sz w:val="17"/>
              </w:rPr>
              <w:t xml:space="preserve">lies outside its null in ≥ 80% of seeds</w:t>
            </w:r>
          </w:p>
        </w:tc>
        <w:tc>
          <w:tcPr>
            <w:tcW w:type="dxa" w:w="3369"/>
          </w:tcPr>
          <w:p>
            <w:pPr>
              <w:pStyle w:val="Compact"/>
              <w:spacing w:after="20" w:before="20" w:line="240" w:lineRule="auto"/>
              <w:jc w:val="left"/>
            </w:pPr>
            <w:r>
              <w:rPr>
                <w:rFonts w:ascii="Calibri" w:hAnsi="Calibri" w:eastAsia="Calibri" w:cs="Calibri"/>
                <w:sz w:val="17"/>
              </w:rPr>
              <w:t xml:space="preserve">F5: no window passes, or baseline</w:t>
            </w:r>
            <w:r>
              <w:rPr>
                <w:rFonts w:ascii="Calibri" w:hAnsi="Calibri" w:eastAsia="Calibri" w:cs="Calibri"/>
                <w:sz w:val="17"/>
              </w:rPr>
              <w:t xml:space="preserve"> </w:t>
            </w: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 </w:t>
            </w:r>
            <w:r>
              <w:rPr>
                <w:rFonts w:ascii="Calibri" w:hAnsi="Calibri" w:eastAsia="Calibri" w:cs="Calibri"/>
                <w:sz w:val="17"/>
              </w:rPr>
              <w:t xml:space="preserve">within its null in &gt; 20% of confirmatory seeds;</w:t>
            </w:r>
            <w:r>
              <w:rPr>
                <w:rFonts w:ascii="Calibri" w:hAnsi="Calibri" w:eastAsia="Calibri" w:cs="Calibri"/>
                <w:sz w:val="17"/>
              </w:rPr>
              <w:t xml:space="preserve"> </w:t>
            </w:r>
            <w:r>
              <w:rPr>
                <w:rFonts w:ascii="Calibri" w:hAnsi="Calibri" w:eastAsia="Calibri" w:cs="Calibri"/>
                <w:i/>
                <w:iCs/>
                <w:sz w:val="17"/>
              </w:rPr>
              <w:t xml:space="preserve">τ</w:t>
            </w:r>
            <w:r>
              <w:rPr>
                <w:rFonts w:ascii="Calibri" w:hAnsi="Calibri" w:eastAsia="Calibri" w:cs="Calibri"/>
                <w:sz w:val="17"/>
                <w:vertAlign w:val="subscript"/>
              </w:rPr>
              <w:t xml:space="preserve">s</w:t>
            </w:r>
            <w:r>
              <w:rPr>
                <w:rFonts w:ascii="Calibri" w:hAnsi="Calibri" w:eastAsia="Calibri" w:cs="Calibri"/>
                <w:sz w:val="17"/>
              </w:rPr>
              <w:t xml:space="preserve">-triggered arms uninformative</w:t>
            </w:r>
          </w:p>
        </w:tc>
      </w:tr>
    </w:tbl>
    <w:bookmarkEnd w:id="14"/>
    <w:bookmarkStart w:id="15" w:name="relation-to-prior-work"/>
    <w:p>
      <w:pPr>
        <w:pStyle w:val="Heading1"/>
      </w:pPr>
      <w:r>
        <w:t xml:space="preserve">Relation to prior work</w:t>
      </w:r>
    </w:p>
    <w:p>
      <w:pPr>
        <w:pStyle w:val="FirstParagraph"/>
      </w:pPr>
      <w:r>
        <w:t xml:space="preserve">TRI approaches the problem posed by catastrophic interference</w:t>
      </w:r>
      <w:r>
        <w:rPr>
          <w:vertAlign w:val="superscript"/>
        </w:rPr>
        <w:t xml:space="preserve">1,2</w:t>
      </w:r>
      <w:r>
        <w:t xml:space="preserve"> </w:t>
      </w:r>
      <w:r>
        <w:t xml:space="preserve">from a different direction than weight regularization, which slows learning on parameters that were important for earlier tasks</w:t>
      </w:r>
      <w:r>
        <w:rPr>
          <w:vertAlign w:val="superscript"/>
        </w:rPr>
        <w:t xml:space="preserve">4</w:t>
      </w:r>
      <w:r>
        <w:t xml:space="preserve">, or the replay, architectural and regularization strategies reviewed elsewhere</w:t>
      </w:r>
      <w:r>
        <w:rPr>
          <w:vertAlign w:val="superscript"/>
        </w:rPr>
        <w:t xml:space="preserve">5</w:t>
      </w:r>
      <w:r>
        <w:t xml:space="preserve">. Its effector is connectivity rather than weight magnitude, and its trigger is an activity statistic rather than a task boundary or a detector of drift in the error stream</w:t>
      </w:r>
      <w:r>
        <w:rPr>
          <w:vertAlign w:val="superscript"/>
        </w:rPr>
        <w:t xml:space="preserve">27</w:t>
      </w:r>
      <w:r>
        <w:t xml:space="preserve">. Because it uses no gradients, the vanishing-gradient problem of recurrent training</w:t>
      </w:r>
      <w:r>
        <w:rPr>
          <w:vertAlign w:val="superscript"/>
        </w:rPr>
        <w:t xml:space="preserve">30</w:t>
      </w:r>
      <w:r>
        <w:t xml:space="preserve"> </w:t>
      </w:r>
      <w:r>
        <w:t xml:space="preserve">does not arise; the underlying difficulty of assigning credit across delays does, and the present design does not address it.</w:t>
      </w:r>
    </w:p>
    <w:p>
      <w:pPr>
        <w:pStyle w:val="BodyText"/>
      </w:pPr>
      <w:r>
        <w:t xml:space="preserve">Topology change during learning is itself well established. NEAT evolves weights and topology together, complexifying from minimal networks</w:t>
      </w:r>
      <w:r>
        <w:rPr>
          <w:vertAlign w:val="superscript"/>
        </w:rPr>
        <w:t xml:space="preserve">31</w:t>
      </w:r>
      <w:r>
        <w:t xml:space="preserve">; sparse evolutionary training prunes weak connections and regrows random ones during gradient descent</w:t>
      </w:r>
      <w:r>
        <w:rPr>
          <w:vertAlign w:val="superscript"/>
        </w:rPr>
        <w:t xml:space="preserve">32</w:t>
      </w:r>
      <w:r>
        <w:t xml:space="preserve">; and models of activity-dependent structural plasticity create and remove synapses according to local activity</w:t>
      </w:r>
      <w:r>
        <w:rPr>
          <w:vertAlign w:val="superscript"/>
        </w:rPr>
        <w:t xml:space="preserve">9</w:t>
      </w:r>
      <w:r>
        <w:t xml:space="preserve">. TRI is closest to the last, but its trigger is a network-level ordinal statistic and its targets are chosen by the pairwise decomposition of that statistic, not by fitness, weight magnitude or local rate alone. The yoked random-rewiring ablation asks whether this targeting matters, just as Ashby’s homeostat, which searched configurations at random, asks whether any targeting is needed once an alarm is given</w:t>
      </w:r>
      <w:r>
        <w:rPr>
          <w:vertAlign w:val="superscript"/>
        </w:rPr>
        <w:t xml:space="preserve">10</w:t>
      </w:r>
      <w:r>
        <w:t xml:space="preserve">.</w:t>
      </w:r>
    </w:p>
    <w:p>
      <w:pPr>
        <w:pStyle w:val="BodyText"/>
      </w:pPr>
      <w:r>
        <w:t xml:space="preserve">Event-driven computation is attractive because spiking networks can be computationally more powerful per unit than threshold or sigmoidal networks</w:t>
      </w:r>
      <w:r>
        <w:rPr>
          <w:vertAlign w:val="superscript"/>
        </w:rPr>
        <w:t xml:space="preserve">33</w:t>
      </w:r>
      <w:r>
        <w:t xml:space="preserve"> </w:t>
      </w:r>
      <w:r>
        <w:t xml:space="preserve">and because neuromorphic processors such as Loihi incur cost in proportion to event traffic rather than clock cycles</w:t>
      </w:r>
      <w:r>
        <w:rPr>
          <w:vertAlign w:val="superscript"/>
        </w:rPr>
        <w:t xml:space="preserve">34</w:t>
      </w:r>
      <w:r>
        <w:t xml:space="preserve">. Any energy advantage of TRI must nevertheless be established on such hardware and must include the cost of computing</w:t>
      </w:r>
      <w:r>
        <w:t xml:space="preserve"> </w:t>
      </w:r>
      <w:r>
        <w:rPr>
          <w:i/>
          <w:iCs/>
        </w:rPr>
        <w:t xml:space="preserve">τ</w:t>
      </w:r>
      <w:r>
        <w:rPr>
          <w:vertAlign w:val="subscript"/>
        </w:rPr>
        <w:t xml:space="preserve">s</w:t>
      </w:r>
      <w:r>
        <w:t xml:space="preserve">; the abstract operation counts specified here are a first approximation. Finally,</w:t>
      </w:r>
      <w:r>
        <w:t xml:space="preserve"> </w:t>
      </w:r>
      <w:r>
        <w:rPr>
          <w:i/>
          <w:iCs/>
        </w:rPr>
        <w:t xml:space="preserve">τ</w:t>
      </w:r>
      <w:r>
        <w:rPr>
          <w:vertAlign w:val="subscript"/>
        </w:rPr>
        <w:t xml:space="preserve">s</w:t>
      </w:r>
      <w:r>
        <w:t xml:space="preserve"> </w:t>
      </w:r>
      <w:r>
        <w:t xml:space="preserve">is a rank concordance rather than a phase-synchronization index</w:t>
      </w:r>
      <w:r>
        <w:rPr>
          <w:vertAlign w:val="superscript"/>
        </w:rPr>
        <w:t xml:space="preserve">11,12</w:t>
      </w:r>
      <w:r>
        <w:t xml:space="preserve">, closer in spirit to ordinal-pattern measures such as permutation entropy</w:t>
      </w:r>
      <w:r>
        <w:rPr>
          <w:vertAlign w:val="superscript"/>
        </w:rPr>
        <w:t xml:space="preserve">35</w:t>
      </w:r>
      <w:r>
        <w:t xml:space="preserve">. Its use as a trigger connects TRI to the study of early-warning signals, in which changes in system-level statistics precede critical transitions and indicate a loss of resilience</w:t>
      </w:r>
      <w:r>
        <w:rPr>
          <w:vertAlign w:val="superscript"/>
        </w:rPr>
        <w:t xml:space="preserve">36</w:t>
      </w:r>
      <w:r>
        <w:t xml:space="preserve">; TRI closes that loop by acting on the signal. It adopts none of the thresholds reported for</w:t>
      </w:r>
      <w:r>
        <w:t xml:space="preserve"> </w:t>
      </w:r>
      <w:r>
        <w:rPr>
          <w:i/>
          <w:iCs/>
        </w:rPr>
        <w:t xml:space="preserve">τ</w:t>
      </w:r>
      <w:r>
        <w:rPr>
          <w:vertAlign w:val="subscript"/>
        </w:rPr>
        <w:t xml:space="preserve">s</w:t>
      </w:r>
      <w:r>
        <w:t xml:space="preserve"> </w:t>
      </w:r>
      <w:r>
        <w:t xml:space="preserve">in other systems, and every band is calibrated on the network it regulates.</w:t>
      </w:r>
    </w:p>
    <w:bookmarkEnd w:id="15"/>
    <w:bookmarkStart w:id="16" w:name="scope-and-outlook"/>
    <w:p>
      <w:pPr>
        <w:pStyle w:val="Heading1"/>
      </w:pPr>
      <w:r>
        <w:t xml:space="preserve">Scope and outlook</w:t>
      </w:r>
    </w:p>
    <w:p>
      <w:pPr>
        <w:pStyle w:val="FirstParagraph"/>
      </w:pPr>
      <w:r>
        <w:t xml:space="preserve">The proposed test is deliberately small: one feed-forward network of seven modules, one task and a given initial wiring. A positive outcome would show that ordinal coherence can guide structural repair in this setting, not that TRI scales, that it can acquire structure from scratch or that it extends to recurrent architectures, whose regeneration the feed-forward constraint excludes. The targeted controller restores the baseline pattern of concordance, which is the appropriate target after a lesion but may be the wrong one after genuine concept drift, when the relations that supported past performance no longer support present performance; E2 is designed to expose this limitation, and performance-triggered repair may prevail there. Threshold adaptation by ordinal error correction is a noisy zeroth-order search that may fail in some seeds, which motivates a prespecified sensitivity analysis. The author introduced Systemic Tau, a potential source of bias against which prespecification, ablation-based decision rules and open code are the safeguards.</w:t>
      </w:r>
    </w:p>
    <w:p>
      <w:pPr>
        <w:pStyle w:val="BodyText"/>
      </w:pPr>
      <w:r>
        <w:t xml:space="preserve">Negative outcomes would be informative in their own right. If</w:t>
      </w:r>
      <w:r>
        <w:t xml:space="preserve"> </w:t>
      </w:r>
      <w:r>
        <w:rPr>
          <w:i/>
          <w:iCs/>
        </w:rPr>
        <w:t xml:space="preserve">τ</w:t>
      </w:r>
      <w:r>
        <w:rPr>
          <w:vertAlign w:val="subscript"/>
        </w:rPr>
        <w:t xml:space="preserve">s</w:t>
      </w:r>
      <w:r>
        <w:t xml:space="preserve"> </w:t>
      </w:r>
      <w:r>
        <w:t xml:space="preserve">cannot be separated from its null in a small computing network, signed concordance averages are poor essential variables for such systems, and a matrix-level statistic or a different ordinal quantity must take their place. If</w:t>
      </w:r>
      <w:r>
        <w:t xml:space="preserve"> </w:t>
      </w:r>
      <w:r>
        <w:rPr>
          <w:i/>
          <w:iCs/>
        </w:rPr>
        <w:t xml:space="preserve">τ</w:t>
      </w:r>
      <w:r>
        <w:rPr>
          <w:vertAlign w:val="subscript"/>
        </w:rPr>
        <w:t xml:space="preserve">s</w:t>
      </w:r>
      <w:r>
        <w:t xml:space="preserve"> </w:t>
      </w:r>
      <w:r>
        <w:t xml:space="preserve">detects damage but guides repair no better than random structural change, its value lies in the alarm rather than the map, and Ashby’s random search suffices once the alarm is raised. If</w:t>
      </w:r>
      <w:r>
        <w:t xml:space="preserve"> </w:t>
      </w:r>
      <w:r>
        <w:rPr>
          <w:i/>
          <w:iCs/>
        </w:rPr>
        <w:t xml:space="preserve">τ</w:t>
      </w:r>
      <w:r>
        <w:rPr>
          <w:vertAlign w:val="subscript"/>
        </w:rPr>
        <w:t xml:space="preserve">s</w:t>
      </w:r>
      <w:r>
        <w:t xml:space="preserve">-guided repair succeeds, the next questions concern larger and recurrent networks, learned rather than given initial structure, and implementation on neuromorphic hardware, where claims about energy can be measured rather than assumed. In every case the outcome will be judged against the comparisons defined here.</w:t>
      </w:r>
    </w:p>
    <w:bookmarkEnd w:id="16"/>
    <w:bookmarkStart w:id="32" w:name="methods"/>
    <w:p>
      <w:pPr>
        <w:pStyle w:val="Heading1"/>
      </w:pPr>
      <w:r>
        <w:t xml:space="preserve">Methods</w:t>
      </w:r>
    </w:p>
    <w:bookmarkStart w:id="17" w:name="common-event-index"/>
    <w:p>
      <w:pPr>
        <w:pStyle w:val="Heading2"/>
      </w:pPr>
      <w:r>
        <w:t xml:space="preserve">Common event index</w:t>
      </w:r>
    </w:p>
    <w:p>
      <w:pPr>
        <w:pStyle w:val="FirstParagraph"/>
      </w:pPr>
      <w:r>
        <w:t xml:space="preserve">Let</w:t>
      </w:r>
      <w:r>
        <w:t xml:space="preserve"> </w:t>
      </w:r>
      <w:r>
        <w:rPr>
          <w:i/>
          <w:iCs/>
        </w:rPr>
        <w:t xml:space="preserve">t</w:t>
      </w:r>
      <w:r>
        <w:t xml:space="preserve"> </w:t>
      </w:r>
      <w:r>
        <w:t xml:space="preserve">= 1, 2, … index ticks of a common discrete event index; in the XOR task one tick is one step of the event-driven simulation, and nothing depends on wall-clock time. Module</w:t>
      </w:r>
      <w:r>
        <w:t xml:space="preserve"> </w:t>
      </w:r>
      <w:r>
        <w:rPr>
          <w:i/>
          <w:iCs/>
        </w:rPr>
        <w:t xml:space="preserve">i</w:t>
      </w:r>
      <w:r>
        <w:t xml:space="preserve"> </w:t>
      </w:r>
      <w:r>
        <w:t xml:space="preserve">emits</w:t>
      </w:r>
      <w:r>
        <w:t xml:space="preserve"> </w:t>
      </w:r>
      <w:r>
        <w:rPr>
          <w:i/>
          <w:iCs/>
        </w:rPr>
        <w:t xml:space="preserve">s</w:t>
      </w:r>
      <w:r>
        <w:rPr>
          <w:i/>
          <w:iCs/>
          <w:vertAlign w:val="subscript"/>
        </w:rPr>
        <w:t xml:space="preserve">i</w:t>
      </w:r>
      <w:r>
        <w:t xml:space="preserve">(</w:t>
      </w:r>
      <w:r>
        <w:rPr>
          <w:i/>
          <w:iCs/>
        </w:rPr>
        <w:t xml:space="preserve">t</w:t>
      </w:r>
      <w:r>
        <w:t xml:space="preserve">) ∈ {0, 1}. With bin width</w:t>
      </w:r>
      <w:r>
        <w:t xml:space="preserve"> </w:t>
      </w:r>
      <w:r>
        <w:rPr>
          <w:i/>
          <w:iCs/>
        </w:rPr>
        <w:t xml:space="preserve">b</w:t>
      </w:r>
      <w:r>
        <w:t xml:space="preserve">, the binned activity stream is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t>z</m:t>
                    </m:r>
                  </m:e>
                  <m:sub>
                    <m:r>
                      <m:t>i</m:t>
                    </m:r>
                  </m:sub>
                </m:sSub>
                <m:r>
                  <m:rPr>
                    <m:sty m:val="p"/>
                  </m:rPr>
                  <m:t>(</m:t>
                </m:r>
                <m:r>
                  <m:t>k</m:t>
                </m:r>
                <m:r>
                  <m:rPr>
                    <m:sty m:val="p"/>
                  </m:rPr>
                  <m:t>)</m:t>
                </m:r>
                <m:r>
                  <m:rPr>
                    <m:sty m:val="p"/>
                  </m:rPr>
                  <m:t>=</m:t>
                </m:r>
                <m:nary>
                  <m:naryPr>
                    <m:chr m:val="∑"/>
                    <m:limLoc m:val="undOvr"/>
                    <m:subHide m:val="off"/>
                    <m:supHide m:val="off"/>
                  </m:naryPr>
                  <m:sub>
                    <m:r>
                      <m:t>t</m:t>
                    </m:r>
                    <m:r>
                      <m:rPr>
                        <m:sty m:val="p"/>
                      </m:rPr>
                      <m:t>=</m:t>
                    </m:r>
                    <m:r>
                      <m:rPr>
                        <m:sty m:val="p"/>
                      </m:rPr>
                      <m:t>(</m:t>
                    </m:r>
                    <m:r>
                      <m:t>k</m:t>
                    </m:r>
                    <m:r>
                      <m:rPr>
                        <m:sty m:val="p"/>
                      </m:rPr>
                      <m:t>−</m:t>
                    </m:r>
                    <m:r>
                      <m:t>1</m:t>
                    </m:r>
                    <m:r>
                      <m:rPr>
                        <m:sty m:val="p"/>
                      </m:rPr>
                      <m:t>)</m:t>
                    </m:r>
                    <m:r>
                      <m:t>b</m:t>
                    </m:r>
                    <m:r>
                      <m:rPr>
                        <m:sty m:val="p"/>
                      </m:rPr>
                      <m:t>+</m:t>
                    </m:r>
                    <m:r>
                      <m:t>1</m:t>
                    </m:r>
                  </m:sub>
                  <m:sup>
                    <m:r>
                      <m:t>k</m:t>
                    </m:r>
                    <m:r>
                      <m:t>b</m:t>
                    </m:r>
                  </m:sup>
                  <m:e>
                    <m:sSub>
                      <m:e>
                        <m:r>
                          <m:t>s</m:t>
                        </m:r>
                      </m:e>
                      <m:sub>
                        <m:r>
                          <m:t>i</m:t>
                        </m:r>
                      </m:sub>
                    </m:sSub>
                  </m:e>
                </m:nary>
                <m:r>
                  <m:rPr>
                    <m:sty m:val="p"/>
                  </m:rPr>
                  <m:t>(</m:t>
                </m:r>
                <m:r>
                  <m:t>t</m:t>
                </m:r>
                <m:r>
                  <m:rPr>
                    <m:sty m:val="p"/>
                  </m:rPr>
                  <m:t>)</m:t>
                </m:r>
                <m:r>
                  <m:rPr>
                    <m:sty m:val="p"/>
                  </m:rPr>
                  <m:t>,</m:t>
                </m:r>
                <m:r>
                  <m:rPr>
                    <m:nor/>
                  </m:rPr>
                  <m:t>    </m:t>
                </m:r>
                <m:r>
                  <m:t>k</m:t>
                </m:r>
                <m:r>
                  <m:rPr>
                    <m:sty m:val="p"/>
                  </m:rPr>
                  <m:t>=</m:t>
                </m:r>
                <m:r>
                  <m:t>1</m:t>
                </m:r>
                <m:r>
                  <m:rPr>
                    <m:sty m:val="p"/>
                  </m:rPr>
                  <m:t>,</m:t>
                </m:r>
                <m:r>
                  <m:t>2</m:t>
                </m:r>
                <m:r>
                  <m:rPr>
                    <m:sty m:val="p"/>
                  </m:rPr>
                  <m:t>,</m:t>
                </m:r>
                <m:r>
                  <m:rPr>
                    <m:sty m:val="p"/>
                  </m:rPr>
                  <m:t>…</m:t>
                </m:r>
              </m:oMath>
            </m:oMathPara>
          </w:p>
        </w:tc>
        <w:tc>
          <w:tcPr>
            <w:tcW w:type="dxa" w:w="748"/>
            <w:vAlign w:val="center"/>
          </w:tcPr>
          <w:p>
            <w:pPr>
              <w:jc w:val="right"/>
            </w:pPr>
            <w:r>
              <w:rPr>
                <w:rFonts w:ascii="Georgia" w:hAnsi="Georgia" w:eastAsia="Georgia" w:cs="Georgia"/>
                <w:sz w:val="21"/>
              </w:rPr>
              <w:t>(1)</w:t>
            </w:r>
          </w:p>
        </w:tc>
      </w:tr>
    </w:tbl>
    <w:p>
      <w:pPr>
        <w:pStyle w:val="BodyText"/>
      </w:pPr>
      <w:r>
        <w:t xml:space="preserve">and the analysis window ending at bin</w:t>
      </w:r>
      <w:r>
        <w:t xml:space="preserve"> </w:t>
      </w:r>
      <w:r>
        <w:rPr>
          <w:i/>
          <w:iCs/>
        </w:rPr>
        <w:t xml:space="preserve">κ</w:t>
      </w:r>
      <w:r>
        <w:t xml:space="preserve"> </w:t>
      </w:r>
      <w:r>
        <w:t xml:space="preserve">is Ω</w:t>
      </w:r>
      <w:r>
        <w:rPr>
          <w:i/>
          <w:iCs/>
          <w:vertAlign w:val="subscript"/>
        </w:rPr>
        <w:t xml:space="preserve">κ</w:t>
      </w:r>
      <w:r>
        <w:t xml:space="preserve"> </w:t>
      </w:r>
      <w:r>
        <w:t xml:space="preserve">= {</w:t>
      </w:r>
      <w:r>
        <w:rPr>
          <w:i/>
          <w:iCs/>
        </w:rPr>
        <w:t xml:space="preserve">κ</w:t>
      </w:r>
      <w:r>
        <w:t xml:space="preserve"> </w:t>
      </w:r>
      <w:r>
        <w:t xml:space="preserve">−</w:t>
      </w:r>
      <w:r>
        <w:t xml:space="preserve"> </w:t>
      </w:r>
      <w:r>
        <w:rPr>
          <w:i/>
          <w:iCs/>
        </w:rPr>
        <w:t xml:space="preserve">W</w:t>
      </w:r>
      <w:r>
        <w:rPr>
          <w:vertAlign w:val="subscript"/>
        </w:rPr>
        <w:t xml:space="preserve">b</w:t>
      </w:r>
      <w:r>
        <w:t xml:space="preserve"> </w:t>
      </w:r>
      <w:r>
        <w:t xml:space="preserve">+ 1, …,</w:t>
      </w:r>
      <w:r>
        <w:t xml:space="preserve"> </w:t>
      </w:r>
      <w:r>
        <w:rPr>
          <w:i/>
          <w:iCs/>
        </w:rPr>
        <w:t xml:space="preserve">κ</w:t>
      </w:r>
      <w:r>
        <w:t xml:space="preserve">}, with</w:t>
      </w:r>
      <w:r>
        <w:t xml:space="preserve"> </w:t>
      </w:r>
      <w:r>
        <w:rPr>
          <w:i/>
          <w:iCs/>
        </w:rPr>
        <w:t xml:space="preserve">W</w:t>
      </w:r>
      <w:r>
        <w:rPr>
          <w:vertAlign w:val="subscript"/>
        </w:rPr>
        <w:t xml:space="preserve">b</w:t>
      </w:r>
      <w:r>
        <w:t xml:space="preserve"> </w:t>
      </w:r>
      <w:r>
        <w:t xml:space="preserve">=</w:t>
      </w:r>
      <w:r>
        <w:t xml:space="preserve"> </w:t>
      </w:r>
      <w:r>
        <w:rPr>
          <w:i/>
          <w:iCs/>
        </w:rPr>
        <w:t xml:space="preserve">W</w:t>
      </w:r>
      <w:r>
        <w:t xml:space="preserve">/</w:t>
      </w:r>
      <w:r>
        <w:rPr>
          <w:i/>
          <w:iCs/>
        </w:rPr>
        <w:t xml:space="preserve">b</w:t>
      </w:r>
      <w:r>
        <w:t xml:space="preserve"> </w:t>
      </w:r>
      <w:r>
        <w:t xml:space="preserve">bins covering</w:t>
      </w:r>
      <w:r>
        <w:t xml:space="preserve"> </w:t>
      </w:r>
      <w:r>
        <w:rPr>
          <w:i/>
          <w:iCs/>
        </w:rPr>
        <w:t xml:space="preserve">W</w:t>
      </w:r>
      <w:r>
        <w:t xml:space="preserve"> </w:t>
      </w:r>
      <w:r>
        <w:t xml:space="preserve">ticks. A continuous state variable sampled at each tick, such as membrane potential, can replace</w:t>
      </w:r>
      <w:r>
        <w:t xml:space="preserve"> </w:t>
      </w:r>
      <w:r>
        <w:rPr>
          <w:i/>
          <w:iCs/>
        </w:rPr>
        <w:t xml:space="preserve">z</w:t>
      </w:r>
      <w:r>
        <w:rPr>
          <w:i/>
          <w:iCs/>
          <w:vertAlign w:val="subscript"/>
        </w:rPr>
        <w:t xml:space="preserve">i</w:t>
      </w:r>
      <w:r>
        <w:t xml:space="preserve"> </w:t>
      </w:r>
      <w:r>
        <w:t xml:space="preserve">without altering what follows.</w:t>
      </w:r>
    </w:p>
    <w:bookmarkEnd w:id="17"/>
    <w:bookmarkStart w:id="18" w:name="pairwise-concordance"/>
    <w:p>
      <w:pPr>
        <w:pStyle w:val="Heading2"/>
      </w:pPr>
      <w:r>
        <w:t xml:space="preserve">Pairwise concordance</w:t>
      </w:r>
    </w:p>
    <w:p>
      <w:pPr>
        <w:pStyle w:val="FirstParagraph"/>
      </w:pPr>
      <w:r>
        <w:t xml:space="preserve">For bins</w:t>
      </w:r>
      <w:r>
        <w:t xml:space="preserve"> </w:t>
      </w:r>
      <w:r>
        <w:rPr>
          <w:i/>
          <w:iCs/>
        </w:rPr>
        <w:t xml:space="preserve">k</w:t>
      </w:r>
      <w:r>
        <w:t xml:space="preserve"> </w:t>
      </w:r>
      <w:r>
        <w:t xml:space="preserve">&lt;</w:t>
      </w:r>
      <w:r>
        <w:t xml:space="preserve"> </w:t>
      </w:r>
      <w:r>
        <w:rPr>
          <w:i/>
          <w:iCs/>
        </w:rPr>
        <w:t xml:space="preserve">l</w:t>
      </w:r>
      <w:r>
        <w:t xml:space="preserve"> </w:t>
      </w:r>
      <w:r>
        <w:t xml:space="preserve">in Ω</w:t>
      </w:r>
      <w:r>
        <w:rPr>
          <w:i/>
          <w:iCs/>
          <w:vertAlign w:val="subscript"/>
        </w:rPr>
        <w:t xml:space="preserve">κ</w:t>
      </w:r>
      <w:r>
        <w:t xml:space="preserve">, let</w:t>
      </w:r>
      <w:r>
        <w:t xml:space="preserve"> </w:t>
      </w:r>
      <w:r>
        <w:rPr>
          <w:i/>
          <w:iCs/>
        </w:rPr>
        <w:t xml:space="preserve">σ</w:t>
      </w:r>
      <w:r>
        <w:rPr>
          <w:i/>
          <w:iCs/>
          <w:vertAlign w:val="subscript"/>
        </w:rPr>
        <w:t xml:space="preserve">i</w:t>
      </w:r>
      <w:r>
        <w:t xml:space="preserve">(</w:t>
      </w:r>
      <w:r>
        <w:rPr>
          <w:i/>
          <w:iCs/>
        </w:rPr>
        <w:t xml:space="preserve">k</w:t>
      </w:r>
      <w:r>
        <w:t xml:space="preserve">,</w:t>
      </w:r>
      <w:r>
        <w:t xml:space="preserve"> </w:t>
      </w:r>
      <w:r>
        <w:rPr>
          <w:i/>
          <w:iCs/>
        </w:rPr>
        <w:t xml:space="preserve">l</w:t>
      </w:r>
      <w:r>
        <w:t xml:space="preserve">) = sgn(</w:t>
      </w:r>
      <w:r>
        <w:rPr>
          <w:i/>
          <w:iCs/>
        </w:rPr>
        <w:t xml:space="preserve">z</w:t>
      </w:r>
      <w:r>
        <w:rPr>
          <w:i/>
          <w:iCs/>
          <w:vertAlign w:val="subscript"/>
        </w:rPr>
        <w:t xml:space="preserve">i</w:t>
      </w:r>
      <w:r>
        <w:t xml:space="preserve">(</w:t>
      </w:r>
      <w:r>
        <w:rPr>
          <w:i/>
          <w:iCs/>
        </w:rPr>
        <w:t xml:space="preserve">l</w:t>
      </w:r>
      <w:r>
        <w:t xml:space="preserve">) −</w:t>
      </w:r>
      <w:r>
        <w:t xml:space="preserve"> </w:t>
      </w:r>
      <w:r>
        <w:rPr>
          <w:i/>
          <w:iCs/>
        </w:rPr>
        <w:t xml:space="preserve">z</w:t>
      </w:r>
      <w:r>
        <w:rPr>
          <w:i/>
          <w:iCs/>
          <w:vertAlign w:val="subscript"/>
        </w:rPr>
        <w:t xml:space="preserve">i</w:t>
      </w:r>
      <w:r>
        <w:t xml:space="preserve">(</w:t>
      </w:r>
      <w:r>
        <w:rPr>
          <w:i/>
          <w:iCs/>
        </w:rPr>
        <w:t xml:space="preserve">k</w:t>
      </w:r>
      <w:r>
        <w:t xml:space="preserve">)). The tie-corrected coefficient</w:t>
      </w:r>
      <w:r>
        <w:rPr>
          <w:vertAlign w:val="superscript"/>
        </w:rPr>
        <w:t xml:space="preserve">20</w:t>
      </w:r>
      <w:r>
        <w:t xml:space="preserve"> </w:t>
      </w:r>
      <w:r>
        <w:t xml:space="preserve">is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Sup>
                  <m:e>
                    <m:r>
                      <m:t>τ</m:t>
                    </m:r>
                  </m:e>
                  <m:sub>
                    <m:r>
                      <m:t>b</m:t>
                    </m:r>
                  </m:sub>
                  <m:sup>
                    <m:r>
                      <m:rPr>
                        <m:sty m:val="p"/>
                      </m:rPr>
                      <m:t>(</m:t>
                    </m:r>
                    <m:r>
                      <m:t>i</m:t>
                    </m:r>
                    <m:r>
                      <m:t>j</m:t>
                    </m:r>
                    <m:r>
                      <m:rPr>
                        <m:sty m:val="p"/>
                      </m:rPr>
                      <m:t>)</m:t>
                    </m:r>
                  </m:sup>
                </m:sSubSup>
                <m:r>
                  <m:rPr>
                    <m:sty m:val="p"/>
                  </m:rPr>
                  <m:t>(</m:t>
                </m:r>
                <m:r>
                  <m:t>κ</m:t>
                </m:r>
                <m:r>
                  <m:rPr>
                    <m:sty m:val="p"/>
                  </m:rPr>
                  <m:t>)</m:t>
                </m:r>
                <m:r>
                  <m:rPr>
                    <m:sty m:val="p"/>
                  </m:rPr>
                  <m:t>=</m:t>
                </m:r>
                <m:f>
                  <m:fPr>
                    <m:type m:val="bar"/>
                  </m:fPr>
                  <m:num>
                    <m:sSub>
                      <m:e>
                        <m:r>
                          <m:t>n</m:t>
                        </m:r>
                      </m:e>
                      <m:sub>
                        <m:r>
                          <m:t>c</m:t>
                        </m:r>
                      </m:sub>
                    </m:sSub>
                    <m:r>
                      <m:rPr>
                        <m:sty m:val="p"/>
                      </m:rPr>
                      <m:t>−</m:t>
                    </m:r>
                    <m:sSub>
                      <m:e>
                        <m:r>
                          <m:t>n</m:t>
                        </m:r>
                      </m:e>
                      <m:sub>
                        <m:r>
                          <m:t>d</m:t>
                        </m:r>
                      </m:sub>
                    </m:sSub>
                  </m:num>
                  <m:den>
                    <m:rad>
                      <m:radPr>
                        <m:degHide m:val="on"/>
                      </m:radPr>
                      <m:deg/>
                      <m:e>
                        <m:r>
                          <m:rPr>
                            <m:sty m:val="p"/>
                          </m:rPr>
                          <m:t>(</m:t>
                        </m:r>
                        <m:sSub>
                          <m:e>
                            <m:r>
                              <m:t>n</m:t>
                            </m:r>
                          </m:e>
                          <m:sub>
                            <m:r>
                              <m:t>0</m:t>
                            </m:r>
                          </m:sub>
                        </m:sSub>
                        <m:r>
                          <m:rPr>
                            <m:sty m:val="p"/>
                          </m:rPr>
                          <m:t>−</m:t>
                        </m:r>
                        <m:sSub>
                          <m:e>
                            <m:r>
                              <m:t>n</m:t>
                            </m:r>
                          </m:e>
                          <m:sub>
                            <m:r>
                              <m:t>1</m:t>
                            </m:r>
                          </m:sub>
                        </m:sSub>
                        <m:r>
                          <m:rPr>
                            <m:sty m:val="p"/>
                          </m:rPr>
                          <m:t>)</m:t>
                        </m:r>
                        <m:r>
                          <m:rPr>
                            <m:sty m:val="p"/>
                          </m:rPr>
                          <m:t>(</m:t>
                        </m:r>
                        <m:sSub>
                          <m:e>
                            <m:r>
                              <m:t>n</m:t>
                            </m:r>
                          </m:e>
                          <m:sub>
                            <m:r>
                              <m:t>0</m:t>
                            </m:r>
                          </m:sub>
                        </m:sSub>
                        <m:r>
                          <m:rPr>
                            <m:sty m:val="p"/>
                          </m:rPr>
                          <m:t>−</m:t>
                        </m:r>
                        <m:sSub>
                          <m:e>
                            <m:r>
                              <m:t>n</m:t>
                            </m:r>
                          </m:e>
                          <m:sub>
                            <m:r>
                              <m:t>2</m:t>
                            </m:r>
                          </m:sub>
                        </m:sSub>
                        <m:r>
                          <m:rPr>
                            <m:sty m:val="p"/>
                          </m:rPr>
                          <m:t>)</m:t>
                        </m:r>
                      </m:e>
                    </m:rad>
                  </m:den>
                </m:f>
                <m:r>
                  <m:rPr>
                    <m:sty m:val="p"/>
                  </m:rPr>
                  <m:t>=</m:t>
                </m:r>
                <m:f>
                  <m:fPr>
                    <m:type m:val="bar"/>
                  </m:fPr>
                  <m:num>
                    <m:nary>
                      <m:naryPr>
                        <m:chr m:val="∑"/>
                        <m:limLoc m:val="undOvr"/>
                        <m:subHide m:val="off"/>
                        <m:supHide m:val="on"/>
                      </m:naryPr>
                      <m:sub>
                        <m:r>
                          <m:t>k</m:t>
                        </m:r>
                        <m:r>
                          <m:rPr>
                            <m:sty m:val="p"/>
                          </m:rPr>
                          <m:t>&lt;</m:t>
                        </m:r>
                        <m:r>
                          <m:t>l</m:t>
                        </m:r>
                      </m:sub>
                      <m:sup>
                        <m:r>
                          <m:t>​</m:t>
                        </m:r>
                      </m:sup>
                      <m:e>
                        <m:sSub>
                          <m:e>
                            <m:r>
                              <m:t>σ</m:t>
                            </m:r>
                          </m:e>
                          <m:sub>
                            <m:r>
                              <m:t>i</m:t>
                            </m:r>
                          </m:sub>
                        </m:sSub>
                      </m:e>
                    </m:nary>
                    <m:r>
                      <m:rPr>
                        <m:sty m:val="p"/>
                      </m:rPr>
                      <m:t>(</m:t>
                    </m:r>
                    <m:r>
                      <m:t>k</m:t>
                    </m:r>
                    <m:r>
                      <m:rPr>
                        <m:sty m:val="p"/>
                      </m:rPr>
                      <m:t>,</m:t>
                    </m:r>
                    <m:r>
                      <m:t>l</m:t>
                    </m:r>
                    <m:r>
                      <m:rPr>
                        <m:sty m:val="p"/>
                      </m:rPr>
                      <m:t>)</m:t>
                    </m:r>
                    <m:r>
                      <m:t> </m:t>
                    </m:r>
                    <m:sSub>
                      <m:e>
                        <m:r>
                          <m:t>σ</m:t>
                        </m:r>
                      </m:e>
                      <m:sub>
                        <m:r>
                          <m:t>j</m:t>
                        </m:r>
                      </m:sub>
                    </m:sSub>
                    <m:r>
                      <m:rPr>
                        <m:sty m:val="p"/>
                      </m:rPr>
                      <m:t>(</m:t>
                    </m:r>
                    <m:r>
                      <m:t>k</m:t>
                    </m:r>
                    <m:r>
                      <m:rPr>
                        <m:sty m:val="p"/>
                      </m:rPr>
                      <m:t>,</m:t>
                    </m:r>
                    <m:r>
                      <m:t>l</m:t>
                    </m:r>
                    <m:r>
                      <m:rPr>
                        <m:sty m:val="p"/>
                      </m:rPr>
                      <m:t>)</m:t>
                    </m:r>
                  </m:num>
                  <m:den>
                    <m:rad>
                      <m:radPr>
                        <m:degHide m:val="on"/>
                      </m:radPr>
                      <m:deg/>
                      <m:e>
                        <m:nary>
                          <m:naryPr>
                            <m:chr m:val="∑"/>
                            <m:limLoc m:val="undOvr"/>
                            <m:subHide m:val="off"/>
                            <m:supHide m:val="on"/>
                          </m:naryPr>
                          <m:sub>
                            <m:r>
                              <m:t>k</m:t>
                            </m:r>
                            <m:r>
                              <m:rPr>
                                <m:sty m:val="p"/>
                              </m:rPr>
                              <m:t>&lt;</m:t>
                            </m:r>
                            <m:r>
                              <m:t>l</m:t>
                            </m:r>
                          </m:sub>
                          <m:sup>
                            <m:r>
                              <m:t>​</m:t>
                            </m:r>
                          </m:sup>
                          <m:e>
                            <m:sSub>
                              <m:e>
                                <m:r>
                                  <m:t>σ</m:t>
                                </m:r>
                              </m:e>
                              <m:sub>
                                <m:r>
                                  <m:t>i</m:t>
                                </m:r>
                              </m:sub>
                            </m:sSub>
                          </m:e>
                        </m:nary>
                        <m:r>
                          <m:rPr>
                            <m:sty m:val="p"/>
                          </m:rPr>
                          <m:t>(</m:t>
                        </m:r>
                        <m:r>
                          <m:t>k</m:t>
                        </m:r>
                        <m:r>
                          <m:rPr>
                            <m:sty m:val="p"/>
                          </m:rPr>
                          <m:t>,</m:t>
                        </m:r>
                        <m:r>
                          <m:t>l</m:t>
                        </m:r>
                        <m:sSup>
                          <m:e>
                            <m:r>
                              <m:rPr>
                                <m:sty m:val="p"/>
                              </m:rPr>
                              <m:t>)</m:t>
                            </m:r>
                          </m:e>
                          <m:sup>
                            <m:r>
                              <m:t>2</m:t>
                            </m:r>
                          </m:sup>
                        </m:sSup>
                      </m:e>
                    </m:rad>
                    <m:r>
                      <m:t> </m:t>
                    </m:r>
                    <m:rad>
                      <m:radPr>
                        <m:degHide m:val="on"/>
                      </m:radPr>
                      <m:deg/>
                      <m:e>
                        <m:nary>
                          <m:naryPr>
                            <m:chr m:val="∑"/>
                            <m:limLoc m:val="undOvr"/>
                            <m:subHide m:val="off"/>
                            <m:supHide m:val="on"/>
                          </m:naryPr>
                          <m:sub>
                            <m:r>
                              <m:t>k</m:t>
                            </m:r>
                            <m:r>
                              <m:rPr>
                                <m:sty m:val="p"/>
                              </m:rPr>
                              <m:t>&lt;</m:t>
                            </m:r>
                            <m:r>
                              <m:t>l</m:t>
                            </m:r>
                          </m:sub>
                          <m:sup>
                            <m:r>
                              <m:t>​</m:t>
                            </m:r>
                          </m:sup>
                          <m:e>
                            <m:sSub>
                              <m:e>
                                <m:r>
                                  <m:t>σ</m:t>
                                </m:r>
                              </m:e>
                              <m:sub>
                                <m:r>
                                  <m:t>j</m:t>
                                </m:r>
                              </m:sub>
                            </m:sSub>
                          </m:e>
                        </m:nary>
                        <m:r>
                          <m:rPr>
                            <m:sty m:val="p"/>
                          </m:rPr>
                          <m:t>(</m:t>
                        </m:r>
                        <m:r>
                          <m:t>k</m:t>
                        </m:r>
                        <m:r>
                          <m:rPr>
                            <m:sty m:val="p"/>
                          </m:rPr>
                          <m:t>,</m:t>
                        </m:r>
                        <m:r>
                          <m:t>l</m:t>
                        </m:r>
                        <m:sSup>
                          <m:e>
                            <m:r>
                              <m:rPr>
                                <m:sty m:val="p"/>
                              </m:rPr>
                              <m:t>)</m:t>
                            </m:r>
                          </m:e>
                          <m:sup>
                            <m:r>
                              <m:t>2</m:t>
                            </m:r>
                          </m:sup>
                        </m:sSup>
                      </m:e>
                    </m:rad>
                  </m:den>
                </m:f>
              </m:oMath>
            </m:oMathPara>
          </w:p>
        </w:tc>
        <w:tc>
          <w:tcPr>
            <w:tcW w:type="dxa" w:w="748"/>
            <w:vAlign w:val="center"/>
          </w:tcPr>
          <w:p>
            <w:pPr>
              <w:jc w:val="right"/>
            </w:pPr>
            <w:r>
              <w:rPr>
                <w:rFonts w:ascii="Georgia" w:hAnsi="Georgia" w:eastAsia="Georgia" w:cs="Georgia"/>
                <w:sz w:val="21"/>
              </w:rPr>
              <w:t>(2)</w:t>
            </w:r>
          </w:p>
        </w:tc>
      </w:tr>
    </w:tbl>
    <w:p>
      <w:pPr>
        <w:pStyle w:val="BodyText"/>
      </w:pPr>
      <w:r>
        <w:t xml:space="preserve">where</w:t>
      </w:r>
      <w:r>
        <w:t xml:space="preserve"> </w:t>
      </w:r>
      <w:r>
        <w:rPr>
          <w:i/>
          <w:iCs/>
        </w:rPr>
        <w:t xml:space="preserve">n</w:t>
      </w:r>
      <w:r>
        <w:rPr>
          <w:vertAlign w:val="subscript"/>
        </w:rPr>
        <w:t xml:space="preserve">c</w:t>
      </w:r>
      <w:r>
        <w:t xml:space="preserve"> </w:t>
      </w:r>
      <w:r>
        <w:t xml:space="preserve">and</w:t>
      </w:r>
      <w:r>
        <w:t xml:space="preserve"> </w:t>
      </w:r>
      <w:r>
        <w:rPr>
          <w:i/>
          <w:iCs/>
        </w:rPr>
        <w:t xml:space="preserve">n</w:t>
      </w:r>
      <w:r>
        <w:rPr>
          <w:vertAlign w:val="subscript"/>
        </w:rPr>
        <w:t xml:space="preserve">d</w:t>
      </w:r>
      <w:r>
        <w:t xml:space="preserve"> </w:t>
      </w:r>
      <w:r>
        <w:t xml:space="preserve">are the numbers of concordant and discordant pairs,</w:t>
      </w:r>
      <w:r>
        <w:t xml:space="preserve"> </w:t>
      </w:r>
      <w:r>
        <w:rPr>
          <w:i/>
          <w:iCs/>
        </w:rPr>
        <w:t xml:space="preserve">n</w:t>
      </w:r>
      <w:r>
        <w:rPr>
          <w:vertAlign w:val="subscript"/>
        </w:rPr>
        <w:t xml:space="preserve">0</w:t>
      </w:r>
      <w:r>
        <w:t xml:space="preserve"> </w:t>
      </w:r>
      <w:r>
        <w:t xml:space="preserve">=</w:t>
      </w:r>
      <w:r>
        <w:t xml:space="preserve"> </w:t>
      </w:r>
      <w:r>
        <w:rPr>
          <w:i/>
          <w:iCs/>
        </w:rPr>
        <w:t xml:space="preserve">W</w:t>
      </w:r>
      <w:r>
        <w:rPr>
          <w:vertAlign w:val="subscript"/>
        </w:rPr>
        <w:t xml:space="preserve">b</w:t>
      </w:r>
      <w:r>
        <w:t xml:space="preserve">(</w:t>
      </w:r>
      <w:r>
        <w:rPr>
          <w:i/>
          <w:iCs/>
        </w:rPr>
        <w:t xml:space="preserve">W</w:t>
      </w:r>
      <w:r>
        <w:rPr>
          <w:vertAlign w:val="subscript"/>
        </w:rPr>
        <w:t xml:space="preserve">b</w:t>
      </w:r>
      <w:r>
        <w:t xml:space="preserve"> </w:t>
      </w:r>
      <w:r>
        <w:t xml:space="preserve">− 1)/2, and</w:t>
      </w:r>
      <w:r>
        <w:t xml:space="preserve"> </w:t>
      </w:r>
      <w:r>
        <w:rPr>
          <w:i/>
          <w:iCs/>
        </w:rPr>
        <w:t xml:space="preserve">n</w:t>
      </w:r>
      <w:r>
        <w:rPr>
          <w:vertAlign w:val="subscript"/>
        </w:rPr>
        <w:t xml:space="preserve">1</w:t>
      </w:r>
      <w:r>
        <w:t xml:space="preserve"> </w:t>
      </w:r>
      <w:r>
        <w:t xml:space="preserve">= Σ</w:t>
      </w:r>
      <w:r>
        <w:rPr>
          <w:i/>
          <w:iCs/>
          <w:vertAlign w:val="subscript"/>
        </w:rPr>
        <w:t xml:space="preserve">g</w:t>
      </w:r>
      <w:r>
        <w:t xml:space="preserve"> </w:t>
      </w:r>
      <w:r>
        <w:rPr>
          <w:i/>
          <w:iCs/>
        </w:rPr>
        <w:t xml:space="preserve">u</w:t>
      </w:r>
      <w:r>
        <w:rPr>
          <w:i/>
          <w:iCs/>
          <w:vertAlign w:val="subscript"/>
        </w:rPr>
        <w:t xml:space="preserve">g</w:t>
      </w:r>
      <w:r>
        <w:t xml:space="preserve">(</w:t>
      </w:r>
      <w:r>
        <w:rPr>
          <w:i/>
          <w:iCs/>
        </w:rPr>
        <w:t xml:space="preserve">u</w:t>
      </w:r>
      <w:r>
        <w:rPr>
          <w:i/>
          <w:iCs/>
          <w:vertAlign w:val="subscript"/>
        </w:rPr>
        <w:t xml:space="preserve">g</w:t>
      </w:r>
      <w:r>
        <w:t xml:space="preserve"> </w:t>
      </w:r>
      <w:r>
        <w:t xml:space="preserve">− 1)/2 sums over groups of</w:t>
      </w:r>
      <w:r>
        <w:t xml:space="preserve"> </w:t>
      </w:r>
      <w:r>
        <w:rPr>
          <w:i/>
          <w:iCs/>
        </w:rPr>
        <w:t xml:space="preserve">u</w:t>
      </w:r>
      <w:r>
        <w:rPr>
          <w:i/>
          <w:iCs/>
          <w:vertAlign w:val="subscript"/>
        </w:rPr>
        <w:t xml:space="preserve">g</w:t>
      </w:r>
      <w:r>
        <w:t xml:space="preserve"> </w:t>
      </w:r>
      <w:r>
        <w:t xml:space="preserve">tied values in</w:t>
      </w:r>
      <w:r>
        <w:t xml:space="preserve"> </w:t>
      </w:r>
      <w:r>
        <w:rPr>
          <w:i/>
          <w:iCs/>
        </w:rPr>
        <w:t xml:space="preserve">z</w:t>
      </w:r>
      <w:r>
        <w:rPr>
          <w:i/>
          <w:iCs/>
          <w:vertAlign w:val="subscript"/>
        </w:rPr>
        <w:t xml:space="preserve">i</w:t>
      </w:r>
      <w:r>
        <w:t xml:space="preserve"> </w:t>
      </w:r>
      <w:r>
        <w:t xml:space="preserve">(</w:t>
      </w:r>
      <w:r>
        <w:rPr>
          <w:i/>
          <w:iCs/>
        </w:rPr>
        <w:t xml:space="preserve">n</w:t>
      </w:r>
      <w:r>
        <w:rPr>
          <w:vertAlign w:val="subscript"/>
        </w:rPr>
        <w:t xml:space="preserve">2</w:t>
      </w:r>
      <w:r>
        <w:t xml:space="preserve"> </w:t>
      </w:r>
      <w:r>
        <w:t xml:space="preserve">likewise for</w:t>
      </w:r>
      <w:r>
        <w:t xml:space="preserve"> </w:t>
      </w:r>
      <w:r>
        <w:rPr>
          <w:i/>
          <w:iCs/>
        </w:rPr>
        <w:t xml:space="preserve">z</w:t>
      </w:r>
      <w:r>
        <w:rPr>
          <w:i/>
          <w:iCs/>
          <w:vertAlign w:val="subscript"/>
        </w:rPr>
        <w:t xml:space="preserve">j</w:t>
      </w:r>
      <w:r>
        <w:t xml:space="preserve">). The second form expresses</w:t>
      </w:r>
      <w:r>
        <w:t xml:space="preserve"> </w:t>
      </w:r>
      <w:r>
        <w:rPr>
          <w:i/>
          <w:iCs/>
        </w:rPr>
        <w:t xml:space="preserve">τ</w:t>
      </w:r>
      <w:r>
        <w:rPr>
          <w:vertAlign w:val="subscript"/>
        </w:rPr>
        <w:t xml:space="preserve">b</w:t>
      </w:r>
      <w:r>
        <w:t xml:space="preserve"> </w:t>
      </w:r>
      <w:r>
        <w:t xml:space="preserve">as the cosine between the sign vectors of the two streams, so</w:t>
      </w:r>
      <w:r>
        <w:t xml:space="preserve"> </w:t>
      </w:r>
      <w:r>
        <w:rPr>
          <w:i/>
          <w:iCs/>
        </w:rPr>
        <w:t xml:space="preserve">τ</w:t>
      </w:r>
      <w:r>
        <w:rPr>
          <w:vertAlign w:val="subscript"/>
        </w:rPr>
        <w:t xml:space="preserve">b</w:t>
      </w:r>
      <w:r>
        <w:t xml:space="preserve"> </w:t>
      </w:r>
      <w:r>
        <w:t xml:space="preserve">∈ [−1, 1]. When one stream is constant within the window, as for a silent module,</w:t>
      </w:r>
      <w:r>
        <w:t xml:space="preserve"> </w:t>
      </w:r>
      <w:r>
        <w:rPr>
          <w:i/>
          <w:iCs/>
        </w:rPr>
        <w:t xml:space="preserve">τ</w:t>
      </w:r>
      <w:r>
        <w:rPr>
          <w:vertAlign w:val="subscript"/>
        </w:rPr>
        <w:t xml:space="preserve">b</w:t>
      </w:r>
      <w:r>
        <w:t xml:space="preserve"> </w:t>
      </w:r>
      <w:r>
        <w:t xml:space="preserve">is undefined; it is set to zero, and the fraction of undefined pairs is reported with every value of</w:t>
      </w:r>
      <w:r>
        <w:t xml:space="preserve"> </w:t>
      </w:r>
      <w:r>
        <w:rPr>
          <w:i/>
          <w:iCs/>
        </w:rPr>
        <w:t xml:space="preserve">τ</w:t>
      </w:r>
      <w:r>
        <w:rPr>
          <w:vertAlign w:val="subscript"/>
        </w:rPr>
        <w:t xml:space="preserve">s</w:t>
      </w:r>
      <w:r>
        <w:t xml:space="preserve">. For binary streams (</w:t>
      </w:r>
      <w:r>
        <w:rPr>
          <w:i/>
          <w:iCs/>
        </w:rPr>
        <w:t xml:space="preserve">b</w:t>
      </w:r>
      <w:r>
        <w:t xml:space="preserve"> </w:t>
      </w:r>
      <w:r>
        <w:t xml:space="preserve">= 1),</w:t>
      </w:r>
      <w:r>
        <w:t xml:space="preserve"> </w:t>
      </w:r>
      <w:r>
        <w:rPr>
          <w:i/>
          <w:iCs/>
        </w:rPr>
        <w:t xml:space="preserve">τ</w:t>
      </w:r>
      <w:r>
        <w:rPr>
          <w:vertAlign w:val="subscript"/>
        </w:rPr>
        <w:t xml:space="preserve">b</w:t>
      </w:r>
      <w:r>
        <w:t xml:space="preserve"> </w:t>
      </w:r>
      <w:r>
        <w:t xml:space="preserve">equals the</w:t>
      </w:r>
      <w:r>
        <w:t xml:space="preserve"> </w:t>
      </w:r>
      <w:r>
        <w:rPr>
          <w:i/>
          <w:iCs/>
        </w:rPr>
        <w:t xml:space="preserve">φ</w:t>
      </w:r>
      <w:r>
        <w:t xml:space="preserve"> </w:t>
      </w:r>
      <w:r>
        <w:t xml:space="preserve">coefficient of the 2 × 2 table of co-occurrences,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Sup>
                  <m:e>
                    <m:r>
                      <m:t>τ</m:t>
                    </m:r>
                  </m:e>
                  <m:sub>
                    <m:r>
                      <m:t>b</m:t>
                    </m:r>
                  </m:sub>
                  <m:sup>
                    <m:r>
                      <m:rPr>
                        <m:sty m:val="p"/>
                      </m:rPr>
                      <m:t>(</m:t>
                    </m:r>
                    <m:r>
                      <m:t>i</m:t>
                    </m:r>
                    <m:r>
                      <m:t>j</m:t>
                    </m:r>
                    <m:r>
                      <m:rPr>
                        <m:sty m:val="p"/>
                      </m:rPr>
                      <m:t>)</m:t>
                    </m:r>
                  </m:sup>
                </m:sSubSup>
                <m:r>
                  <m:rPr>
                    <m:sty m:val="p"/>
                  </m:rPr>
                  <m:t>=</m:t>
                </m:r>
                <m:sSub>
                  <m:e>
                    <m:r>
                      <m:t>ϕ</m:t>
                    </m:r>
                  </m:e>
                  <m:sub>
                    <m:r>
                      <m:t>i</m:t>
                    </m:r>
                    <m:r>
                      <m:t>j</m:t>
                    </m:r>
                  </m:sub>
                </m:sSub>
                <m:r>
                  <m:rPr>
                    <m:sty m:val="p"/>
                  </m:rPr>
                  <m:t>=</m:t>
                </m:r>
                <m:f>
                  <m:fPr>
                    <m:type m:val="bar"/>
                  </m:fPr>
                  <m:num>
                    <m:sSub>
                      <m:e>
                        <m:r>
                          <m:t>n</m:t>
                        </m:r>
                      </m:e>
                      <m:sub>
                        <m:r>
                          <m:t>11</m:t>
                        </m:r>
                      </m:sub>
                    </m:sSub>
                    <m:r>
                      <m:t> </m:t>
                    </m:r>
                    <m:sSub>
                      <m:e>
                        <m:r>
                          <m:t>n</m:t>
                        </m:r>
                      </m:e>
                      <m:sub>
                        <m:r>
                          <m:t>00</m:t>
                        </m:r>
                      </m:sub>
                    </m:sSub>
                    <m:r>
                      <m:rPr>
                        <m:sty m:val="p"/>
                      </m:rPr>
                      <m:t>−</m:t>
                    </m:r>
                    <m:sSub>
                      <m:e>
                        <m:r>
                          <m:t>n</m:t>
                        </m:r>
                      </m:e>
                      <m:sub>
                        <m:r>
                          <m:t>10</m:t>
                        </m:r>
                      </m:sub>
                    </m:sSub>
                    <m:r>
                      <m:t> </m:t>
                    </m:r>
                    <m:sSub>
                      <m:e>
                        <m:r>
                          <m:t>n</m:t>
                        </m:r>
                      </m:e>
                      <m:sub>
                        <m:r>
                          <m:t>01</m:t>
                        </m:r>
                      </m:sub>
                    </m:sSub>
                  </m:num>
                  <m:den>
                    <m:rad>
                      <m:radPr>
                        <m:degHide m:val="on"/>
                      </m:radPr>
                      <m:deg/>
                      <m:e>
                        <m:sSub>
                          <m:e>
                            <m:r>
                              <m:t>n</m:t>
                            </m:r>
                          </m:e>
                          <m:sub>
                            <m:r>
                              <m:t>1</m:t>
                            </m:r>
                            <m:r>
                              <m:rPr>
                                <m:sty m:val="p"/>
                              </m:rPr>
                              <m:t>⋅</m:t>
                            </m:r>
                          </m:sub>
                        </m:sSub>
                        <m:r>
                          <m:t> </m:t>
                        </m:r>
                        <m:sSub>
                          <m:e>
                            <m:r>
                              <m:t>n</m:t>
                            </m:r>
                          </m:e>
                          <m:sub>
                            <m:r>
                              <m:t>0</m:t>
                            </m:r>
                            <m:r>
                              <m:rPr>
                                <m:sty m:val="p"/>
                              </m:rPr>
                              <m:t>⋅</m:t>
                            </m:r>
                          </m:sub>
                        </m:sSub>
                        <m:r>
                          <m:t> </m:t>
                        </m:r>
                        <m:sSub>
                          <m:e>
                            <m:r>
                              <m:t>n</m:t>
                            </m:r>
                          </m:e>
                          <m:sub>
                            <m:r>
                              <m:rPr>
                                <m:sty m:val="p"/>
                              </m:rPr>
                              <m:t>⋅</m:t>
                            </m:r>
                            <m:r>
                              <m:t>1</m:t>
                            </m:r>
                          </m:sub>
                        </m:sSub>
                        <m:r>
                          <m:t> </m:t>
                        </m:r>
                        <m:sSub>
                          <m:e>
                            <m:r>
                              <m:t>n</m:t>
                            </m:r>
                          </m:e>
                          <m:sub>
                            <m:r>
                              <m:rPr>
                                <m:sty m:val="p"/>
                              </m:rPr>
                              <m:t>⋅</m:t>
                            </m:r>
                            <m:r>
                              <m:t>0</m:t>
                            </m:r>
                          </m:sub>
                        </m:sSub>
                      </m:e>
                    </m:rad>
                  </m:den>
                </m:f>
              </m:oMath>
            </m:oMathPara>
          </w:p>
        </w:tc>
        <w:tc>
          <w:tcPr>
            <w:tcW w:type="dxa" w:w="748"/>
            <w:vAlign w:val="center"/>
          </w:tcPr>
          <w:p>
            <w:pPr>
              <w:jc w:val="right"/>
            </w:pPr>
            <w:r>
              <w:rPr>
                <w:rFonts w:ascii="Georgia" w:hAnsi="Georgia" w:eastAsia="Georgia" w:cs="Georgia"/>
                <w:sz w:val="21"/>
              </w:rPr>
              <w:t>(3)</w:t>
            </w:r>
          </w:p>
        </w:tc>
      </w:tr>
    </w:tbl>
    <w:p>
      <w:pPr>
        <w:pStyle w:val="BodyText"/>
      </w:pPr>
      <w:r>
        <w:t xml:space="preserve">an exact identity that reduces the cost of each pair from</w:t>
      </w:r>
      <w:r>
        <w:t xml:space="preserve"> </w:t>
      </w:r>
      <w:r>
        <w:rPr>
          <w:i/>
          <w:iCs/>
        </w:rPr>
        <w:t xml:space="preserve">O</w:t>
      </w:r>
      <w:r>
        <w:t xml:space="preserve">(</w:t>
      </w:r>
      <w:r>
        <w:rPr>
          <w:i/>
          <w:iCs/>
        </w:rPr>
        <w:t xml:space="preserve">W</w:t>
      </w:r>
      <w:r>
        <w:rPr>
          <w:vertAlign w:val="superscript"/>
        </w:rPr>
        <w:t xml:space="preserve">2</w:t>
      </w:r>
      <w:r>
        <w:t xml:space="preserve">) to</w:t>
      </w:r>
      <w:r>
        <w:t xml:space="preserve"> </w:t>
      </w:r>
      <w:r>
        <w:rPr>
          <w:i/>
          <w:iCs/>
        </w:rPr>
        <w:t xml:space="preserve">O</w:t>
      </w:r>
      <w:r>
        <w:t xml:space="preserve">(</w:t>
      </w:r>
      <w:r>
        <w:rPr>
          <w:i/>
          <w:iCs/>
        </w:rPr>
        <w:t xml:space="preserve">W</w:t>
      </w:r>
      <w:r>
        <w:t xml:space="preserve">).</w:t>
      </w:r>
    </w:p>
    <w:bookmarkEnd w:id="18"/>
    <w:bookmarkStart w:id="19" w:name="systemic-tau"/>
    <w:p>
      <w:pPr>
        <w:pStyle w:val="Heading2"/>
      </w:pPr>
      <w:r>
        <w:t xml:space="preserve">Systemic Tau</w:t>
      </w:r>
    </w:p>
    <w:p>
      <w:pPr>
        <w:pStyle w:val="FirstParagraph"/>
      </w:pPr>
      <w:r>
        <w:t xml:space="preserve">Systemic Tau at bin</w:t>
      </w:r>
      <w:r>
        <w:t xml:space="preserve"> </w:t>
      </w:r>
      <w:r>
        <w:rPr>
          <w:i/>
          <w:iCs/>
        </w:rPr>
        <w:t xml:space="preserve">κ</w:t>
      </w:r>
      <w:r>
        <w:t xml:space="preserve"> </w:t>
      </w:r>
      <w:r>
        <w:t xml:space="preserve">is the mean over the</w:t>
      </w:r>
      <w:r>
        <w:t xml:space="preserve"> </w:t>
      </w:r>
      <w:r>
        <w:rPr>
          <w:i/>
          <w:iCs/>
        </w:rPr>
        <w:t xml:space="preserve">M</w:t>
      </w:r>
      <w:r>
        <w:t xml:space="preserve"> </w:t>
      </w:r>
      <w:r>
        <w:t xml:space="preserve">=</w:t>
      </w:r>
      <w:r>
        <w:t xml:space="preserve"> </w:t>
      </w:r>
      <w:r>
        <w:rPr>
          <w:i/>
          <w:iCs/>
        </w:rPr>
        <w:t xml:space="preserve">N</w:t>
      </w:r>
      <w:r>
        <w:t xml:space="preserve">(</w:t>
      </w:r>
      <w:r>
        <w:rPr>
          <w:i/>
          <w:iCs/>
        </w:rPr>
        <w:t xml:space="preserve">N</w:t>
      </w:r>
      <w:r>
        <w:t xml:space="preserve"> </w:t>
      </w:r>
      <w:r>
        <w:t xml:space="preserve">− 1)/2 module pairs,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t>τ</m:t>
                    </m:r>
                  </m:e>
                  <m:sub>
                    <m:r>
                      <m:t>s</m:t>
                    </m:r>
                  </m:sub>
                </m:sSub>
                <m:r>
                  <m:rPr>
                    <m:sty m:val="p"/>
                  </m:rPr>
                  <m:t>(</m:t>
                </m:r>
                <m:r>
                  <m:t>κ</m:t>
                </m:r>
                <m:r>
                  <m:rPr>
                    <m:sty m:val="p"/>
                  </m:rPr>
                  <m:t>)</m:t>
                </m:r>
                <m:r>
                  <m:rPr>
                    <m:sty m:val="p"/>
                  </m:rPr>
                  <m:t>=</m:t>
                </m:r>
                <m:f>
                  <m:fPr>
                    <m:type m:val="bar"/>
                  </m:fPr>
                  <m:num>
                    <m:r>
                      <m:t>2</m:t>
                    </m:r>
                  </m:num>
                  <m:den>
                    <m:r>
                      <m:t>N</m:t>
                    </m:r>
                    <m:r>
                      <m:rPr>
                        <m:sty m:val="p"/>
                      </m:rPr>
                      <m:t>(</m:t>
                    </m:r>
                    <m:r>
                      <m:t>N</m:t>
                    </m:r>
                    <m:r>
                      <m:rPr>
                        <m:sty m:val="p"/>
                      </m:rPr>
                      <m:t>−</m:t>
                    </m:r>
                    <m:r>
                      <m:t>1</m:t>
                    </m:r>
                    <m:r>
                      <m:rPr>
                        <m:sty m:val="p"/>
                      </m:rPr>
                      <m:t>)</m:t>
                    </m:r>
                  </m:den>
                </m:f>
                <m:nary>
                  <m:naryPr>
                    <m:chr m:val="∑"/>
                    <m:limLoc m:val="undOvr"/>
                    <m:subHide m:val="off"/>
                    <m:supHide m:val="on"/>
                  </m:naryPr>
                  <m:sub>
                    <m:r>
                      <m:t>i</m:t>
                    </m:r>
                    <m:r>
                      <m:rPr>
                        <m:sty m:val="p"/>
                      </m:rPr>
                      <m:t>&lt;</m:t>
                    </m:r>
                    <m:r>
                      <m:t>j</m:t>
                    </m:r>
                  </m:sub>
                  <m:sup>
                    <m:r>
                      <m:t>​</m:t>
                    </m:r>
                  </m:sup>
                  <m:e>
                    <m:sSubSup>
                      <m:e>
                        <m:r>
                          <m:t>τ</m:t>
                        </m:r>
                      </m:e>
                      <m:sub>
                        <m:r>
                          <m:t>b</m:t>
                        </m:r>
                      </m:sub>
                      <m:sup>
                        <m:r>
                          <m:rPr>
                            <m:sty m:val="p"/>
                          </m:rPr>
                          <m:t>(</m:t>
                        </m:r>
                        <m:r>
                          <m:t>i</m:t>
                        </m:r>
                        <m:r>
                          <m:t>j</m:t>
                        </m:r>
                        <m:r>
                          <m:rPr>
                            <m:sty m:val="p"/>
                          </m:rPr>
                          <m:t>)</m:t>
                        </m:r>
                      </m:sup>
                    </m:sSubSup>
                  </m:e>
                </m:nary>
                <m:r>
                  <m:rPr>
                    <m:sty m:val="p"/>
                  </m:rPr>
                  <m:t>(</m:t>
                </m:r>
                <m:r>
                  <m:t>κ</m:t>
                </m:r>
                <m:r>
                  <m:rPr>
                    <m:sty m:val="p"/>
                  </m:rPr>
                  <m:t>)</m:t>
                </m:r>
                <m:r>
                  <m:rPr>
                    <m:sty m:val="p"/>
                  </m:rPr>
                  <m:t>,</m:t>
                </m:r>
                <m:r>
                  <m:rPr>
                    <m:nor/>
                  </m:rPr>
                  <m:t>    </m:t>
                </m:r>
                <m:r>
                  <m:rPr>
                    <m:sty m:val="p"/>
                  </m:rPr>
                  <m:t>−</m:t>
                </m:r>
                <m:f>
                  <m:fPr>
                    <m:type m:val="bar"/>
                  </m:fPr>
                  <m:num>
                    <m:r>
                      <m:t>1</m:t>
                    </m:r>
                  </m:num>
                  <m:den>
                    <m:r>
                      <m:t>N</m:t>
                    </m:r>
                    <m:r>
                      <m:rPr>
                        <m:sty m:val="p"/>
                      </m:rPr>
                      <m:t>−</m:t>
                    </m:r>
                    <m:r>
                      <m:t>1</m:t>
                    </m:r>
                  </m:den>
                </m:f>
                <m:r>
                  <m:t> </m:t>
                </m:r>
                <m:r>
                  <m:rPr>
                    <m:sty m:val="p"/>
                  </m:rPr>
                  <m:t>≤</m:t>
                </m:r>
                <m:r>
                  <m:t> </m:t>
                </m:r>
                <m:sSub>
                  <m:e>
                    <m:r>
                      <m:t>τ</m:t>
                    </m:r>
                  </m:e>
                  <m:sub>
                    <m:r>
                      <m:t>s</m:t>
                    </m:r>
                  </m:sub>
                </m:sSub>
                <m:r>
                  <m:rPr>
                    <m:sty m:val="p"/>
                  </m:rPr>
                  <m:t>(</m:t>
                </m:r>
                <m:r>
                  <m:t>κ</m:t>
                </m:r>
                <m:r>
                  <m:rPr>
                    <m:sty m:val="p"/>
                  </m:rPr>
                  <m:t>)</m:t>
                </m:r>
                <m:r>
                  <m:t> </m:t>
                </m:r>
                <m:r>
                  <m:rPr>
                    <m:sty m:val="p"/>
                  </m:rPr>
                  <m:t>≤</m:t>
                </m:r>
                <m:r>
                  <m:t> </m:t>
                </m:r>
                <m:r>
                  <m:t>1</m:t>
                </m:r>
              </m:oMath>
            </m:oMathPara>
          </w:p>
        </w:tc>
        <w:tc>
          <w:tcPr>
            <w:tcW w:type="dxa" w:w="748"/>
            <w:vAlign w:val="center"/>
          </w:tcPr>
          <w:p>
            <w:pPr>
              <w:jc w:val="right"/>
            </w:pPr>
            <w:r>
              <w:rPr>
                <w:rFonts w:ascii="Georgia" w:hAnsi="Georgia" w:eastAsia="Georgia" w:cs="Georgia"/>
                <w:sz w:val="21"/>
              </w:rPr>
              <w:t>(4)</w:t>
            </w:r>
          </w:p>
        </w:tc>
      </w:tr>
    </w:tbl>
    <w:p>
      <w:pPr>
        <w:pStyle w:val="BodyText"/>
      </w:pPr>
      <w:r>
        <w:t xml:space="preserve">The lower bound holds because the matrix of pairwise</w:t>
      </w:r>
      <w:r>
        <w:t xml:space="preserve"> </w:t>
      </w:r>
      <w:r>
        <w:rPr>
          <w:i/>
          <w:iCs/>
        </w:rPr>
        <w:t xml:space="preserve">τ</w:t>
      </w:r>
      <w:r>
        <w:rPr>
          <w:vertAlign w:val="subscript"/>
        </w:rPr>
        <w:t xml:space="preserve">b</w:t>
      </w:r>
      <w:r>
        <w:t xml:space="preserve"> </w:t>
      </w:r>
      <w:r>
        <w:t xml:space="preserve">values is the Gram matrix of unit sign vectors (zero vectors for constant streams); it is therefore positive semidefinite, and the sum of its entries,</w:t>
      </w:r>
      <w:r>
        <w:t xml:space="preserve"> </w:t>
      </w:r>
      <w:r>
        <w:rPr>
          <w:i/>
          <w:iCs/>
        </w:rPr>
        <w:t xml:space="preserve">N</w:t>
      </w:r>
      <w:r>
        <w:t xml:space="preserve"> </w:t>
      </w:r>
      <w:r>
        <w:t xml:space="preserve">+</w:t>
      </w:r>
      <w:r>
        <w:t xml:space="preserve"> </w:t>
      </w:r>
      <w:r>
        <w:rPr>
          <w:i/>
          <w:iCs/>
        </w:rPr>
        <w:t xml:space="preserve">N</w:t>
      </w:r>
      <w:r>
        <w:t xml:space="preserve">(</w:t>
      </w:r>
      <w:r>
        <w:rPr>
          <w:i/>
          <w:iCs/>
        </w:rPr>
        <w:t xml:space="preserve">N</w:t>
      </w:r>
      <w:r>
        <w:t xml:space="preserve"> </w:t>
      </w:r>
      <w:r>
        <w:t xml:space="preserve">− 1)</w:t>
      </w:r>
      <w:r>
        <w:rPr>
          <w:i/>
          <w:iCs/>
        </w:rPr>
        <w:t xml:space="preserve">τ</w:t>
      </w:r>
      <w:r>
        <w:rPr>
          <w:vertAlign w:val="subscript"/>
        </w:rPr>
        <w:t xml:space="preserve">s</w:t>
      </w:r>
      <w:r>
        <w:t xml:space="preserve">, is non-negative. Positive values indicate net concordance, negative values net anti-concordance, and values near zero are compatible with independence, with non-monotone dependence and with cancellation between pairs of opposite sign.</w:t>
      </w:r>
    </w:p>
    <w:bookmarkEnd w:id="19"/>
    <w:bookmarkStart w:id="20" w:name="X5f252cdfcb11d008a1d6f92d06cd2e064de9660"/>
    <w:p>
      <w:pPr>
        <w:pStyle w:val="Heading2"/>
      </w:pPr>
      <w:r>
        <w:t xml:space="preserve">No-dependence references, small-window bias and minimum window</w:t>
      </w:r>
    </w:p>
    <w:p>
      <w:pPr>
        <w:pStyle w:val="FirstParagraph"/>
      </w:pPr>
      <w:r>
        <w:t xml:space="preserve">Circular-shift surrogates index window positions</w:t>
      </w:r>
      <w:r>
        <w:t xml:space="preserve"> </w:t>
      </w:r>
      <w:r>
        <w:rPr>
          <w:i/>
          <w:iCs/>
        </w:rPr>
        <w:t xml:space="preserve">q</w:t>
      </w:r>
      <w:r>
        <w:t xml:space="preserve"> </w:t>
      </w:r>
      <w:r>
        <w:t xml:space="preserve">= 0, …,</w:t>
      </w:r>
      <w:r>
        <w:t xml:space="preserve"> </w:t>
      </w:r>
      <w:r>
        <w:rPr>
          <w:i/>
          <w:iCs/>
        </w:rPr>
        <w:t xml:space="preserve">W</w:t>
      </w:r>
      <w:r>
        <w:rPr>
          <w:vertAlign w:val="subscript"/>
        </w:rPr>
        <w:t xml:space="preserve">b</w:t>
      </w:r>
      <w:r>
        <w:t xml:space="preserve"> </w:t>
      </w:r>
      <w:r>
        <w:t xml:space="preserve">− 1 and, for each module</w:t>
      </w:r>
      <w:r>
        <w:t xml:space="preserve"> </w:t>
      </w:r>
      <w:r>
        <w:rPr>
          <w:i/>
          <w:iCs/>
        </w:rPr>
        <w:t xml:space="preserve">j</w:t>
      </w:r>
      <w:r>
        <w:t xml:space="preserve"> </w:t>
      </w:r>
      <w:r>
        <w:t xml:space="preserve">≥ 2, draw an independent lag,</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acc>
                      <m:accPr>
                        <m:chr m:val="̃"/>
                      </m:accPr>
                      <m:e>
                        <m:r>
                          <m:t>z</m:t>
                        </m:r>
                      </m:e>
                    </m:acc>
                  </m:e>
                  <m:sub>
                    <m:r>
                      <m:t>j</m:t>
                    </m:r>
                  </m:sub>
                </m:sSub>
                <m:r>
                  <m:rPr>
                    <m:sty m:val="p"/>
                  </m:rPr>
                  <m:t>(</m:t>
                </m:r>
                <m:r>
                  <m:t>q</m:t>
                </m:r>
                <m:r>
                  <m:rPr>
                    <m:sty m:val="p"/>
                  </m:rPr>
                  <m:t>)</m:t>
                </m:r>
                <m:r>
                  <m:rPr>
                    <m:sty m:val="p"/>
                  </m:rPr>
                  <m:t>=</m:t>
                </m:r>
                <m:sSub>
                  <m:e>
                    <m:r>
                      <m:t>z</m:t>
                    </m:r>
                  </m:e>
                  <m:sub>
                    <m:r>
                      <m:t>j</m:t>
                    </m:r>
                  </m:sub>
                </m:sSub>
                <m:d>
                  <m:dPr>
                    <m:begChr m:val="("/>
                    <m:sepChr m:val=""/>
                    <m:endChr m:val=")"/>
                    <m:grow/>
                  </m:dPr>
                  <m:e>
                    <m:r>
                      <m:rPr>
                        <m:sty m:val="p"/>
                      </m:rPr>
                      <m:t>(</m:t>
                    </m:r>
                    <m:r>
                      <m:t>q</m:t>
                    </m:r>
                    <m:r>
                      <m:rPr>
                        <m:sty m:val="p"/>
                      </m:rPr>
                      <m:t>+</m:t>
                    </m:r>
                    <m:sSub>
                      <m:e>
                        <m:r>
                          <m:t>δ</m:t>
                        </m:r>
                      </m:e>
                      <m:sub>
                        <m:r>
                          <m:t>j</m:t>
                        </m:r>
                      </m:sub>
                    </m:sSub>
                    <m:r>
                      <m:rPr>
                        <m:sty m:val="p"/>
                      </m:rPr>
                      <m:t>)</m:t>
                    </m:r>
                    <m:r>
                      <m:t> </m:t>
                    </m:r>
                    <m:r>
                      <m:rPr>
                        <m:nor/>
                        <m:sty m:val="p"/>
                      </m:rPr>
                      <m:t>mod</m:t>
                    </m:r>
                    <m:r>
                      <m:t> </m:t>
                    </m:r>
                    <m:sSub>
                      <m:e>
                        <m:r>
                          <m:t>W</m:t>
                        </m:r>
                      </m:e>
                      <m:sub>
                        <m:r>
                          <m:t>b</m:t>
                        </m:r>
                      </m:sub>
                    </m:sSub>
                  </m:e>
                </m:d>
                <m:r>
                  <m:rPr>
                    <m:sty m:val="p"/>
                  </m:rPr>
                  <m:t>,</m:t>
                </m:r>
                <m:r>
                  <m:rPr>
                    <m:nor/>
                  </m:rPr>
                  <m:t>    </m:t>
                </m:r>
                <m:sSub>
                  <m:e>
                    <m:r>
                      <m:t>δ</m:t>
                    </m:r>
                  </m:e>
                  <m:sub>
                    <m:r>
                      <m:t>j</m:t>
                    </m:r>
                  </m:sub>
                </m:sSub>
                <m:r>
                  <m:rPr>
                    <m:sty m:val="p"/>
                  </m:rPr>
                  <m:t>∼</m:t>
                </m:r>
                <m:r>
                  <m:rPr>
                    <m:nor/>
                    <m:scr m:val="script"/>
                    <m:sty m:val="p"/>
                  </m:rPr>
                  <m:t>U</m:t>
                </m:r>
                <m:r>
                  <m:rPr>
                    <m:sty m:val="p"/>
                  </m:rPr>
                  <m:t>{</m:t>
                </m:r>
                <m:sSub>
                  <m:e>
                    <m:r>
                      <m:t>m</m:t>
                    </m:r>
                  </m:e>
                  <m:sub>
                    <m:r>
                      <m:t>0</m:t>
                    </m:r>
                  </m:sub>
                </m:sSub>
                <m:r>
                  <m:rPr>
                    <m:sty m:val="p"/>
                  </m:rPr>
                  <m:t>,</m:t>
                </m:r>
                <m:r>
                  <m:rPr>
                    <m:sty m:val="p"/>
                  </m:rPr>
                  <m:t>…</m:t>
                </m:r>
                <m:r>
                  <m:rPr>
                    <m:sty m:val="p"/>
                  </m:rPr>
                  <m:t>,</m:t>
                </m:r>
                <m:sSub>
                  <m:e>
                    <m:r>
                      <m:t>W</m:t>
                    </m:r>
                  </m:e>
                  <m:sub>
                    <m:r>
                      <m:t>b</m:t>
                    </m:r>
                  </m:sub>
                </m:sSub>
                <m:r>
                  <m:rPr>
                    <m:sty m:val="p"/>
                  </m:rPr>
                  <m:t>−</m:t>
                </m:r>
                <m:sSub>
                  <m:e>
                    <m:r>
                      <m:t>m</m:t>
                    </m:r>
                  </m:e>
                  <m:sub>
                    <m:r>
                      <m:t>0</m:t>
                    </m:r>
                  </m:sub>
                </m:sSub>
                <m:r>
                  <m:rPr>
                    <m:sty m:val="p"/>
                  </m:rPr>
                  <m:t>}</m:t>
                </m:r>
              </m:oMath>
            </m:oMathPara>
          </w:p>
        </w:tc>
        <w:tc>
          <w:tcPr>
            <w:tcW w:type="dxa" w:w="748"/>
            <w:vAlign w:val="center"/>
          </w:tcPr>
          <w:p>
            <w:pPr>
              <w:jc w:val="right"/>
            </w:pPr>
            <w:r>
              <w:rPr>
                <w:rFonts w:ascii="Georgia" w:hAnsi="Georgia" w:eastAsia="Georgia" w:cs="Georgia"/>
                <w:sz w:val="21"/>
              </w:rPr>
              <w:t>(5)</w:t>
            </w:r>
          </w:p>
        </w:tc>
      </w:tr>
    </w:tbl>
    <w:p>
      <w:pPr>
        <w:pStyle w:val="BodyText"/>
      </w:pPr>
      <w:r>
        <w:t xml:space="preserve">with</w:t>
      </w:r>
      <w:r>
        <w:t xml:space="preserve"> </w:t>
      </w:r>
      <w:r>
        <w:rPr>
          <w:i/>
          <w:iCs/>
        </w:rPr>
        <w:t xml:space="preserve">m</w:t>
      </w:r>
      <w:r>
        <w:rPr>
          <w:vertAlign w:val="subscript"/>
        </w:rPr>
        <w:t xml:space="preserve">0</w:t>
      </w:r>
      <w:r>
        <w:t xml:space="preserve"> </w:t>
      </w:r>
      <w:r>
        <w:t xml:space="preserve">equal to one trial. Each stream keeps its values and its cyclic autocorrelation, and cross-module alignment is destroyed; repeated draws yield a surrogate distribution of</w:t>
      </w:r>
      <w:r>
        <w:t xml:space="preserve"> </w:t>
      </w:r>
      <w:r>
        <w:rPr>
          <w:i/>
          <w:iCs/>
        </w:rPr>
        <w:t xml:space="preserve">τ</w:t>
      </w:r>
      <w:r>
        <w:rPr>
          <w:vertAlign w:val="subscript"/>
        </w:rPr>
        <w:t xml:space="preserve">s</w:t>
      </w:r>
      <w:r>
        <w:t xml:space="preserve"> </w:t>
      </w:r>
      <w:r>
        <w:t xml:space="preserve">for the observed streams</w:t>
      </w:r>
      <w:r>
        <w:rPr>
          <w:vertAlign w:val="superscript"/>
        </w:rPr>
        <w:t xml:space="preserve">21–23</w:t>
      </w:r>
      <w:r>
        <w:t xml:space="preserve">. For calibration outside the task, rate-matched independent streams are simulated as Bernoulli processes with the observed marginal rates</w:t>
      </w:r>
      <w:r>
        <w:t xml:space="preserve"> </w:t>
      </w:r>
      <w:r>
        <w:rPr>
          <w:i/>
          <w:iCs/>
        </w:rPr>
        <w:t xml:space="preserve">p</w:t>
      </w:r>
      <w:r>
        <w:rPr>
          <w:i/>
          <w:iCs/>
          <w:vertAlign w:val="subscript"/>
        </w:rPr>
        <w:t xml:space="preserve">i</w:t>
      </w:r>
      <w:r>
        <w:t xml:space="preserve"> </w:t>
      </w:r>
      <w:r>
        <w:t xml:space="preserve">and serial persistence, each driven by its own latent state (null) or by a shared latent state of known strength (dependence). For stationary, serially independent streams and mutually independent modules, E</w:t>
      </w:r>
      <w:r>
        <w:rPr>
          <w:vertAlign w:val="subscript"/>
        </w:rPr>
        <w:t xml:space="preserve">0</w:t>
      </w:r>
      <w:r>
        <w:t xml:space="preserve">[</w:t>
      </w:r>
      <w:r>
        <w:rPr>
          <w:i/>
          <w:iCs/>
        </w:rPr>
        <w:t xml:space="preserve">τ</w:t>
      </w:r>
      <w:r>
        <w:rPr>
          <w:vertAlign w:val="subscript"/>
        </w:rPr>
        <w:t xml:space="preserve">b</w:t>
      </w:r>
      <w:r>
        <w:t xml:space="preserve">] = 0 and pairwise estimates are uncorrelated, so that</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rPr>
                        <m:nor/>
                        <m:sty m:val="p"/>
                      </m:rPr>
                      <m:t>SD</m:t>
                    </m:r>
                  </m:e>
                  <m:sub>
                    <m:r>
                      <m:t>0</m:t>
                    </m:r>
                  </m:sub>
                </m:sSub>
                <m:r>
                  <m:rPr>
                    <m:sty m:val="p"/>
                  </m:rPr>
                  <m:t>[</m:t>
                </m:r>
                <m:sSub>
                  <m:e>
                    <m:r>
                      <m:t>τ</m:t>
                    </m:r>
                  </m:e>
                  <m:sub>
                    <m:r>
                      <m:t>s</m:t>
                    </m:r>
                  </m:sub>
                </m:sSub>
                <m:r>
                  <m:rPr>
                    <m:sty m:val="p"/>
                  </m:rPr>
                  <m:t>]</m:t>
                </m:r>
                <m:r>
                  <m:rPr>
                    <m:sty m:val="p"/>
                  </m:rPr>
                  <m:t>≈</m:t>
                </m:r>
                <m:f>
                  <m:fPr>
                    <m:type m:val="bar"/>
                  </m:fPr>
                  <m:num>
                    <m:r>
                      <m:t>1</m:t>
                    </m:r>
                  </m:num>
                  <m:den>
                    <m:rad>
                      <m:radPr>
                        <m:degHide m:val="on"/>
                      </m:radPr>
                      <m:deg/>
                      <m:e>
                        <m:sSub>
                          <m:e>
                            <m:r>
                              <m:t>W</m:t>
                            </m:r>
                          </m:e>
                          <m:sub>
                            <m:r>
                              <m:t>b</m:t>
                            </m:r>
                          </m:sub>
                        </m:sSub>
                        <m:r>
                          <m:t> </m:t>
                        </m:r>
                        <m:r>
                          <m:t>M</m:t>
                        </m:r>
                      </m:e>
                    </m:rad>
                  </m:den>
                </m:f>
                <m:r>
                  <m:rPr>
                    <m:nor/>
                  </m:rPr>
                  <m:t>  </m:t>
                </m:r>
                <m:r>
                  <m:rPr>
                    <m:sty m:val="p"/>
                  </m:rPr>
                  <m:t>(</m:t>
                </m:r>
                <m:r>
                  <m:rPr>
                    <m:nor/>
                    <m:sty m:val="p"/>
                  </m:rPr>
                  <m:t>binary</m:t>
                </m:r>
                <m:r>
                  <m:rPr>
                    <m:sty m:val="p"/>
                  </m:rPr>
                  <m:t>)</m:t>
                </m:r>
                <m:r>
                  <m:rPr>
                    <m:sty m:val="p"/>
                  </m:rPr>
                  <m:t>,</m:t>
                </m:r>
                <m:r>
                  <m:rPr>
                    <m:nor/>
                  </m:rPr>
                  <m:t>    </m:t>
                </m:r>
                <m:sSub>
                  <m:e>
                    <m:r>
                      <m:rPr>
                        <m:nor/>
                        <m:sty m:val="p"/>
                      </m:rPr>
                      <m:t>Var</m:t>
                    </m:r>
                  </m:e>
                  <m:sub>
                    <m:r>
                      <m:t>0</m:t>
                    </m:r>
                  </m:sub>
                </m:sSub>
                <m:d>
                  <m:dPr>
                    <m:begChr m:val="["/>
                    <m:sepChr m:val=""/>
                    <m:endChr m:val="]"/>
                    <m:grow/>
                  </m:dPr>
                  <m:e>
                    <m:sSubSup>
                      <m:e>
                        <m:r>
                          <m:t>τ</m:t>
                        </m:r>
                      </m:e>
                      <m:sub>
                        <m:r>
                          <m:t>b</m:t>
                        </m:r>
                      </m:sub>
                      <m:sup>
                        <m:r>
                          <m:rPr>
                            <m:sty m:val="p"/>
                          </m:rPr>
                          <m:t>(</m:t>
                        </m:r>
                        <m:r>
                          <m:t>i</m:t>
                        </m:r>
                        <m:r>
                          <m:t>j</m:t>
                        </m:r>
                        <m:r>
                          <m:rPr>
                            <m:sty m:val="p"/>
                          </m:rPr>
                          <m:t>)</m:t>
                        </m:r>
                      </m:sup>
                    </m:sSubSup>
                  </m:e>
                </m:d>
                <m:r>
                  <m:rPr>
                    <m:sty m:val="p"/>
                  </m:rPr>
                  <m:t>=</m:t>
                </m:r>
                <m:f>
                  <m:fPr>
                    <m:type m:val="bar"/>
                  </m:fPr>
                  <m:num>
                    <m:r>
                      <m:t>2</m:t>
                    </m:r>
                    <m:r>
                      <m:rPr>
                        <m:sty m:val="p"/>
                      </m:rPr>
                      <m:t>(</m:t>
                    </m:r>
                    <m:r>
                      <m:t>2</m:t>
                    </m:r>
                    <m:sSub>
                      <m:e>
                        <m:r>
                          <m:t>W</m:t>
                        </m:r>
                      </m:e>
                      <m:sub>
                        <m:r>
                          <m:t>b</m:t>
                        </m:r>
                      </m:sub>
                    </m:sSub>
                    <m:r>
                      <m:rPr>
                        <m:sty m:val="p"/>
                      </m:rPr>
                      <m:t>+</m:t>
                    </m:r>
                    <m:r>
                      <m:t>5</m:t>
                    </m:r>
                    <m:r>
                      <m:rPr>
                        <m:sty m:val="p"/>
                      </m:rPr>
                      <m:t>)</m:t>
                    </m:r>
                  </m:num>
                  <m:den>
                    <m:r>
                      <m:t>9</m:t>
                    </m:r>
                    <m:r>
                      <m:t> </m:t>
                    </m:r>
                    <m:sSub>
                      <m:e>
                        <m:r>
                          <m:t>W</m:t>
                        </m:r>
                      </m:e>
                      <m:sub>
                        <m:r>
                          <m:t>b</m:t>
                        </m:r>
                      </m:sub>
                    </m:sSub>
                    <m:r>
                      <m:rPr>
                        <m:sty m:val="p"/>
                      </m:rPr>
                      <m:t>(</m:t>
                    </m:r>
                    <m:sSub>
                      <m:e>
                        <m:r>
                          <m:t>W</m:t>
                        </m:r>
                      </m:e>
                      <m:sub>
                        <m:r>
                          <m:t>b</m:t>
                        </m:r>
                      </m:sub>
                    </m:sSub>
                    <m:r>
                      <m:rPr>
                        <m:sty m:val="p"/>
                      </m:rPr>
                      <m:t>−</m:t>
                    </m:r>
                    <m:r>
                      <m:t>1</m:t>
                    </m:r>
                    <m:r>
                      <m:rPr>
                        <m:sty m:val="p"/>
                      </m:rPr>
                      <m:t>)</m:t>
                    </m:r>
                  </m:den>
                </m:f>
                <m:r>
                  <m:rPr>
                    <m:nor/>
                  </m:rPr>
                  <m:t>  </m:t>
                </m:r>
                <m:r>
                  <m:rPr>
                    <m:sty m:val="p"/>
                  </m:rPr>
                  <m:t>(</m:t>
                </m:r>
                <m:r>
                  <m:rPr>
                    <m:nor/>
                    <m:sty m:val="p"/>
                  </m:rPr>
                  <m:t>untied</m:t>
                </m:r>
                <m:r>
                  <m:rPr>
                    <m:sty m:val="p"/>
                  </m:rPr>
                  <m:t>)</m:t>
                </m:r>
              </m:oMath>
            </m:oMathPara>
          </w:p>
        </w:tc>
        <w:tc>
          <w:tcPr>
            <w:tcW w:type="dxa" w:w="748"/>
            <w:vAlign w:val="center"/>
          </w:tcPr>
          <w:p>
            <w:pPr>
              <w:jc w:val="right"/>
            </w:pPr>
            <w:r>
              <w:rPr>
                <w:rFonts w:ascii="Georgia" w:hAnsi="Georgia" w:eastAsia="Georgia" w:cs="Georgia"/>
                <w:sz w:val="21"/>
              </w:rPr>
              <w:t>(6)</w:t>
            </w:r>
          </w:p>
        </w:tc>
      </w:tr>
    </w:tbl>
    <w:p>
      <w:pPr>
        <w:pStyle w:val="BodyText"/>
      </w:pPr>
      <w:r>
        <w:t xml:space="preserve">The binary case follows from equation (3), because</w:t>
      </w:r>
      <w:r>
        <w:t xml:space="preserve"> </w:t>
      </w:r>
      <w:r>
        <w:rPr>
          <w:i/>
          <w:iCs/>
        </w:rPr>
        <w:t xml:space="preserve">W</w:t>
      </w:r>
      <w:r>
        <w:rPr>
          <w:vertAlign w:val="subscript"/>
        </w:rPr>
        <w:t xml:space="preserve">b</w:t>
      </w:r>
      <w:r>
        <w:rPr>
          <w:i/>
          <w:iCs/>
        </w:rPr>
        <w:t xml:space="preserve">φ</w:t>
      </w:r>
      <w:r>
        <w:rPr>
          <w:vertAlign w:val="superscript"/>
        </w:rPr>
        <w:t xml:space="preserve">2</w:t>
      </w:r>
      <w:r>
        <w:t xml:space="preserve"> </w:t>
      </w:r>
      <w:r>
        <w:t xml:space="preserve">is asymptotically</w:t>
      </w:r>
      <w:r>
        <w:t xml:space="preserve"> </w:t>
      </w:r>
      <w:r>
        <w:rPr>
          <w:i/>
          <w:iCs/>
        </w:rPr>
        <w:t xml:space="preserve">χ</w:t>
      </w:r>
      <w:r>
        <w:rPr>
          <w:vertAlign w:val="superscript"/>
        </w:rPr>
        <w:t xml:space="preserve">2</w:t>
      </w:r>
      <w:r>
        <w:t xml:space="preserve"> </w:t>
      </w:r>
      <w:r>
        <w:t xml:space="preserve">with one degree of freedom under independence; the untied case is Kendall’s classical result. For</w:t>
      </w:r>
      <w:r>
        <w:t xml:space="preserve"> </w:t>
      </w:r>
      <w:r>
        <w:rPr>
          <w:i/>
          <w:iCs/>
        </w:rPr>
        <w:t xml:space="preserve">N</w:t>
      </w:r>
      <w:r>
        <w:t xml:space="preserve"> </w:t>
      </w:r>
      <w:r>
        <w:t xml:space="preserve">= 7 modules (</w:t>
      </w:r>
      <w:r>
        <w:rPr>
          <w:i/>
          <w:iCs/>
        </w:rPr>
        <w:t xml:space="preserve">M</w:t>
      </w:r>
      <w:r>
        <w:t xml:space="preserve"> </w:t>
      </w:r>
      <w:r>
        <w:t xml:space="preserve">= 21) and</w:t>
      </w:r>
      <w:r>
        <w:t xml:space="preserve"> </w:t>
      </w:r>
      <w:r>
        <w:rPr>
          <w:i/>
          <w:iCs/>
        </w:rPr>
        <w:t xml:space="preserve">W</w:t>
      </w:r>
      <w:r>
        <w:rPr>
          <w:vertAlign w:val="subscript"/>
        </w:rPr>
        <w:t xml:space="preserve">b</w:t>
      </w:r>
      <w:r>
        <w:t xml:space="preserve"> </w:t>
      </w:r>
      <w:r>
        <w:t xml:space="preserve">= 140 bins, SD</w:t>
      </w:r>
      <w:r>
        <w:rPr>
          <w:vertAlign w:val="subscript"/>
        </w:rPr>
        <w:t xml:space="preserve">0</w:t>
      </w:r>
      <w:r>
        <w:t xml:space="preserve">[</w:t>
      </w:r>
      <w:r>
        <w:rPr>
          <w:i/>
          <w:iCs/>
        </w:rPr>
        <w:t xml:space="preserve">τ</w:t>
      </w:r>
      <w:r>
        <w:rPr>
          <w:vertAlign w:val="subscript"/>
        </w:rPr>
        <w:t xml:space="preserve">s</w:t>
      </w:r>
      <w:r>
        <w:t xml:space="preserve">] ≈ 0.018, so the central 95% null interval has a half-width of about 0.036. To detect a common shift Δ in pairwise concordance with a one-sided test at level</w:t>
      </w:r>
      <w:r>
        <w:t xml:space="preserve"> </w:t>
      </w:r>
      <w:r>
        <w:rPr>
          <w:i/>
          <w:iCs/>
        </w:rPr>
        <w:t xml:space="preserve">α</w:t>
      </w:r>
      <w:r>
        <w:t xml:space="preserve"> </w:t>
      </w:r>
      <w:r>
        <w:t xml:space="preserve">and power 1 −</w:t>
      </w:r>
      <w:r>
        <w:t xml:space="preserve"> </w:t>
      </w:r>
      <w:r>
        <w:rPr>
          <w:i/>
          <w:iCs/>
        </w:rPr>
        <w:t xml:space="preserve">β</w:t>
      </w:r>
      <w:r>
        <w:t xml:space="preserve">, approximately</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t>W</m:t>
                    </m:r>
                  </m:e>
                  <m:sub>
                    <m:r>
                      <m:rPr>
                        <m:nor/>
                        <m:sty m:val="p"/>
                      </m:rPr>
                      <m:t>min</m:t>
                    </m:r>
                  </m:sub>
                </m:sSub>
                <m:r>
                  <m:rPr>
                    <m:sty m:val="p"/>
                  </m:rPr>
                  <m:t>(</m:t>
                </m:r>
                <m:r>
                  <m:rPr>
                    <m:sty m:val="p"/>
                  </m:rPr>
                  <m:t>Δ</m:t>
                </m:r>
                <m:r>
                  <m:rPr>
                    <m:sty m:val="p"/>
                  </m:rPr>
                  <m:t>)</m:t>
                </m:r>
                <m:r>
                  <m:rPr>
                    <m:sty m:val="p"/>
                  </m:rPr>
                  <m:t>≈</m:t>
                </m:r>
                <m:f>
                  <m:fPr>
                    <m:type m:val="bar"/>
                  </m:fPr>
                  <m:num>
                    <m:r>
                      <m:t>1</m:t>
                    </m:r>
                  </m:num>
                  <m:den>
                    <m:r>
                      <m:t>M</m:t>
                    </m:r>
                  </m:den>
                </m:f>
                <m:sSup>
                  <m:e>
                    <m:d>
                      <m:dPr>
                        <m:begChr m:val="("/>
                        <m:sepChr m:val=""/>
                        <m:endChr m:val=")"/>
                        <m:grow/>
                      </m:dPr>
                      <m:e>
                        <m:f>
                          <m:fPr>
                            <m:type m:val="bar"/>
                          </m:fPr>
                          <m:num>
                            <m:sSub>
                              <m:e>
                                <m:r>
                                  <m:t>z</m:t>
                                </m:r>
                              </m:e>
                              <m:sub>
                                <m:r>
                                  <m:t>1</m:t>
                                </m:r>
                                <m:r>
                                  <m:rPr>
                                    <m:sty m:val="p"/>
                                  </m:rPr>
                                  <m:t>−</m:t>
                                </m:r>
                                <m:r>
                                  <m:t>α</m:t>
                                </m:r>
                              </m:sub>
                            </m:sSub>
                            <m:r>
                              <m:rPr>
                                <m:sty m:val="p"/>
                              </m:rPr>
                              <m:t>+</m:t>
                            </m:r>
                            <m:sSub>
                              <m:e>
                                <m:r>
                                  <m:t>z</m:t>
                                </m:r>
                              </m:e>
                              <m:sub>
                                <m:r>
                                  <m:t>1</m:t>
                                </m:r>
                                <m:r>
                                  <m:rPr>
                                    <m:sty m:val="p"/>
                                  </m:rPr>
                                  <m:t>−</m:t>
                                </m:r>
                                <m:r>
                                  <m:t>β</m:t>
                                </m:r>
                              </m:sub>
                            </m:sSub>
                          </m:num>
                          <m:den>
                            <m:r>
                              <m:rPr>
                                <m:sty m:val="p"/>
                              </m:rPr>
                              <m:t>Δ</m:t>
                            </m:r>
                          </m:den>
                        </m:f>
                      </m:e>
                    </m:d>
                  </m:e>
                  <m:sup>
                    <m:r>
                      <m:t>2</m:t>
                    </m:r>
                  </m:sup>
                </m:sSup>
                <m:f>
                  <m:fPr>
                    <m:type m:val="bar"/>
                  </m:fPr>
                  <m:num>
                    <m:r>
                      <m:t>1</m:t>
                    </m:r>
                    <m:r>
                      <m:rPr>
                        <m:sty m:val="p"/>
                      </m:rPr>
                      <m:t>+</m:t>
                    </m:r>
                    <m:sSub>
                      <m:e>
                        <m:r>
                          <m:t>ρ</m:t>
                        </m:r>
                      </m:e>
                      <m:sub>
                        <m:r>
                          <m:t>i</m:t>
                        </m:r>
                      </m:sub>
                    </m:sSub>
                    <m:sSub>
                      <m:e>
                        <m:r>
                          <m:t>ρ</m:t>
                        </m:r>
                      </m:e>
                      <m:sub>
                        <m:r>
                          <m:t>j</m:t>
                        </m:r>
                      </m:sub>
                    </m:sSub>
                  </m:num>
                  <m:den>
                    <m:r>
                      <m:t>1</m:t>
                    </m:r>
                    <m:r>
                      <m:rPr>
                        <m:sty m:val="p"/>
                      </m:rPr>
                      <m:t>−</m:t>
                    </m:r>
                    <m:sSub>
                      <m:e>
                        <m:r>
                          <m:t>ρ</m:t>
                        </m:r>
                      </m:e>
                      <m:sub>
                        <m:r>
                          <m:t>i</m:t>
                        </m:r>
                      </m:sub>
                    </m:sSub>
                    <m:sSub>
                      <m:e>
                        <m:r>
                          <m:t>ρ</m:t>
                        </m:r>
                      </m:e>
                      <m:sub>
                        <m:r>
                          <m:t>j</m:t>
                        </m:r>
                      </m:sub>
                    </m:sSub>
                  </m:den>
                </m:f>
              </m:oMath>
            </m:oMathPara>
          </w:p>
        </w:tc>
        <w:tc>
          <w:tcPr>
            <w:tcW w:type="dxa" w:w="748"/>
            <w:vAlign w:val="center"/>
          </w:tcPr>
          <w:p>
            <w:pPr>
              <w:jc w:val="right"/>
            </w:pPr>
            <w:r>
              <w:rPr>
                <w:rFonts w:ascii="Georgia" w:hAnsi="Georgia" w:eastAsia="Georgia" w:cs="Georgia"/>
                <w:sz w:val="21"/>
              </w:rPr>
              <w:t>(7)</w:t>
            </w:r>
          </w:p>
        </w:tc>
      </w:tr>
    </w:tbl>
    <w:p>
      <w:pPr>
        <w:pStyle w:val="BodyText"/>
      </w:pPr>
      <w:r>
        <w:t xml:space="preserve">bins are required, where the last factor inflates the requirement for lag-one serial correlation</w:t>
      </w:r>
      <w:r>
        <w:t xml:space="preserve"> </w:t>
      </w:r>
      <w:r>
        <w:rPr>
          <w:i/>
          <w:iCs/>
        </w:rPr>
        <w:t xml:space="preserve">ρ</w:t>
      </w:r>
      <w:r>
        <w:t xml:space="preserve"> </w:t>
      </w:r>
      <w:r>
        <w:t xml:space="preserve">in each stream. With</w:t>
      </w:r>
      <w:r>
        <w:t xml:space="preserve"> </w:t>
      </w:r>
      <w:r>
        <w:rPr>
          <w:i/>
          <w:iCs/>
        </w:rPr>
        <w:t xml:space="preserve">α</w:t>
      </w:r>
      <w:r>
        <w:t xml:space="preserve"> </w:t>
      </w:r>
      <w:r>
        <w:t xml:space="preserve">= 0.05, power 0.8 and serially independent streams, Δ = 0.10 requires about 30 bins and Δ = 0.05 about 118. These analytical values are guides; the operative window is chosen by the design check described below. Short windows bias</w:t>
      </w:r>
      <w:r>
        <w:t xml:space="preserve"> </w:t>
      </w:r>
      <w:r>
        <w:rPr>
          <w:i/>
          <w:iCs/>
        </w:rPr>
        <w:t xml:space="preserve">τ</w:t>
      </w:r>
      <w:r>
        <w:rPr>
          <w:vertAlign w:val="subscript"/>
        </w:rPr>
        <w:t xml:space="preserve">s</w:t>
      </w:r>
      <w:r>
        <w:t xml:space="preserve"> </w:t>
      </w:r>
      <w:r>
        <w:t xml:space="preserve">towards zero through the convention for constant streams: under serial independence a binary stream with rate</w:t>
      </w:r>
      <w:r>
        <w:t xml:space="preserve"> </w:t>
      </w:r>
      <w:r>
        <w:rPr>
          <w:i/>
          <w:iCs/>
        </w:rPr>
        <w:t xml:space="preserve">p</w:t>
      </w:r>
      <w:r>
        <w:rPr>
          <w:i/>
          <w:iCs/>
          <w:vertAlign w:val="subscript"/>
        </w:rPr>
        <w:t xml:space="preserve">i</w:t>
      </w:r>
      <w:r>
        <w:t xml:space="preserve"> </w:t>
      </w:r>
      <w:r>
        <w:t xml:space="preserve">is constant within a window with probability</w:t>
      </w:r>
      <w:r>
        <w:t xml:space="preserve"> </w:t>
      </w:r>
      <w:r>
        <w:rPr>
          <w:i/>
          <w:iCs/>
        </w:rPr>
        <w:t xml:space="preserve">c</w:t>
      </w:r>
      <w:r>
        <w:rPr>
          <w:i/>
          <w:iCs/>
          <w:vertAlign w:val="subscript"/>
        </w:rPr>
        <w:t xml:space="preserve">i</w:t>
      </w:r>
      <w:r>
        <w:t xml:space="preserve">(</w:t>
      </w:r>
      <w:r>
        <w:rPr>
          <w:i/>
          <w:iCs/>
        </w:rPr>
        <w:t xml:space="preserve">W</w:t>
      </w:r>
      <w:r>
        <w:rPr>
          <w:vertAlign w:val="subscript"/>
        </w:rPr>
        <w:t xml:space="preserve">b</w:t>
      </w:r>
      <w:r>
        <w:t xml:space="preserve">) = (1 −</w:t>
      </w:r>
      <w:r>
        <w:t xml:space="preserve"> </w:t>
      </w:r>
      <w:r>
        <w:rPr>
          <w:i/>
          <w:iCs/>
        </w:rPr>
        <w:t xml:space="preserve">p</w:t>
      </w:r>
      <w:r>
        <w:rPr>
          <w:i/>
          <w:iCs/>
          <w:vertAlign w:val="subscript"/>
        </w:rPr>
        <w:t xml:space="preserve">i</w:t>
      </w:r>
      <w:r>
        <w:t xml:space="preserve">)</w:t>
      </w:r>
      <w:r>
        <w:rPr>
          <w:i/>
          <w:iCs/>
          <w:vertAlign w:val="superscript"/>
        </w:rPr>
        <w:t xml:space="preserve">W</w:t>
      </w:r>
      <w:r>
        <w:rPr>
          <w:vertAlign w:val="subscript"/>
          <w:vertAlign w:val="superscript"/>
        </w:rPr>
        <w:t xml:space="preserve">b</w:t>
      </w:r>
      <w:r>
        <w:t xml:space="preserve"> </w:t>
      </w:r>
      <w:r>
        <w:t xml:space="preserve">+</w:t>
      </w:r>
      <w:r>
        <w:t xml:space="preserve"> </w:t>
      </w:r>
      <w:r>
        <w:rPr>
          <w:i/>
          <w:iCs/>
        </w:rPr>
        <w:t xml:space="preserve">p</w:t>
      </w:r>
      <w:r>
        <w:rPr>
          <w:i/>
          <w:iCs/>
          <w:vertAlign w:val="subscript"/>
        </w:rPr>
        <w:t xml:space="preserve">i</w:t>
      </w:r>
      <w:r>
        <w:rPr>
          <w:i/>
          <w:iCs/>
          <w:vertAlign w:val="superscript"/>
        </w:rPr>
        <w:t xml:space="preserve">W</w:t>
      </w:r>
      <w:r>
        <w:rPr>
          <w:vertAlign w:val="subscript"/>
          <w:vertAlign w:val="superscript"/>
        </w:rPr>
        <w:t xml:space="preserve">b</w:t>
      </w:r>
      <w:r>
        <w:t xml:space="preserve">, so that</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r>
                  <m:rPr>
                    <m:nor/>
                    <m:sty m:val="p"/>
                  </m:rPr>
                  <m:t>E</m:t>
                </m:r>
                <m:d>
                  <m:dPr>
                    <m:begChr m:val="["/>
                    <m:sepChr m:val=""/>
                    <m:endChr m:val="]"/>
                    <m:grow/>
                  </m:dPr>
                  <m:e>
                    <m:sSubSup>
                      <m:e>
                        <m:acc>
                          <m:accPr>
                            <m:chr m:val="̂"/>
                          </m:accPr>
                          <m:e>
                            <m:r>
                              <m:t>τ</m:t>
                            </m:r>
                          </m:e>
                        </m:acc>
                      </m:e>
                      <m:sub>
                        <m:r>
                          <m:t>b</m:t>
                        </m:r>
                      </m:sub>
                      <m:sup>
                        <m:r>
                          <m:rPr>
                            <m:sty m:val="p"/>
                          </m:rPr>
                          <m:t>(</m:t>
                        </m:r>
                        <m:r>
                          <m:t>i</m:t>
                        </m:r>
                        <m:r>
                          <m:t>j</m:t>
                        </m:r>
                        <m:r>
                          <m:rPr>
                            <m:sty m:val="p"/>
                          </m:rPr>
                          <m:t>)</m:t>
                        </m:r>
                      </m:sup>
                    </m:sSubSup>
                  </m:e>
                </m:d>
                <m:r>
                  <m:rPr>
                    <m:sty m:val="p"/>
                  </m:rPr>
                  <m:t>≈</m:t>
                </m:r>
                <m:d>
                  <m:dPr>
                    <m:begChr m:val="("/>
                    <m:sepChr m:val=""/>
                    <m:endChr m:val=")"/>
                    <m:grow/>
                  </m:dPr>
                  <m:e>
                    <m:r>
                      <m:t>1</m:t>
                    </m:r>
                    <m:r>
                      <m:rPr>
                        <m:sty m:val="p"/>
                      </m:rPr>
                      <m:t>−</m:t>
                    </m:r>
                    <m:sSub>
                      <m:e>
                        <m:r>
                          <m:t>c</m:t>
                        </m:r>
                      </m:e>
                      <m:sub>
                        <m:r>
                          <m:t>i</m:t>
                        </m:r>
                      </m:sub>
                    </m:sSub>
                    <m:r>
                      <m:rPr>
                        <m:sty m:val="p"/>
                      </m:rPr>
                      <m:t>(</m:t>
                    </m:r>
                    <m:sSub>
                      <m:e>
                        <m:r>
                          <m:t>W</m:t>
                        </m:r>
                      </m:e>
                      <m:sub>
                        <m:r>
                          <m:t>b</m:t>
                        </m:r>
                      </m:sub>
                    </m:sSub>
                    <m:r>
                      <m:rPr>
                        <m:sty m:val="p"/>
                      </m:rPr>
                      <m:t>)</m:t>
                    </m:r>
                  </m:e>
                </m:d>
                <m:d>
                  <m:dPr>
                    <m:begChr m:val="("/>
                    <m:sepChr m:val=""/>
                    <m:endChr m:val=")"/>
                    <m:grow/>
                  </m:dPr>
                  <m:e>
                    <m:r>
                      <m:t>1</m:t>
                    </m:r>
                    <m:r>
                      <m:rPr>
                        <m:sty m:val="p"/>
                      </m:rPr>
                      <m:t>−</m:t>
                    </m:r>
                    <m:sSub>
                      <m:e>
                        <m:r>
                          <m:t>c</m:t>
                        </m:r>
                      </m:e>
                      <m:sub>
                        <m:r>
                          <m:t>j</m:t>
                        </m:r>
                      </m:sub>
                    </m:sSub>
                    <m:r>
                      <m:rPr>
                        <m:sty m:val="p"/>
                      </m:rPr>
                      <m:t>(</m:t>
                    </m:r>
                    <m:sSub>
                      <m:e>
                        <m:r>
                          <m:t>W</m:t>
                        </m:r>
                      </m:e>
                      <m:sub>
                        <m:r>
                          <m:t>b</m:t>
                        </m:r>
                      </m:sub>
                    </m:sSub>
                    <m:r>
                      <m:rPr>
                        <m:sty m:val="p"/>
                      </m:rPr>
                      <m:t>)</m:t>
                    </m:r>
                  </m:e>
                </m:d>
                <m:r>
                  <m:t> </m:t>
                </m:r>
                <m:sSubSup>
                  <m:e>
                    <m:r>
                      <m:t>τ</m:t>
                    </m:r>
                  </m:e>
                  <m:sub>
                    <m:r>
                      <m:t>b</m:t>
                    </m:r>
                  </m:sub>
                  <m:sup>
                    <m:r>
                      <m:rPr>
                        <m:sty m:val="p"/>
                      </m:rPr>
                      <m:t>(</m:t>
                    </m:r>
                    <m:r>
                      <m:t>i</m:t>
                    </m:r>
                    <m:r>
                      <m:t>j</m:t>
                    </m:r>
                    <m:r>
                      <m:rPr>
                        <m:sty m:val="p"/>
                      </m:rPr>
                      <m:t>)</m:t>
                    </m:r>
                    <m:r>
                      <m:rPr>
                        <m:sty m:val="p"/>
                      </m:rPr>
                      <m:t>,</m:t>
                    </m:r>
                    <m:r>
                      <m:rPr>
                        <m:sty m:val="p"/>
                      </m:rPr>
                      <m:t>∞</m:t>
                    </m:r>
                  </m:sup>
                </m:sSubSup>
                <m:r>
                  <m:rPr>
                    <m:sty m:val="p"/>
                  </m:rPr>
                  <m:t>,</m:t>
                </m:r>
                <m:r>
                  <m:rPr>
                    <m:nor/>
                  </m:rPr>
                  <m:t>    </m:t>
                </m:r>
                <m:sSub>
                  <m:e>
                    <m:r>
                      <m:rPr>
                        <m:nor/>
                        <m:sty m:val="p"/>
                      </m:rPr>
                      <m:t>Bias</m:t>
                    </m:r>
                  </m:e>
                  <m:sub>
                    <m:r>
                      <m:t>W</m:t>
                    </m:r>
                  </m:sub>
                </m:sSub>
                <m:r>
                  <m:rPr>
                    <m:sty m:val="p"/>
                  </m:rPr>
                  <m:t>=</m:t>
                </m:r>
                <m:r>
                  <m:rPr>
                    <m:nor/>
                    <m:sty m:val="p"/>
                  </m:rPr>
                  <m:t>E</m:t>
                </m:r>
                <m:d>
                  <m:dPr>
                    <m:begChr m:val="["/>
                    <m:sepChr m:val=""/>
                    <m:endChr m:val="]"/>
                    <m:grow/>
                  </m:dPr>
                  <m:e>
                    <m:sSub>
                      <m:e>
                        <m:acc>
                          <m:accPr>
                            <m:chr m:val="̂"/>
                          </m:accPr>
                          <m:e>
                            <m:r>
                              <m:t>τ</m:t>
                            </m:r>
                          </m:e>
                        </m:acc>
                      </m:e>
                      <m:sub>
                        <m:r>
                          <m:t>s</m:t>
                        </m:r>
                      </m:sub>
                    </m:sSub>
                    <m:r>
                      <m:rPr>
                        <m:sty m:val="p"/>
                      </m:rPr>
                      <m:t>(</m:t>
                    </m:r>
                    <m:r>
                      <m:t>W</m:t>
                    </m:r>
                    <m:r>
                      <m:rPr>
                        <m:sty m:val="p"/>
                      </m:rPr>
                      <m:t>)</m:t>
                    </m:r>
                  </m:e>
                </m:d>
                <m:r>
                  <m:rPr>
                    <m:sty m:val="p"/>
                  </m:rPr>
                  <m:t>−</m:t>
                </m:r>
                <m:sSubSup>
                  <m:e>
                    <m:r>
                      <m:t>τ</m:t>
                    </m:r>
                  </m:e>
                  <m:sub>
                    <m:r>
                      <m:t>s</m:t>
                    </m:r>
                  </m:sub>
                  <m:sup>
                    <m:r>
                      <m:rPr>
                        <m:sty m:val="p"/>
                      </m:rPr>
                      <m:t>∞</m:t>
                    </m:r>
                  </m:sup>
                </m:sSubSup>
              </m:oMath>
            </m:oMathPara>
          </w:p>
        </w:tc>
        <w:tc>
          <w:tcPr>
            <w:tcW w:type="dxa" w:w="748"/>
            <w:vAlign w:val="center"/>
          </w:tcPr>
          <w:p>
            <w:pPr>
              <w:jc w:val="right"/>
            </w:pPr>
            <w:r>
              <w:rPr>
                <w:rFonts w:ascii="Georgia" w:hAnsi="Georgia" w:eastAsia="Georgia" w:cs="Georgia"/>
                <w:sz w:val="21"/>
              </w:rPr>
              <w:t>(8)</w:t>
            </w:r>
          </w:p>
        </w:tc>
      </w:tr>
    </w:tbl>
    <w:p>
      <w:pPr>
        <w:pStyle w:val="BodyText"/>
      </w:pPr>
      <w:r>
        <w:t xml:space="preserve">For a sparse module (</w:t>
      </w:r>
      <w:r>
        <w:rPr>
          <w:i/>
          <w:iCs/>
        </w:rPr>
        <w:t xml:space="preserve">p</w:t>
      </w:r>
      <w:r>
        <w:t xml:space="preserve"> </w:t>
      </w:r>
      <w:r>
        <w:t xml:space="preserve">= 0.02) and</w:t>
      </w:r>
      <w:r>
        <w:t xml:space="preserve"> </w:t>
      </w:r>
      <w:r>
        <w:rPr>
          <w:i/>
          <w:iCs/>
        </w:rPr>
        <w:t xml:space="preserve">W</w:t>
      </w:r>
      <w:r>
        <w:rPr>
          <w:vertAlign w:val="subscript"/>
        </w:rPr>
        <w:t xml:space="preserve">b</w:t>
      </w:r>
      <w:r>
        <w:t xml:space="preserve"> </w:t>
      </w:r>
      <w:r>
        <w:t xml:space="preserve">= 50,</w:t>
      </w:r>
      <w:r>
        <w:t xml:space="preserve"> </w:t>
      </w:r>
      <w:r>
        <w:rPr>
          <w:i/>
          <w:iCs/>
        </w:rPr>
        <w:t xml:space="preserve">c</w:t>
      </w:r>
      <w:r>
        <w:t xml:space="preserve"> </w:t>
      </w:r>
      <w:r>
        <w:t xml:space="preserve">≈ 0.36, and the expected concordance of each of its pairs is attenuated by about a third before sampling error is considered. Because</w:t>
      </w:r>
      <w:r>
        <w:t xml:space="preserve"> </w:t>
      </w:r>
      <w:r>
        <w:rPr>
          <w:i/>
          <w:iCs/>
        </w:rPr>
        <w:t xml:space="preserve">τ</w:t>
      </w:r>
      <w:r>
        <w:rPr>
          <w:vertAlign w:val="subscript"/>
        </w:rPr>
        <w:t xml:space="preserve">b</w:t>
      </w:r>
      <w:r>
        <w:t xml:space="preserve"> </w:t>
      </w:r>
      <w:r>
        <w:t xml:space="preserve">is also a ratio estimator with a small finite-sample bias, Bias</w:t>
      </w:r>
      <w:r>
        <w:rPr>
          <w:i/>
          <w:iCs/>
          <w:vertAlign w:val="subscript"/>
        </w:rPr>
        <w:t xml:space="preserve">W</w:t>
      </w:r>
      <w:r>
        <w:t xml:space="preserve"> </w:t>
      </w:r>
      <w:r>
        <w:t xml:space="preserve">is estimated by simulation against a long-window reference (</w:t>
      </w:r>
      <w:r>
        <w:rPr>
          <w:i/>
          <w:iCs/>
        </w:rPr>
        <w:t xml:space="preserve">W</w:t>
      </w:r>
      <w:r>
        <w:t xml:space="preserve"> </w:t>
      </w:r>
      <w:r>
        <w:t xml:space="preserve">= 2,000 ticks) and reported for every window used.</w:t>
      </w:r>
    </w:p>
    <w:bookmarkEnd w:id="20"/>
    <w:bookmarkStart w:id="21" w:name="module-model"/>
    <w:p>
      <w:pPr>
        <w:pStyle w:val="Heading2"/>
      </w:pPr>
      <w:r>
        <w:t xml:space="preserve">Module model</w:t>
      </w:r>
    </w:p>
    <w:p>
      <w:pPr>
        <w:pStyle w:val="FirstParagraph"/>
      </w:pPr>
      <w:r>
        <w:t xml:space="preserve">A Dynamic Event Graph is a directed graph of modules, each carrying a layer label</w:t>
      </w:r>
      <w:r>
        <w:t xml:space="preserve"> </w:t>
      </w:r>
      <w:r>
        <w:rPr>
          <w:i/>
          <w:iCs/>
        </w:rPr>
        <w:t xml:space="preserve">ℓ</w:t>
      </w:r>
      <w:r>
        <w:t xml:space="preserve"> </w:t>
      </w:r>
      <w:r>
        <w:t xml:space="preserve">(inputs 0, hidden 1, output 2; a bridge module takes the mean of its endpoints’ layers). Edges are admissible only from lower to higher layers. Each non-input module</w:t>
      </w:r>
      <w:r>
        <w:t xml:space="preserve"> </w:t>
      </w:r>
      <w:r>
        <w:rPr>
          <w:i/>
          <w:iCs/>
        </w:rPr>
        <w:t xml:space="preserve">j</w:t>
      </w:r>
      <w:r>
        <w:t xml:space="preserve"> </w:t>
      </w:r>
      <w:r>
        <w:t xml:space="preserve">is a discrete-time leaky integrate-and-fire unit,</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t>u</m:t>
                    </m:r>
                  </m:e>
                  <m:sub>
                    <m:r>
                      <m:t>j</m:t>
                    </m:r>
                  </m:sub>
                </m:sSub>
                <m:r>
                  <m:rPr>
                    <m:sty m:val="p"/>
                  </m:rPr>
                  <m:t>(</m:t>
                </m:r>
                <m:r>
                  <m:t>t</m:t>
                </m:r>
                <m:r>
                  <m:rPr>
                    <m:sty m:val="p"/>
                  </m:rPr>
                  <m:t>)</m:t>
                </m:r>
                <m:r>
                  <m:rPr>
                    <m:sty m:val="p"/>
                  </m:rPr>
                  <m:t>=</m:t>
                </m:r>
                <m:r>
                  <m:t>λ</m:t>
                </m:r>
                <m:r>
                  <m:t> </m:t>
                </m:r>
                <m:sSub>
                  <m:e>
                    <m:r>
                      <m:t>u</m:t>
                    </m:r>
                  </m:e>
                  <m:sub>
                    <m:r>
                      <m:t>j</m:t>
                    </m:r>
                  </m:sub>
                </m:sSub>
                <m:r>
                  <m:rPr>
                    <m:sty m:val="p"/>
                  </m:rPr>
                  <m:t>(</m:t>
                </m:r>
                <m:r>
                  <m:t>t</m:t>
                </m:r>
                <m:r>
                  <m:rPr>
                    <m:sty m:val="p"/>
                  </m:rPr>
                  <m:t>−</m:t>
                </m:r>
                <m:r>
                  <m:t>1</m:t>
                </m:r>
                <m:r>
                  <m:rPr>
                    <m:sty m:val="p"/>
                  </m:rPr>
                  <m:t>)</m:t>
                </m:r>
                <m:r>
                  <m:rPr>
                    <m:sty m:val="p"/>
                  </m:rPr>
                  <m:t>+</m:t>
                </m:r>
                <m:nary>
                  <m:naryPr>
                    <m:chr m:val="∑"/>
                    <m:limLoc m:val="undOvr"/>
                    <m:subHide m:val="off"/>
                    <m:supHide m:val="on"/>
                  </m:naryPr>
                  <m:sub>
                    <m:r>
                      <m:t>i</m:t>
                    </m:r>
                  </m:sub>
                  <m:sup>
                    <m:r>
                      <m:t>​</m:t>
                    </m:r>
                  </m:sup>
                  <m:e>
                    <m:sSub>
                      <m:e>
                        <m:r>
                          <m:t>w</m:t>
                        </m:r>
                      </m:e>
                      <m:sub>
                        <m:r>
                          <m:t>i</m:t>
                        </m:r>
                        <m:r>
                          <m:t>j</m:t>
                        </m:r>
                      </m:sub>
                    </m:sSub>
                  </m:e>
                </m:nary>
                <m:r>
                  <m:t> </m:t>
                </m:r>
                <m:sSub>
                  <m:e>
                    <m:r>
                      <m:t>s</m:t>
                    </m:r>
                  </m:e>
                  <m:sub>
                    <m:r>
                      <m:t>i</m:t>
                    </m:r>
                  </m:sub>
                </m:sSub>
                <m:r>
                  <m:rPr>
                    <m:sty m:val="p"/>
                  </m:rPr>
                  <m:t>(</m:t>
                </m:r>
                <m:r>
                  <m:t>t</m:t>
                </m:r>
                <m:r>
                  <m:rPr>
                    <m:sty m:val="p"/>
                  </m:rPr>
                  <m:t>−</m:t>
                </m:r>
                <m:r>
                  <m:t>1</m:t>
                </m:r>
                <m:r>
                  <m:rPr>
                    <m:sty m:val="p"/>
                  </m:rPr>
                  <m:t>)</m:t>
                </m:r>
                <m:r>
                  <m:rPr>
                    <m:sty m:val="p"/>
                  </m:rPr>
                  <m:t>+</m:t>
                </m:r>
                <m:sSub>
                  <m:e>
                    <m:r>
                      <m:t>σ</m:t>
                    </m:r>
                  </m:e>
                  <m:sub>
                    <m:r>
                      <m:t>u</m:t>
                    </m:r>
                  </m:sub>
                </m:sSub>
                <m:r>
                  <m:t> </m:t>
                </m:r>
                <m:sSub>
                  <m:e>
                    <m:r>
                      <m:t>ξ</m:t>
                    </m:r>
                  </m:e>
                  <m:sub>
                    <m:r>
                      <m:t>j</m:t>
                    </m:r>
                  </m:sub>
                </m:sSub>
                <m:r>
                  <m:rPr>
                    <m:sty m:val="p"/>
                  </m:rPr>
                  <m:t>(</m:t>
                </m:r>
                <m:r>
                  <m:t>t</m:t>
                </m:r>
                <m:r>
                  <m:rPr>
                    <m:sty m:val="p"/>
                  </m:rPr>
                  <m:t>)</m:t>
                </m:r>
                <m:r>
                  <m:rPr>
                    <m:sty m:val="p"/>
                  </m:rPr>
                  <m:t>,</m:t>
                </m:r>
                <m:r>
                  <m:rPr>
                    <m:nor/>
                  </m:rPr>
                  <m:t>    </m:t>
                </m:r>
                <m:sSub>
                  <m:e>
                    <m:r>
                      <m:t>s</m:t>
                    </m:r>
                  </m:e>
                  <m:sub>
                    <m:r>
                      <m:t>j</m:t>
                    </m:r>
                  </m:sub>
                </m:sSub>
                <m:r>
                  <m:rPr>
                    <m:sty m:val="p"/>
                  </m:rPr>
                  <m:t>(</m:t>
                </m:r>
                <m:r>
                  <m:t>t</m:t>
                </m:r>
                <m:r>
                  <m:rPr>
                    <m:sty m:val="p"/>
                  </m:rPr>
                  <m:t>)</m:t>
                </m:r>
                <m:r>
                  <m:rPr>
                    <m:sty m:val="p"/>
                  </m:rPr>
                  <m:t>=</m:t>
                </m:r>
                <m:r>
                  <m:rPr>
                    <m:scr m:val="double-struck"/>
                    <m:sty m:val="p"/>
                  </m:rPr>
                  <m:t>1</m:t>
                </m:r>
                <m:d>
                  <m:dPr>
                    <m:begChr m:val="["/>
                    <m:sepChr m:val=""/>
                    <m:endChr m:val="]"/>
                    <m:grow/>
                  </m:dPr>
                  <m:e>
                    <m:sSub>
                      <m:e>
                        <m:r>
                          <m:t>u</m:t>
                        </m:r>
                      </m:e>
                      <m:sub>
                        <m:r>
                          <m:t>j</m:t>
                        </m:r>
                      </m:sub>
                    </m:sSub>
                    <m:r>
                      <m:rPr>
                        <m:sty m:val="p"/>
                      </m:rPr>
                      <m:t>(</m:t>
                    </m:r>
                    <m:r>
                      <m:t>t</m:t>
                    </m:r>
                    <m:r>
                      <m:rPr>
                        <m:sty m:val="p"/>
                      </m:rPr>
                      <m:t>)</m:t>
                    </m:r>
                    <m:r>
                      <m:rPr>
                        <m:sty m:val="p"/>
                      </m:rPr>
                      <m:t>≥</m:t>
                    </m:r>
                    <m:sSub>
                      <m:e>
                        <m:r>
                          <m:t>θ</m:t>
                        </m:r>
                      </m:e>
                      <m:sub>
                        <m:r>
                          <m:t>j</m:t>
                        </m:r>
                      </m:sub>
                    </m:sSub>
                  </m:e>
                </m:d>
              </m:oMath>
            </m:oMathPara>
          </w:p>
        </w:tc>
        <w:tc>
          <w:tcPr>
            <w:tcW w:type="dxa" w:w="748"/>
            <w:vAlign w:val="center"/>
          </w:tcPr>
          <w:p>
            <w:pPr>
              <w:jc w:val="right"/>
            </w:pPr>
            <w:r>
              <w:rPr>
                <w:rFonts w:ascii="Georgia" w:hAnsi="Georgia" w:eastAsia="Georgia" w:cs="Georgia"/>
                <w:sz w:val="21"/>
              </w:rPr>
              <w:t>(9)</w:t>
            </w:r>
          </w:p>
        </w:tc>
      </w:tr>
    </w:tbl>
    <w:p>
      <w:pPr>
        <w:pStyle w:val="BodyText"/>
      </w:pPr>
      <w:r>
        <w:t xml:space="preserve">with</w:t>
      </w:r>
      <w:r>
        <w:t xml:space="preserve"> </w:t>
      </w:r>
      <w:r>
        <w:rPr>
          <w:i/>
          <w:iCs/>
        </w:rPr>
        <w:t xml:space="preserve">w</w:t>
      </w:r>
      <w:r>
        <w:rPr>
          <w:i/>
          <w:iCs/>
          <w:vertAlign w:val="subscript"/>
        </w:rPr>
        <w:t xml:space="preserve">ij</w:t>
      </w:r>
      <w:r>
        <w:t xml:space="preserve"> </w:t>
      </w:r>
      <w:r>
        <w:t xml:space="preserve">∈ {−</w:t>
      </w:r>
      <w:r>
        <w:rPr>
          <w:i/>
          <w:iCs/>
        </w:rPr>
        <w:t xml:space="preserve">w</w:t>
      </w:r>
      <w:r>
        <w:rPr>
          <w:vertAlign w:val="subscript"/>
        </w:rPr>
        <w:t xml:space="preserve">0</w:t>
      </w:r>
      <w:r>
        <w:t xml:space="preserve">, 0, +</w:t>
      </w:r>
      <w:r>
        <w:rPr>
          <w:i/>
          <w:iCs/>
        </w:rPr>
        <w:t xml:space="preserve">w</w:t>
      </w:r>
      <w:r>
        <w:rPr>
          <w:vertAlign w:val="subscript"/>
        </w:rPr>
        <w:t xml:space="preserve">0</w:t>
      </w:r>
      <w:r>
        <w:t xml:space="preserve">}, reset</w:t>
      </w:r>
      <w:r>
        <w:t xml:space="preserve"> </w:t>
      </w:r>
      <w:r>
        <w:rPr>
          <w:i/>
          <w:iCs/>
        </w:rPr>
        <w:t xml:space="preserve">u</w:t>
      </w:r>
      <w:r>
        <w:rPr>
          <w:i/>
          <w:iCs/>
          <w:vertAlign w:val="subscript"/>
        </w:rPr>
        <w:t xml:space="preserve">j</w:t>
      </w:r>
      <w:r>
        <w:t xml:space="preserve"> </w:t>
      </w:r>
      <w:r>
        <w:t xml:space="preserve">← 0 after each event and independent standard normal noise</w:t>
      </w:r>
      <w:r>
        <w:t xml:space="preserve"> </w:t>
      </w:r>
      <w:r>
        <w:rPr>
          <w:i/>
          <w:iCs/>
        </w:rPr>
        <w:t xml:space="preserve">ξ</w:t>
      </w:r>
      <w:r>
        <w:rPr>
          <w:i/>
          <w:iCs/>
          <w:vertAlign w:val="subscript"/>
        </w:rPr>
        <w:t xml:space="preserve">j</w:t>
      </w:r>
      <w:r>
        <w:t xml:space="preserve">(</w:t>
      </w:r>
      <w:r>
        <w:rPr>
          <w:i/>
          <w:iCs/>
        </w:rPr>
        <w:t xml:space="preserve">t</w:t>
      </w:r>
      <w:r>
        <w:t xml:space="preserve">). Only the set of non-zero</w:t>
      </w:r>
      <w:r>
        <w:t xml:space="preserve"> </w:t>
      </w:r>
      <w:r>
        <w:rPr>
          <w:i/>
          <w:iCs/>
        </w:rPr>
        <w:t xml:space="preserve">w</w:t>
      </w:r>
      <w:r>
        <w:rPr>
          <w:i/>
          <w:iCs/>
          <w:vertAlign w:val="subscript"/>
        </w:rPr>
        <w:t xml:space="preserve">ij</w:t>
      </w:r>
      <w:r>
        <w:t xml:space="preserve"> </w:t>
      </w:r>
      <w:r>
        <w:t xml:space="preserve">and the thresholds</w:t>
      </w:r>
      <w:r>
        <w:t xml:space="preserve"> </w:t>
      </w:r>
      <w:r>
        <w:rPr>
          <w:i/>
          <w:iCs/>
        </w:rPr>
        <w:t xml:space="preserve">θ</w:t>
      </w:r>
      <w:r>
        <w:rPr>
          <w:i/>
          <w:iCs/>
          <w:vertAlign w:val="subscript"/>
        </w:rPr>
        <w:t xml:space="preserve">j</w:t>
      </w:r>
      <w:r>
        <w:t xml:space="preserve"> </w:t>
      </w:r>
      <w:r>
        <w:t xml:space="preserve">change.</w:t>
      </w:r>
    </w:p>
    <w:bookmarkEnd w:id="21"/>
    <w:bookmarkStart w:id="22" w:name="calibration-and-trigger"/>
    <w:p>
      <w:pPr>
        <w:pStyle w:val="Heading2"/>
      </w:pPr>
      <w:r>
        <w:t xml:space="preserve">Calibration and trigger</w:t>
      </w:r>
    </w:p>
    <w:p>
      <w:pPr>
        <w:pStyle w:val="FirstParagraph"/>
      </w:pPr>
      <w:r>
        <w:t xml:space="preserve">Over a calibration period on the intact network (trials 1,500–2,449),</w:t>
      </w:r>
      <w:r>
        <w:t xml:space="preserve"> </w:t>
      </w:r>
      <w:r>
        <w:rPr>
          <w:i/>
          <w:iCs/>
        </w:rPr>
        <w:t xml:space="preserve">τ</w:t>
      </w:r>
      <w:r>
        <w:rPr>
          <w:vertAlign w:val="subscript"/>
        </w:rPr>
        <w:t xml:space="preserve">s</w:t>
      </w:r>
      <w:r>
        <w:t xml:space="preserve"> </w:t>
      </w:r>
      <w:r>
        <w:t xml:space="preserve">is evaluated at the end of every trial, and its mean</w:t>
      </w:r>
      <w:r>
        <w:t xml:space="preserve"> </w:t>
      </w:r>
      <w:r>
        <w:rPr>
          <w:i/>
          <w:iCs/>
        </w:rPr>
        <w:t xml:space="preserve">μ</w:t>
      </w:r>
      <w:r>
        <w:rPr>
          <w:vertAlign w:val="subscript"/>
        </w:rPr>
        <w:t xml:space="preserve">0</w:t>
      </w:r>
      <w:r>
        <w:t xml:space="preserve"> </w:t>
      </w:r>
      <w:r>
        <w:t xml:space="preserve">and standard deviation</w:t>
      </w:r>
      <w:r>
        <w:t xml:space="preserve"> </w:t>
      </w:r>
      <w:r>
        <w:rPr>
          <w:i/>
          <w:iCs/>
        </w:rPr>
        <w:t xml:space="preserve">σ</w:t>
      </w:r>
      <w:r>
        <w:rPr>
          <w:vertAlign w:val="subscript"/>
        </w:rPr>
        <w:t xml:space="preserve">0</w:t>
      </w:r>
      <w:r>
        <w:t xml:space="preserve">, the mean pairwise matrix</w:t>
      </w:r>
      <w:r>
        <w:t xml:space="preserve"> </w:t>
      </w:r>
      <w:r>
        <w:rPr>
          <w:i/>
          <w:iCs/>
        </w:rPr>
        <w:t xml:space="preserve">T̄</w:t>
      </w:r>
      <w:r>
        <w:rPr>
          <w:vertAlign w:val="superscript"/>
        </w:rPr>
        <w:t xml:space="preserve">0</w:t>
      </w:r>
      <w:r>
        <w:t xml:space="preserve"> </w:t>
      </w:r>
      <w:r>
        <w:t xml:space="preserve">and each module’s firing rate</w:t>
      </w:r>
      <w:r>
        <w:t xml:space="preserve"> </w:t>
      </w:r>
      <w:r>
        <w:rPr>
          <w:i/>
          <w:iCs/>
        </w:rPr>
        <w:t xml:space="preserve">r</w:t>
      </w:r>
      <w:r>
        <w:rPr>
          <w:i/>
          <w:iCs/>
          <w:vertAlign w:val="subscript"/>
        </w:rPr>
        <w:t xml:space="preserve">j</w:t>
      </w:r>
      <w:r>
        <w:rPr>
          <w:vertAlign w:val="superscript"/>
        </w:rPr>
        <w:t xml:space="preserve">0</w:t>
      </w:r>
      <w:r>
        <w:t xml:space="preserve"> </w:t>
      </w:r>
      <w:r>
        <w:t xml:space="preserve">are recorded. The primary trigger is two-sided,</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r>
                  <m:rPr>
                    <m:nor/>
                    <m:sty m:val="p"/>
                  </m:rPr>
                  <m:t>trigger at </m:t>
                </m:r>
                <m:r>
                  <m:t>κ</m:t>
                </m:r>
                <m:r>
                  <m:t> </m:t>
                </m:r>
                <m:r>
                  <m:rPr>
                    <m:sty m:val="p"/>
                  </m:rPr>
                  <m:t>⇔</m:t>
                </m:r>
                <m:r>
                  <m:t> </m:t>
                </m:r>
                <m:d>
                  <m:dPr>
                    <m:begChr m:val="|"/>
                    <m:sepChr m:val=""/>
                    <m:endChr m:val="|"/>
                    <m:grow/>
                  </m:dPr>
                  <m:e>
                    <m:sSub>
                      <m:e>
                        <m:r>
                          <m:t>τ</m:t>
                        </m:r>
                      </m:e>
                      <m:sub>
                        <m:r>
                          <m:t>s</m:t>
                        </m:r>
                      </m:sub>
                    </m:sSub>
                    <m:r>
                      <m:rPr>
                        <m:sty m:val="p"/>
                      </m:rPr>
                      <m:t>(</m:t>
                    </m:r>
                    <m:r>
                      <m:t>κ</m:t>
                    </m:r>
                    <m:r>
                      <m:rPr>
                        <m:sty m:val="p"/>
                      </m:rPr>
                      <m:t>)</m:t>
                    </m:r>
                    <m:r>
                      <m:rPr>
                        <m:sty m:val="p"/>
                      </m:rPr>
                      <m:t>−</m:t>
                    </m:r>
                    <m:sSub>
                      <m:e>
                        <m:r>
                          <m:t>μ</m:t>
                        </m:r>
                      </m:e>
                      <m:sub>
                        <m:r>
                          <m:t>0</m:t>
                        </m:r>
                      </m:sub>
                    </m:sSub>
                  </m:e>
                </m:d>
                <m:r>
                  <m:rPr>
                    <m:sty m:val="p"/>
                  </m:rPr>
                  <m:t>&gt;</m:t>
                </m:r>
                <m:r>
                  <m:t>k</m:t>
                </m:r>
                <m:r>
                  <m:t> </m:t>
                </m:r>
                <m:sSub>
                  <m:e>
                    <m:r>
                      <m:t>σ</m:t>
                    </m:r>
                  </m:e>
                  <m:sub>
                    <m:r>
                      <m:t>0</m:t>
                    </m:r>
                  </m:sub>
                </m:sSub>
                <m:r>
                  <m:rPr>
                    <m:nor/>
                  </m:rPr>
                  <m:t>  </m:t>
                </m:r>
                <m:r>
                  <m:rPr>
                    <m:nor/>
                    <m:sty m:val="p"/>
                  </m:rPr>
                  <m:t>and</m:t>
                </m:r>
                <m:r>
                  <m:rPr>
                    <m:nor/>
                  </m:rPr>
                  <m:t>  </m:t>
                </m:r>
                <m:r>
                  <m:t>κ</m:t>
                </m:r>
                <m:r>
                  <m:rPr>
                    <m:sty m:val="p"/>
                  </m:rPr>
                  <m:t>&gt;</m:t>
                </m:r>
                <m:sSub>
                  <m:e>
                    <m:r>
                      <m:t>κ</m:t>
                    </m:r>
                  </m:e>
                  <m:sub>
                    <m:r>
                      <m:rPr>
                        <m:nor/>
                        <m:sty m:val="p"/>
                      </m:rPr>
                      <m:t>last</m:t>
                    </m:r>
                  </m:sub>
                </m:sSub>
                <m:r>
                  <m:rPr>
                    <m:sty m:val="p"/>
                  </m:rPr>
                  <m:t>+</m:t>
                </m:r>
                <m:r>
                  <m:t>R</m:t>
                </m:r>
              </m:oMath>
            </m:oMathPara>
          </w:p>
        </w:tc>
        <w:tc>
          <w:tcPr>
            <w:tcW w:type="dxa" w:w="748"/>
            <w:vAlign w:val="center"/>
          </w:tcPr>
          <w:p>
            <w:pPr>
              <w:jc w:val="right"/>
            </w:pPr>
            <w:r>
              <w:rPr>
                <w:rFonts w:ascii="Georgia" w:hAnsi="Georgia" w:eastAsia="Georgia" w:cs="Georgia"/>
                <w:sz w:val="21"/>
              </w:rPr>
              <w:t>(10)</w:t>
            </w:r>
          </w:p>
        </w:tc>
      </w:tr>
    </w:tbl>
    <w:p>
      <w:pPr>
        <w:pStyle w:val="BodyText"/>
      </w:pPr>
      <w:r>
        <w:t xml:space="preserve">with</w:t>
      </w:r>
      <w:r>
        <w:t xml:space="preserve"> </w:t>
      </w:r>
      <w:r>
        <w:rPr>
          <w:i/>
          <w:iCs/>
        </w:rPr>
        <w:t xml:space="preserve">k</w:t>
      </w:r>
      <w:r>
        <w:t xml:space="preserve"> </w:t>
      </w:r>
      <w:r>
        <w:t xml:space="preserve">= 3 and refractory period</w:t>
      </w:r>
      <w:r>
        <w:t xml:space="preserve"> </w:t>
      </w:r>
      <w:r>
        <w:rPr>
          <w:i/>
          <w:iCs/>
        </w:rPr>
        <w:t xml:space="preserve">R</w:t>
      </w:r>
      <w:r>
        <w:t xml:space="preserve"> </w:t>
      </w:r>
      <w:r>
        <w:t xml:space="preserve">= 20 trials. The one-sided variant fires when</w:t>
      </w:r>
      <w:r>
        <w:t xml:space="preserve"> </w:t>
      </w:r>
      <w:r>
        <w:rPr>
          <w:i/>
          <w:iCs/>
        </w:rPr>
        <w:t xml:space="preserve">τ</w:t>
      </w:r>
      <w:r>
        <w:rPr>
          <w:vertAlign w:val="subscript"/>
        </w:rPr>
        <w:t xml:space="preserve">s</w:t>
      </w:r>
      <w:r>
        <w:t xml:space="preserve"> </w:t>
      </w:r>
      <w:r>
        <w:t xml:space="preserve">&lt;</w:t>
      </w:r>
      <w:r>
        <w:t xml:space="preserve"> </w:t>
      </w:r>
      <w:r>
        <w:rPr>
          <w:i/>
          <w:iCs/>
        </w:rPr>
        <w:t xml:space="preserve">μ</w:t>
      </w:r>
      <w:r>
        <w:rPr>
          <w:vertAlign w:val="subscript"/>
        </w:rPr>
        <w:t xml:space="preserve">0</w:t>
      </w:r>
      <w:r>
        <w:t xml:space="preserve"> </w:t>
      </w:r>
      <w:r>
        <w:t xml:space="preserve">−</w:t>
      </w:r>
      <w:r>
        <w:t xml:space="preserve"> </w:t>
      </w:r>
      <w:r>
        <w:rPr>
          <w:i/>
          <w:iCs/>
        </w:rPr>
        <w:t xml:space="preserve">kσ</w:t>
      </w:r>
      <w:r>
        <w:rPr>
          <w:vertAlign w:val="subscript"/>
        </w:rPr>
        <w:t xml:space="preserve">0</w:t>
      </w:r>
      <w:r>
        <w:t xml:space="preserve">. The matrix variant monitors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r>
                  <m:t>D</m:t>
                </m:r>
                <m:r>
                  <m:rPr>
                    <m:sty m:val="p"/>
                  </m:rPr>
                  <m:t>(</m:t>
                </m:r>
                <m:r>
                  <m:t>κ</m:t>
                </m:r>
                <m:r>
                  <m:rPr>
                    <m:sty m:val="p"/>
                  </m:rPr>
                  <m:t>)</m:t>
                </m:r>
                <m:r>
                  <m:rPr>
                    <m:sty m:val="p"/>
                  </m:rPr>
                  <m:t>=</m:t>
                </m:r>
                <m:f>
                  <m:fPr>
                    <m:type m:val="bar"/>
                  </m:fPr>
                  <m:num>
                    <m:r>
                      <m:t>1</m:t>
                    </m:r>
                  </m:num>
                  <m:den>
                    <m:sSub>
                      <m:e>
                        <m:r>
                          <m:t>M</m:t>
                        </m:r>
                      </m:e>
                      <m:sub>
                        <m:r>
                          <m:t>0</m:t>
                        </m:r>
                      </m:sub>
                    </m:sSub>
                  </m:den>
                </m:f>
                <m:nary>
                  <m:naryPr>
                    <m:chr m:val="∑"/>
                    <m:limLoc m:val="undOvr"/>
                    <m:subHide m:val="off"/>
                    <m:supHide m:val="on"/>
                  </m:naryPr>
                  <m:sub>
                    <m:r>
                      <m:t>i</m:t>
                    </m:r>
                    <m:r>
                      <m:rPr>
                        <m:sty m:val="p"/>
                      </m:rPr>
                      <m:t>&lt;</m:t>
                    </m:r>
                    <m:r>
                      <m:t>j</m:t>
                    </m:r>
                  </m:sub>
                  <m:sup>
                    <m:r>
                      <m:t>​</m:t>
                    </m:r>
                  </m:sup>
                  <m:e>
                    <m:d>
                      <m:dPr>
                        <m:begChr m:val="|"/>
                        <m:sepChr m:val=""/>
                        <m:endChr m:val="|"/>
                        <m:grow/>
                      </m:dPr>
                      <m:e>
                        <m:sSub>
                          <m:e>
                            <m:r>
                              <m:t>T</m:t>
                            </m:r>
                          </m:e>
                          <m:sub>
                            <m:r>
                              <m:t>i</m:t>
                            </m:r>
                            <m:r>
                              <m:t>j</m:t>
                            </m:r>
                          </m:sub>
                        </m:sSub>
                        <m:r>
                          <m:rPr>
                            <m:sty m:val="p"/>
                          </m:rPr>
                          <m:t>(</m:t>
                        </m:r>
                        <m:r>
                          <m:t>κ</m:t>
                        </m:r>
                        <m:r>
                          <m:rPr>
                            <m:sty m:val="p"/>
                          </m:rPr>
                          <m:t>)</m:t>
                        </m:r>
                        <m:r>
                          <m:rPr>
                            <m:sty m:val="p"/>
                          </m:rPr>
                          <m:t>−</m:t>
                        </m:r>
                        <m:sSubSup>
                          <m:e>
                            <m:bar>
                              <m:barPr>
                                <m:pos m:val="top"/>
                              </m:barPr>
                              <m:e>
                                <m:r>
                                  <m:t>T</m:t>
                                </m:r>
                              </m:e>
                            </m:bar>
                          </m:e>
                          <m:sub>
                            <m:r>
                              <m:t>i</m:t>
                            </m:r>
                            <m:r>
                              <m:t>j</m:t>
                            </m:r>
                          </m:sub>
                          <m:sup>
                            <m:r>
                              <m:t>0</m:t>
                            </m:r>
                          </m:sup>
                        </m:sSubSup>
                      </m:e>
                    </m:d>
                  </m:e>
                </m:nary>
                <m:r>
                  <m:rPr>
                    <m:sty m:val="p"/>
                  </m:rPr>
                  <m:t>,</m:t>
                </m:r>
                <m:r>
                  <m:rPr>
                    <m:nor/>
                  </m:rPr>
                  <m:t>    </m:t>
                </m:r>
                <m:r>
                  <m:rPr>
                    <m:nor/>
                    <m:sty m:val="p"/>
                  </m:rPr>
                  <m:t>trigger if </m:t>
                </m:r>
                <m:r>
                  <m:t>D</m:t>
                </m:r>
                <m:r>
                  <m:rPr>
                    <m:sty m:val="p"/>
                  </m:rPr>
                  <m:t>(</m:t>
                </m:r>
                <m:r>
                  <m:t>κ</m:t>
                </m:r>
                <m:r>
                  <m:rPr>
                    <m:sty m:val="p"/>
                  </m:rPr>
                  <m:t>)</m:t>
                </m:r>
                <m:r>
                  <m:rPr>
                    <m:sty m:val="p"/>
                  </m:rPr>
                  <m:t>&gt;</m:t>
                </m:r>
                <m:sSub>
                  <m:e>
                    <m:r>
                      <m:t>μ</m:t>
                    </m:r>
                  </m:e>
                  <m:sub>
                    <m:r>
                      <m:t>D</m:t>
                    </m:r>
                  </m:sub>
                </m:sSub>
                <m:r>
                  <m:rPr>
                    <m:sty m:val="p"/>
                  </m:rPr>
                  <m:t>+</m:t>
                </m:r>
                <m:r>
                  <m:t>k</m:t>
                </m:r>
                <m:r>
                  <m:t> </m:t>
                </m:r>
                <m:sSub>
                  <m:e>
                    <m:r>
                      <m:t>σ</m:t>
                    </m:r>
                  </m:e>
                  <m:sub>
                    <m:r>
                      <m:t>D</m:t>
                    </m:r>
                  </m:sub>
                </m:sSub>
              </m:oMath>
            </m:oMathPara>
          </w:p>
        </w:tc>
        <w:tc>
          <w:tcPr>
            <w:tcW w:type="dxa" w:w="748"/>
            <w:vAlign w:val="center"/>
          </w:tcPr>
          <w:p>
            <w:pPr>
              <w:jc w:val="right"/>
            </w:pPr>
            <w:r>
              <w:rPr>
                <w:rFonts w:ascii="Georgia" w:hAnsi="Georgia" w:eastAsia="Georgia" w:cs="Georgia"/>
                <w:sz w:val="21"/>
              </w:rPr>
              <w:t>(11)</w:t>
            </w:r>
          </w:p>
        </w:tc>
      </w:tr>
    </w:tbl>
    <w:p>
      <w:pPr>
        <w:pStyle w:val="BodyText"/>
      </w:pPr>
      <w:r>
        <w:t xml:space="preserve">over the</w:t>
      </w:r>
      <w:r>
        <w:t xml:space="preserve"> </w:t>
      </w:r>
      <w:r>
        <w:rPr>
          <w:i/>
          <w:iCs/>
        </w:rPr>
        <w:t xml:space="preserve">M</w:t>
      </w:r>
      <w:r>
        <w:rPr>
          <w:vertAlign w:val="subscript"/>
        </w:rPr>
        <w:t xml:space="preserve">0</w:t>
      </w:r>
      <w:r>
        <w:t xml:space="preserve"> </w:t>
      </w:r>
      <w:r>
        <w:t xml:space="preserve">pairs present at calibration, with</w:t>
      </w:r>
      <w:r>
        <w:t xml:space="preserve"> </w:t>
      </w:r>
      <w:r>
        <w:rPr>
          <w:i/>
          <w:iCs/>
        </w:rPr>
        <w:t xml:space="preserve">μ</w:t>
      </w:r>
      <w:r>
        <w:rPr>
          <w:i/>
          <w:iCs/>
          <w:vertAlign w:val="subscript"/>
        </w:rPr>
        <w:t xml:space="preserve">D</w:t>
      </w:r>
      <w:r>
        <w:t xml:space="preserve"> </w:t>
      </w:r>
      <w:r>
        <w:t xml:space="preserve">and</w:t>
      </w:r>
      <w:r>
        <w:t xml:space="preserve"> </w:t>
      </w:r>
      <w:r>
        <w:rPr>
          <w:i/>
          <w:iCs/>
        </w:rPr>
        <w:t xml:space="preserve">σ</w:t>
      </w:r>
      <w:r>
        <w:rPr>
          <w:i/>
          <w:iCs/>
          <w:vertAlign w:val="subscript"/>
        </w:rPr>
        <w:t xml:space="preserve">D</w:t>
      </w:r>
      <w:r>
        <w:t xml:space="preserve"> </w:t>
      </w:r>
      <w:r>
        <w:t xml:space="preserve">calibrated in the same period. No fixed thresholds, and no values reported for</w:t>
      </w:r>
      <w:r>
        <w:t xml:space="preserve"> </w:t>
      </w:r>
      <w:r>
        <w:rPr>
          <w:i/>
          <w:iCs/>
        </w:rPr>
        <w:t xml:space="preserve">τ</w:t>
      </w:r>
      <w:r>
        <w:rPr>
          <w:vertAlign w:val="subscript"/>
        </w:rPr>
        <w:t xml:space="preserve">s</w:t>
      </w:r>
      <w:r>
        <w:t xml:space="preserve"> </w:t>
      </w:r>
      <w:r>
        <w:t xml:space="preserve">in other systems, are used.</w:t>
      </w:r>
    </w:p>
    <w:bookmarkEnd w:id="22"/>
    <w:bookmarkStart w:id="23" w:name="Xbc9d657054f96649c6660ff0b74fac119c56da8"/>
    <w:p>
      <w:pPr>
        <w:pStyle w:val="Heading2"/>
      </w:pPr>
      <w:r>
        <w:t xml:space="preserve">Source identification and structural operations</w:t>
      </w:r>
    </w:p>
    <w:p>
      <w:pPr>
        <w:pStyle w:val="FirstParagraph"/>
      </w:pPr>
      <w:r>
        <w:t xml:space="preserve">When a trigger fires, the controller computes, for each pair of modules in different layers that was present at calibration, the loss of coherence relative to baseline and selects the pair with the largest loss,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t>L</m:t>
                    </m:r>
                  </m:e>
                  <m:sub>
                    <m:r>
                      <m:t>i</m:t>
                    </m:r>
                    <m:r>
                      <m:t>j</m:t>
                    </m:r>
                  </m:sub>
                </m:sSub>
                <m:r>
                  <m:rPr>
                    <m:sty m:val="p"/>
                  </m:rPr>
                  <m:t>(</m:t>
                </m:r>
                <m:r>
                  <m:t>κ</m:t>
                </m:r>
                <m:r>
                  <m:rPr>
                    <m:sty m:val="p"/>
                  </m:rPr>
                  <m:t>)</m:t>
                </m:r>
                <m:r>
                  <m:rPr>
                    <m:sty m:val="p"/>
                  </m:rPr>
                  <m:t>=</m:t>
                </m:r>
                <m:d>
                  <m:dPr>
                    <m:begChr m:val="|"/>
                    <m:sepChr m:val=""/>
                    <m:endChr m:val="|"/>
                    <m:grow/>
                  </m:dPr>
                  <m:e>
                    <m:sSubSup>
                      <m:e>
                        <m:bar>
                          <m:barPr>
                            <m:pos m:val="top"/>
                          </m:barPr>
                          <m:e>
                            <m:r>
                              <m:t>T</m:t>
                            </m:r>
                          </m:e>
                        </m:bar>
                      </m:e>
                      <m:sub>
                        <m:r>
                          <m:t>i</m:t>
                        </m:r>
                        <m:r>
                          <m:t>j</m:t>
                        </m:r>
                      </m:sub>
                      <m:sup>
                        <m:r>
                          <m:t>0</m:t>
                        </m:r>
                      </m:sup>
                    </m:sSubSup>
                  </m:e>
                </m:d>
                <m:r>
                  <m:rPr>
                    <m:sty m:val="p"/>
                  </m:rPr>
                  <m:t>−</m:t>
                </m:r>
                <m:d>
                  <m:dPr>
                    <m:begChr m:val="|"/>
                    <m:sepChr m:val=""/>
                    <m:endChr m:val="|"/>
                    <m:grow/>
                  </m:dPr>
                  <m:e>
                    <m:sSub>
                      <m:e>
                        <m:r>
                          <m:t>T</m:t>
                        </m:r>
                      </m:e>
                      <m:sub>
                        <m:r>
                          <m:t>i</m:t>
                        </m:r>
                        <m:r>
                          <m:t>j</m:t>
                        </m:r>
                      </m:sub>
                    </m:sSub>
                    <m:r>
                      <m:rPr>
                        <m:sty m:val="p"/>
                      </m:rPr>
                      <m:t>(</m:t>
                    </m:r>
                    <m:r>
                      <m:t>κ</m:t>
                    </m:r>
                    <m:r>
                      <m:rPr>
                        <m:sty m:val="p"/>
                      </m:rPr>
                      <m:t>)</m:t>
                    </m:r>
                  </m:e>
                </m:d>
                <m:r>
                  <m:rPr>
                    <m:sty m:val="p"/>
                  </m:rPr>
                  <m:t>,</m:t>
                </m:r>
                <m:r>
                  <m:rPr>
                    <m:nor/>
                  </m:rPr>
                  <m:t>    </m:t>
                </m:r>
                <m:r>
                  <m:rPr>
                    <m:sty m:val="p"/>
                  </m:rPr>
                  <m:t>(</m:t>
                </m:r>
                <m:r>
                  <m:t>a</m:t>
                </m:r>
                <m:r>
                  <m:rPr>
                    <m:sty m:val="p"/>
                  </m:rPr>
                  <m:t>,</m:t>
                </m:r>
                <m:r>
                  <m:t>c</m:t>
                </m:r>
                <m:r>
                  <m:rPr>
                    <m:sty m:val="p"/>
                  </m:rPr>
                  <m:t>)</m:t>
                </m:r>
                <m:r>
                  <m:rPr>
                    <m:sty m:val="p"/>
                  </m:rPr>
                  <m:t>=</m:t>
                </m:r>
                <m:sSub>
                  <m:e>
                    <m:r>
                      <m:rPr>
                        <m:nor/>
                        <m:sty m:val="p"/>
                      </m:rPr>
                      <m:t>arg</m:t>
                    </m:r>
                    <m:r>
                      <m:t> </m:t>
                    </m:r>
                    <m:r>
                      <m:rPr>
                        <m:nor/>
                        <m:sty m:val="p"/>
                      </m:rPr>
                      <m:t>max</m:t>
                    </m:r>
                  </m:e>
                  <m:sub>
                    <m:r>
                      <m:rPr>
                        <m:sty m:val="p"/>
                      </m:rPr>
                      <m:t>(</m:t>
                    </m:r>
                    <m:r>
                      <m:t>i</m:t>
                    </m:r>
                    <m:r>
                      <m:rPr>
                        <m:sty m:val="p"/>
                      </m:rPr>
                      <m:t>,</m:t>
                    </m:r>
                    <m:r>
                      <m:t>j</m:t>
                    </m:r>
                    <m:r>
                      <m:rPr>
                        <m:sty m:val="p"/>
                      </m:rPr>
                      <m:t>)</m:t>
                    </m:r>
                    <m:r>
                      <m:rPr>
                        <m:sty m:val="p"/>
                      </m:rPr>
                      <m:t>:</m:t>
                    </m:r>
                    <m:r>
                      <m:t> </m:t>
                    </m:r>
                    <m:sSub>
                      <m:e>
                        <m:r>
                          <m:t>ℓ</m:t>
                        </m:r>
                      </m:e>
                      <m:sub>
                        <m:r>
                          <m:t>i</m:t>
                        </m:r>
                      </m:sub>
                    </m:sSub>
                    <m:r>
                      <m:rPr>
                        <m:sty m:val="p"/>
                      </m:rPr>
                      <m:t>≠</m:t>
                    </m:r>
                    <m:sSub>
                      <m:e>
                        <m:r>
                          <m:t>ℓ</m:t>
                        </m:r>
                      </m:e>
                      <m:sub>
                        <m:r>
                          <m:t>j</m:t>
                        </m:r>
                      </m:sub>
                    </m:sSub>
                  </m:sub>
                </m:sSub>
                <m:sSub>
                  <m:e>
                    <m:r>
                      <m:t>L</m:t>
                    </m:r>
                  </m:e>
                  <m:sub>
                    <m:r>
                      <m:t>i</m:t>
                    </m:r>
                    <m:r>
                      <m:t>j</m:t>
                    </m:r>
                  </m:sub>
                </m:sSub>
                <m:r>
                  <m:rPr>
                    <m:sty m:val="p"/>
                  </m:rPr>
                  <m:t>(</m:t>
                </m:r>
                <m:r>
                  <m:t>κ</m:t>
                </m:r>
                <m:r>
                  <m:rPr>
                    <m:sty m:val="p"/>
                  </m:rPr>
                  <m:t>)</m:t>
                </m:r>
              </m:oMath>
            </m:oMathPara>
          </w:p>
        </w:tc>
        <w:tc>
          <w:tcPr>
            <w:tcW w:type="dxa" w:w="748"/>
            <w:vAlign w:val="center"/>
          </w:tcPr>
          <w:p>
            <w:pPr>
              <w:jc w:val="right"/>
            </w:pPr>
            <w:r>
              <w:rPr>
                <w:rFonts w:ascii="Georgia" w:hAnsi="Georgia" w:eastAsia="Georgia" w:cs="Georgia"/>
                <w:sz w:val="21"/>
              </w:rPr>
              <w:t>(12)</w:t>
            </w:r>
          </w:p>
        </w:tc>
      </w:tr>
    </w:tbl>
    <w:p>
      <w:pPr>
        <w:pStyle w:val="BodyText"/>
      </w:pPr>
      <w:r>
        <w:t xml:space="preserve">with</w:t>
      </w:r>
      <w:r>
        <w:t xml:space="preserve"> </w:t>
      </w:r>
      <w:r>
        <w:rPr>
          <w:i/>
          <w:iCs/>
        </w:rPr>
        <w:t xml:space="preserve">a</w:t>
      </w:r>
      <w:r>
        <w:t xml:space="preserve"> </w:t>
      </w:r>
      <w:r>
        <w:t xml:space="preserve">in the lower layer. If</w:t>
      </w:r>
      <w:r>
        <w:t xml:space="preserve"> </w:t>
      </w:r>
      <w:r>
        <w:rPr>
          <w:i/>
          <w:iCs/>
        </w:rPr>
        <w:t xml:space="preserve">L</w:t>
      </w:r>
      <w:r>
        <w:rPr>
          <w:i/>
          <w:iCs/>
          <w:vertAlign w:val="subscript"/>
        </w:rPr>
        <w:t xml:space="preserve">ac</w:t>
      </w:r>
      <w:r>
        <w:t xml:space="preserve"> </w:t>
      </w:r>
      <w:r>
        <w:t xml:space="preserve">&gt; 0 and the edge</w:t>
      </w:r>
      <w:r>
        <w:t xml:space="preserve"> </w:t>
      </w:r>
      <w:r>
        <w:rPr>
          <w:i/>
          <w:iCs/>
        </w:rPr>
        <w:t xml:space="preserve">a</w:t>
      </w:r>
      <w:r>
        <w:t xml:space="preserve">→</w:t>
      </w:r>
      <w:r>
        <w:rPr>
          <w:i/>
          <w:iCs/>
        </w:rPr>
        <w:t xml:space="preserve">c</w:t>
      </w:r>
      <w:r>
        <w:t xml:space="preserve"> </w:t>
      </w:r>
      <w:r>
        <w:t xml:space="preserve">is absent, it is added with the sign of</w:t>
      </w:r>
      <w:r>
        <w:t xml:space="preserve"> </w:t>
      </w:r>
      <w:r>
        <w:rPr>
          <w:i/>
          <w:iCs/>
        </w:rPr>
        <w:t xml:space="preserve">T̄</w:t>
      </w:r>
      <w:r>
        <w:rPr>
          <w:vertAlign w:val="superscript"/>
        </w:rPr>
        <w:t xml:space="preserve">0</w:t>
      </w:r>
      <w:r>
        <w:rPr>
          <w:i/>
          <w:iCs/>
          <w:vertAlign w:val="subscript"/>
        </w:rPr>
        <w:t xml:space="preserve">ac</w:t>
      </w:r>
      <w:r>
        <w:t xml:space="preserve">; if the edge is present, a bridge module</w:t>
      </w:r>
      <w:r>
        <w:t xml:space="preserve"> </w:t>
      </w:r>
      <w:r>
        <w:rPr>
          <w:i/>
          <w:iCs/>
        </w:rPr>
        <w:t xml:space="preserve">B</w:t>
      </w:r>
      <w:r>
        <w:t xml:space="preserve"> </w:t>
      </w:r>
      <w:r>
        <w:t xml:space="preserve">is spawned with an excitatory edge</w:t>
      </w:r>
      <w:r>
        <w:t xml:space="preserve"> </w:t>
      </w:r>
      <w:r>
        <w:rPr>
          <w:i/>
          <w:iCs/>
        </w:rPr>
        <w:t xml:space="preserve">a</w:t>
      </w:r>
      <w:r>
        <w:t xml:space="preserve">→</w:t>
      </w:r>
      <w:r>
        <w:rPr>
          <w:i/>
          <w:iCs/>
        </w:rPr>
        <w:t xml:space="preserve">B</w:t>
      </w:r>
      <w:r>
        <w:t xml:space="preserve"> </w:t>
      </w:r>
      <w:r>
        <w:t xml:space="preserve">and an edge</w:t>
      </w:r>
      <w:r>
        <w:t xml:space="preserve"> </w:t>
      </w:r>
      <w:r>
        <w:rPr>
          <w:i/>
          <w:iCs/>
        </w:rPr>
        <w:t xml:space="preserve">B</w:t>
      </w:r>
      <w:r>
        <w:t xml:space="preserve">→</w:t>
      </w:r>
      <w:r>
        <w:rPr>
          <w:i/>
          <w:iCs/>
        </w:rPr>
        <w:t xml:space="preserve">c</w:t>
      </w:r>
      <w:r>
        <w:t xml:space="preserve"> </w:t>
      </w:r>
      <w:r>
        <w:t xml:space="preserve">carrying the sign of</w:t>
      </w:r>
      <w:r>
        <w:t xml:space="preserve"> </w:t>
      </w:r>
      <w:r>
        <w:rPr>
          <w:i/>
          <w:iCs/>
        </w:rPr>
        <w:t xml:space="preserve">T̄</w:t>
      </w:r>
      <w:r>
        <w:rPr>
          <w:vertAlign w:val="superscript"/>
        </w:rPr>
        <w:t xml:space="preserve">0</w:t>
      </w:r>
      <w:r>
        <w:rPr>
          <w:i/>
          <w:iCs/>
          <w:vertAlign w:val="subscript"/>
        </w:rPr>
        <w:t xml:space="preserve">ac</w:t>
      </w:r>
      <w:r>
        <w:t xml:space="preserve">. If no pair has lost coherence, the edge of the pair with the largest excess concordance is removed, if it exists. Ten trials after a targeted action, a bridge is spawned for (</w:t>
      </w:r>
      <w:r>
        <w:rPr>
          <w:i/>
          <w:iCs/>
        </w:rPr>
        <w:t xml:space="preserve">a</w:t>
      </w:r>
      <w:r>
        <w:t xml:space="preserve">,</w:t>
      </w:r>
      <w:r>
        <w:t xml:space="preserve"> </w:t>
      </w:r>
      <w:r>
        <w:rPr>
          <w:i/>
          <w:iCs/>
        </w:rPr>
        <w:t xml:space="preserve">c</w:t>
      </w:r>
      <w:r>
        <w:t xml:space="preserve">) if |</w:t>
      </w:r>
      <w:r>
        <w:rPr>
          <w:i/>
          <w:iCs/>
        </w:rPr>
        <w:t xml:space="preserve">T</w:t>
      </w:r>
      <w:r>
        <w:rPr>
          <w:i/>
          <w:iCs/>
          <w:vertAlign w:val="subscript"/>
        </w:rPr>
        <w:t xml:space="preserve">ac</w:t>
      </w:r>
      <w:r>
        <w:t xml:space="preserve"> </w:t>
      </w:r>
      <w:r>
        <w:t xml:space="preserve">−</w:t>
      </w:r>
      <w:r>
        <w:t xml:space="preserve"> </w:t>
      </w:r>
      <w:r>
        <w:rPr>
          <w:i/>
          <w:iCs/>
        </w:rPr>
        <w:t xml:space="preserve">T̄</w:t>
      </w:r>
      <w:r>
        <w:rPr>
          <w:vertAlign w:val="superscript"/>
        </w:rPr>
        <w:t xml:space="preserve">0</w:t>
      </w:r>
      <w:r>
        <w:rPr>
          <w:i/>
          <w:iCs/>
          <w:vertAlign w:val="subscript"/>
        </w:rPr>
        <w:t xml:space="preserve">ac</w:t>
      </w:r>
      <w:r>
        <w:t xml:space="preserve">| has not fallen below half its value at the time of the action. At most four bridge modules may coexist, and bridges without events in the preceding</w:t>
      </w:r>
      <w:r>
        <w:t xml:space="preserve"> </w:t>
      </w:r>
      <w:r>
        <w:rPr>
          <w:i/>
          <w:iCs/>
        </w:rPr>
        <w:t xml:space="preserve">P</w:t>
      </w:r>
      <w:r>
        <w:t xml:space="preserve"> </w:t>
      </w:r>
      <w:r>
        <w:t xml:space="preserve">= 50 trials are pruned; original modules are never pruned, so that a silenced module remains available for reconnection. After every structural change the trigger is disabled for ten trials of threshold re-entrainment.</w:t>
      </w:r>
    </w:p>
    <w:bookmarkEnd w:id="23"/>
    <w:bookmarkStart w:id="24" w:name="threshold-plasticity"/>
    <w:p>
      <w:pPr>
        <w:pStyle w:val="Heading2"/>
      </w:pPr>
      <w:r>
        <w:t xml:space="preserve">Threshold plasticity</w:t>
      </w:r>
    </w:p>
    <w:p>
      <w:pPr>
        <w:pStyle w:val="FirstParagraph"/>
      </w:pPr>
      <w:r>
        <w:t xml:space="preserve">Ordinal error correction is a (1+1) hill climber over thresholds. In each block of</w:t>
      </w:r>
      <w:r>
        <w:t xml:space="preserve"> </w:t>
      </w:r>
      <w:r>
        <w:rPr>
          <w:i/>
          <w:iCs/>
        </w:rPr>
        <w:t xml:space="preserve">B</w:t>
      </w:r>
      <w:r>
        <w:t xml:space="preserve"> </w:t>
      </w:r>
      <w:r>
        <w:t xml:space="preserve">= 50 trials, with desired output stream</w:t>
      </w:r>
      <w:r>
        <w:t xml:space="preserve"> </w:t>
      </w:r>
      <w:r>
        <w:rPr>
          <w:i/>
          <w:iCs/>
        </w:rPr>
        <w:t xml:space="preserve">d</w:t>
      </w:r>
      <w:r>
        <w:t xml:space="preserve"> </w:t>
      </w:r>
      <w:r>
        <w:t xml:space="preserve">(1 during the readout ticks of trials labelled 1 and 0 otherwise) and actual output events</w:t>
      </w:r>
      <w:r>
        <w:t xml:space="preserve"> </w:t>
      </w:r>
      <w:r>
        <w:rPr>
          <w:i/>
          <w:iCs/>
        </w:rPr>
        <w:t xml:space="preserve">s</w:t>
      </w:r>
      <w:r>
        <w:rPr>
          <w:vertAlign w:val="subscript"/>
        </w:rPr>
        <w:t xml:space="preserve">O</w:t>
      </w:r>
      <w:r>
        <w:t xml:space="preserve">,</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t>S</m:t>
                    </m:r>
                  </m:e>
                  <m:sub>
                    <m:r>
                      <m:t>n</m:t>
                    </m:r>
                  </m:sub>
                </m:sSub>
                <m:r>
                  <m:rPr>
                    <m:sty m:val="p"/>
                  </m:rPr>
                  <m:t>=</m:t>
                </m:r>
                <m:sSub>
                  <m:e>
                    <m:r>
                      <m:t>τ</m:t>
                    </m:r>
                  </m:e>
                  <m:sub>
                    <m:r>
                      <m:t>b</m:t>
                    </m:r>
                  </m:sub>
                </m:sSub>
                <m:r>
                  <m:rPr>
                    <m:sty m:val="p"/>
                  </m:rPr>
                  <m:t>(</m:t>
                </m:r>
                <m:r>
                  <m:t>d</m:t>
                </m:r>
                <m:r>
                  <m:rPr>
                    <m:sty m:val="p"/>
                  </m:rPr>
                  <m:t>,</m:t>
                </m:r>
                <m:r>
                  <m:t> </m:t>
                </m:r>
                <m:sSub>
                  <m:e>
                    <m:r>
                      <m:t>s</m:t>
                    </m:r>
                  </m:e>
                  <m:sub>
                    <m:r>
                      <m:t>O</m:t>
                    </m:r>
                  </m:sub>
                </m:sSub>
                <m:sSub>
                  <m:e>
                    <m:r>
                      <m:rPr>
                        <m:sty m:val="p"/>
                      </m:rPr>
                      <m:t>)</m:t>
                    </m:r>
                  </m:e>
                  <m:sub>
                    <m:r>
                      <m:rPr>
                        <m:nor/>
                        <m:sty m:val="p"/>
                      </m:rPr>
                      <m:t>block </m:t>
                    </m:r>
                    <m:r>
                      <m:t>n</m:t>
                    </m:r>
                  </m:sub>
                </m:sSub>
                <m:r>
                  <m:rPr>
                    <m:sty m:val="p"/>
                  </m:rPr>
                  <m:t>;</m:t>
                </m:r>
                <m:r>
                  <m:rPr>
                    <m:nor/>
                  </m:rPr>
                  <m:t>    </m:t>
                </m:r>
                <m:r>
                  <m:t>θ</m:t>
                </m:r>
                <m:r>
                  <m:rPr>
                    <m:sty m:val="p"/>
                  </m:rPr>
                  <m:t>←</m:t>
                </m:r>
                <m:acc>
                  <m:accPr>
                    <m:chr m:val="̃"/>
                  </m:accPr>
                  <m:e>
                    <m:r>
                      <m:t>θ</m:t>
                    </m:r>
                  </m:e>
                </m:acc>
                <m:r>
                  <m:rPr>
                    <m:sty m:val="p"/>
                  </m:rPr>
                  <m:t>=</m:t>
                </m:r>
                <m:r>
                  <m:t>θ</m:t>
                </m:r>
                <m:r>
                  <m:rPr>
                    <m:sty m:val="p"/>
                  </m:rPr>
                  <m:t>+</m:t>
                </m:r>
                <m:sSub>
                  <m:e>
                    <m:r>
                      <m:t>σ</m:t>
                    </m:r>
                  </m:e>
                  <m:sub>
                    <m:r>
                      <m:t>θ</m:t>
                    </m:r>
                  </m:sub>
                </m:sSub>
                <m:r>
                  <m:t> </m:t>
                </m:r>
                <m:r>
                  <m:t>ζ</m:t>
                </m:r>
                <m:r>
                  <m:t> </m:t>
                </m:r>
                <m:sSub>
                  <m:e>
                    <m:r>
                      <m:t>e</m:t>
                    </m:r>
                  </m:e>
                  <m:sub>
                    <m:r>
                      <m:t>j</m:t>
                    </m:r>
                  </m:sub>
                </m:sSub>
                <m:r>
                  <m:t> </m:t>
                </m:r>
                <m:r>
                  <m:rPr>
                    <m:nor/>
                    <m:sty m:val="p"/>
                  </m:rPr>
                  <m:t> kept if </m:t>
                </m:r>
                <m:sSub>
                  <m:e>
                    <m:r>
                      <m:t>S</m:t>
                    </m:r>
                  </m:e>
                  <m:sub>
                    <m:r>
                      <m:t>n</m:t>
                    </m:r>
                  </m:sub>
                </m:sSub>
                <m:r>
                  <m:rPr>
                    <m:sty m:val="p"/>
                  </m:rPr>
                  <m:t>≥</m:t>
                </m:r>
                <m:sSub>
                  <m:e>
                    <m:r>
                      <m:t>S</m:t>
                    </m:r>
                  </m:e>
                  <m:sub>
                    <m:r>
                      <m:rPr>
                        <m:nor/>
                        <m:sty m:val="p"/>
                      </m:rPr>
                      <m:t>parent</m:t>
                    </m:r>
                  </m:sub>
                </m:sSub>
                <m:r>
                  <m:rPr>
                    <m:nor/>
                    <m:sty m:val="p"/>
                  </m:rPr>
                  <m:t>, else reverted</m:t>
                </m:r>
              </m:oMath>
            </m:oMathPara>
          </w:p>
        </w:tc>
        <w:tc>
          <w:tcPr>
            <w:tcW w:type="dxa" w:w="748"/>
            <w:vAlign w:val="center"/>
          </w:tcPr>
          <w:p>
            <w:pPr>
              <w:jc w:val="right"/>
            </w:pPr>
            <w:r>
              <w:rPr>
                <w:rFonts w:ascii="Georgia" w:hAnsi="Georgia" w:eastAsia="Georgia" w:cs="Georgia"/>
                <w:sz w:val="21"/>
              </w:rPr>
              <w:t>(13)</w:t>
            </w:r>
          </w:p>
        </w:tc>
      </w:tr>
    </w:tbl>
    <w:p>
      <w:pPr>
        <w:pStyle w:val="BodyText"/>
      </w:pPr>
      <w:r>
        <w:t xml:space="preserve">where the unit vector</w:t>
      </w:r>
      <w:r>
        <w:t xml:space="preserve"> </w:t>
      </w:r>
      <w:r>
        <w:rPr>
          <w:i/>
          <w:iCs/>
        </w:rPr>
        <w:t xml:space="preserve">e</w:t>
      </w:r>
      <w:r>
        <w:rPr>
          <w:i/>
          <w:iCs/>
          <w:vertAlign w:val="subscript"/>
        </w:rPr>
        <w:t xml:space="preserve">j</w:t>
      </w:r>
      <w:r>
        <w:t xml:space="preserve"> </w:t>
      </w:r>
      <w:r>
        <w:t xml:space="preserve">selects one randomly chosen non-input module and</w:t>
      </w:r>
      <w:r>
        <w:t xml:space="preserve"> </w:t>
      </w:r>
      <w:r>
        <w:rPr>
          <w:i/>
          <w:iCs/>
        </w:rPr>
        <w:t xml:space="preserve">ζ</w:t>
      </w:r>
      <w:r>
        <w:t xml:space="preserve"> </w:t>
      </w:r>
      <w:r>
        <w:t xml:space="preserve">is a standard normal variate. After a rejection the parent score decays towards the latest block score with weight 0.2, so that a single favourable block cannot freeze the search. After a structural change, thresholds of hidden and bridge modules are re-entrained towards baseline rates,</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t>θ</m:t>
                    </m:r>
                  </m:e>
                  <m:sub>
                    <m:r>
                      <m:t>j</m:t>
                    </m:r>
                  </m:sub>
                </m:sSub>
                <m:r>
                  <m:rPr>
                    <m:sty m:val="p"/>
                  </m:rPr>
                  <m:t>←</m:t>
                </m:r>
                <m:r>
                  <m:rPr>
                    <m:nor/>
                    <m:sty m:val="p"/>
                  </m:rPr>
                  <m:t>clip</m:t>
                </m:r>
                <m:d>
                  <m:dPr>
                    <m:begChr m:val="("/>
                    <m:sepChr m:val=""/>
                    <m:endChr m:val=")"/>
                    <m:grow/>
                  </m:dPr>
                  <m:e>
                    <m:sSub>
                      <m:e>
                        <m:r>
                          <m:t>θ</m:t>
                        </m:r>
                      </m:e>
                      <m:sub>
                        <m:r>
                          <m:t>j</m:t>
                        </m:r>
                      </m:sub>
                    </m:sSub>
                    <m:r>
                      <m:rPr>
                        <m:sty m:val="p"/>
                      </m:rPr>
                      <m:t>+</m:t>
                    </m:r>
                    <m:sSub>
                      <m:e>
                        <m:r>
                          <m:t>η</m:t>
                        </m:r>
                      </m:e>
                      <m:sub>
                        <m:r>
                          <m:t>e</m:t>
                        </m:r>
                      </m:sub>
                    </m:sSub>
                    <m:r>
                      <m:t> </m:t>
                    </m:r>
                    <m:r>
                      <m:rPr>
                        <m:sty m:val="p"/>
                      </m:rPr>
                      <m:t>(</m:t>
                    </m:r>
                    <m:sSub>
                      <m:e>
                        <m:acc>
                          <m:accPr>
                            <m:chr m:val="̂"/>
                          </m:accPr>
                          <m:e>
                            <m:r>
                              <m:t>r</m:t>
                            </m:r>
                          </m:e>
                        </m:acc>
                      </m:e>
                      <m:sub>
                        <m:r>
                          <m:t>j</m:t>
                        </m:r>
                      </m:sub>
                    </m:sSub>
                    <m:r>
                      <m:rPr>
                        <m:sty m:val="p"/>
                      </m:rPr>
                      <m:t>−</m:t>
                    </m:r>
                    <m:sSubSup>
                      <m:e>
                        <m:r>
                          <m:t>r</m:t>
                        </m:r>
                      </m:e>
                      <m:sub>
                        <m:r>
                          <m:t>j</m:t>
                        </m:r>
                      </m:sub>
                      <m:sup>
                        <m:r>
                          <m:t>0</m:t>
                        </m:r>
                      </m:sup>
                    </m:sSubSup>
                    <m:r>
                      <m:rPr>
                        <m:sty m:val="p"/>
                      </m:rPr>
                      <m:t>)</m:t>
                    </m:r>
                    <m:r>
                      <m:rPr>
                        <m:sty m:val="p"/>
                      </m:rPr>
                      <m:t>,</m:t>
                    </m:r>
                    <m:r>
                      <m:t> </m:t>
                    </m:r>
                    <m:sSub>
                      <m:e>
                        <m:r>
                          <m:t>θ</m:t>
                        </m:r>
                      </m:e>
                      <m:sub>
                        <m:r>
                          <m:rPr>
                            <m:nor/>
                            <m:sty m:val="p"/>
                          </m:rPr>
                          <m:t>min</m:t>
                        </m:r>
                      </m:sub>
                    </m:sSub>
                    <m:r>
                      <m:rPr>
                        <m:sty m:val="p"/>
                      </m:rPr>
                      <m:t>,</m:t>
                    </m:r>
                    <m:r>
                      <m:t> </m:t>
                    </m:r>
                    <m:sSub>
                      <m:e>
                        <m:r>
                          <m:t>θ</m:t>
                        </m:r>
                      </m:e>
                      <m:sub>
                        <m:r>
                          <m:rPr>
                            <m:nor/>
                            <m:sty m:val="p"/>
                          </m:rPr>
                          <m:t>max</m:t>
                        </m:r>
                      </m:sub>
                    </m:sSub>
                  </m:e>
                </m:d>
              </m:oMath>
            </m:oMathPara>
          </w:p>
        </w:tc>
        <w:tc>
          <w:tcPr>
            <w:tcW w:type="dxa" w:w="748"/>
            <w:vAlign w:val="center"/>
          </w:tcPr>
          <w:p>
            <w:pPr>
              <w:jc w:val="right"/>
            </w:pPr>
            <w:r>
              <w:rPr>
                <w:rFonts w:ascii="Georgia" w:hAnsi="Georgia" w:eastAsia="Georgia" w:cs="Georgia"/>
                <w:sz w:val="21"/>
              </w:rPr>
              <w:t>(14)</w:t>
            </w:r>
          </w:p>
        </w:tc>
      </w:tr>
    </w:tbl>
    <w:p>
      <w:pPr>
        <w:pStyle w:val="BodyText"/>
      </w:pPr>
      <w:r>
        <w:t xml:space="preserve">which implements rate homeostasis</w:t>
      </w:r>
      <w:r>
        <w:rPr>
          <w:vertAlign w:val="superscript"/>
        </w:rPr>
        <w:t xml:space="preserve">8</w:t>
      </w:r>
      <w:r>
        <w:t xml:space="preserve">.</w:t>
      </w:r>
    </w:p>
    <w:bookmarkEnd w:id="24"/>
    <w:bookmarkStart w:id="25" w:name="task-and-event-encoding"/>
    <w:p>
      <w:pPr>
        <w:pStyle w:val="Heading2"/>
      </w:pPr>
      <w:r>
        <w:t xml:space="preserve">Task and event encoding</w:t>
      </w:r>
    </w:p>
    <w:p>
      <w:pPr>
        <w:pStyle w:val="FirstParagraph"/>
      </w:pPr>
      <w:r>
        <w:t xml:space="preserve">Each trial</w:t>
      </w:r>
      <w:r>
        <w:t xml:space="preserve"> </w:t>
      </w:r>
      <w:r>
        <w:rPr>
          <w:i/>
          <w:iCs/>
        </w:rPr>
        <w:t xml:space="preserve">n</w:t>
      </w:r>
      <w:r>
        <w:t xml:space="preserve"> </w:t>
      </w:r>
      <w:r>
        <w:t xml:space="preserve">draws bits (</w:t>
      </w:r>
      <w:r>
        <w:rPr>
          <w:i/>
          <w:iCs/>
        </w:rPr>
        <w:t xml:space="preserve">b</w:t>
      </w:r>
      <w:r>
        <w:rPr>
          <w:vertAlign w:val="subscript"/>
        </w:rPr>
        <w:t xml:space="preserve">1</w:t>
      </w:r>
      <w:r>
        <w:t xml:space="preserve">,</w:t>
      </w:r>
      <w:r>
        <w:t xml:space="preserve"> </w:t>
      </w:r>
      <w:r>
        <w:rPr>
          <w:i/>
          <w:iCs/>
        </w:rPr>
        <w:t xml:space="preserve">b</w:t>
      </w:r>
      <w:r>
        <w:rPr>
          <w:vertAlign w:val="subscript"/>
        </w:rPr>
        <w:t xml:space="preserve">2</w:t>
      </w:r>
      <w:r>
        <w:t xml:space="preserve">) uniformly and has label</w:t>
      </w:r>
      <w:r>
        <w:t xml:space="preserve"> </w:t>
      </w:r>
      <w:r>
        <w:rPr>
          <w:i/>
          <w:iCs/>
        </w:rPr>
        <w:t xml:space="preserve">y</w:t>
      </w:r>
      <w:r>
        <w:rPr>
          <w:i/>
          <w:iCs/>
          <w:vertAlign w:val="subscript"/>
        </w:rPr>
        <w:t xml:space="preserve">n</w:t>
      </w:r>
      <w:r>
        <w:t xml:space="preserve"> </w:t>
      </w:r>
      <w:r>
        <w:t xml:space="preserve">=</w:t>
      </w:r>
      <w:r>
        <w:t xml:space="preserve"> </w:t>
      </w:r>
      <w:r>
        <w:rPr>
          <w:i/>
          <w:iCs/>
        </w:rPr>
        <w:t xml:space="preserve">b</w:t>
      </w:r>
      <w:r>
        <w:rPr>
          <w:vertAlign w:val="subscript"/>
        </w:rPr>
        <w:t xml:space="preserve">1</w:t>
      </w:r>
      <w:r>
        <w:t xml:space="preserve"> </w:t>
      </w:r>
      <w:r>
        <w:t xml:space="preserve">⊕</w:t>
      </w:r>
      <w:r>
        <w:t xml:space="preserve"> </w:t>
      </w:r>
      <w:r>
        <w:rPr>
          <w:i/>
          <w:iCs/>
        </w:rPr>
        <w:t xml:space="preserve">b</w:t>
      </w:r>
      <w:r>
        <w:rPr>
          <w:vertAlign w:val="subscript"/>
        </w:rPr>
        <w:t xml:space="preserve">2</w:t>
      </w:r>
      <w:r>
        <w:t xml:space="preserve">. A trial lasts</w:t>
      </w:r>
      <w:r>
        <w:t xml:space="preserve"> </w:t>
      </w:r>
      <w:r>
        <w:rPr>
          <w:i/>
          <w:iCs/>
        </w:rPr>
        <w:t xml:space="preserve">T</w:t>
      </w:r>
      <w:r>
        <w:t xml:space="preserve"> </w:t>
      </w:r>
      <w:r>
        <w:t xml:space="preserve">= 14 ticks. Four input modules carry the one-hot code</w:t>
      </w:r>
      <w:r>
        <w:t xml:space="preserve"> </w:t>
      </w:r>
      <w:r>
        <w:rPr>
          <w:i/>
          <w:iCs/>
        </w:rPr>
        <w:t xml:space="preserve">c</w:t>
      </w:r>
      <w:r>
        <w:t xml:space="preserve"> </w:t>
      </w:r>
      <w:r>
        <w:t xml:space="preserve">= (</w:t>
      </w:r>
      <w:r>
        <w:rPr>
          <w:i/>
          <w:iCs/>
        </w:rPr>
        <w:t xml:space="preserve">b</w:t>
      </w:r>
      <w:r>
        <w:rPr>
          <w:vertAlign w:val="subscript"/>
        </w:rPr>
        <w:t xml:space="preserve">1</w:t>
      </w:r>
      <w:r>
        <w:t xml:space="preserve">, 1 −</w:t>
      </w:r>
      <w:r>
        <w:t xml:space="preserve"> </w:t>
      </w:r>
      <w:r>
        <w:rPr>
          <w:i/>
          <w:iCs/>
        </w:rPr>
        <w:t xml:space="preserve">b</w:t>
      </w:r>
      <w:r>
        <w:rPr>
          <w:vertAlign w:val="subscript"/>
        </w:rPr>
        <w:t xml:space="preserve">1</w:t>
      </w:r>
      <w:r>
        <w:t xml:space="preserve">,</w:t>
      </w:r>
      <w:r>
        <w:t xml:space="preserve"> </w:t>
      </w:r>
      <w:r>
        <w:rPr>
          <w:i/>
          <w:iCs/>
        </w:rPr>
        <w:t xml:space="preserve">b</w:t>
      </w:r>
      <w:r>
        <w:rPr>
          <w:vertAlign w:val="subscript"/>
        </w:rPr>
        <w:t xml:space="preserve">2</w:t>
      </w:r>
      <w:r>
        <w:t xml:space="preserve">, 1 −</w:t>
      </w:r>
      <w:r>
        <w:t xml:space="preserve"> </w:t>
      </w:r>
      <w:r>
        <w:rPr>
          <w:i/>
          <w:iCs/>
        </w:rPr>
        <w:t xml:space="preserve">b</w:t>
      </w:r>
      <w:r>
        <w:rPr>
          <w:vertAlign w:val="subscript"/>
        </w:rPr>
        <w:t xml:space="preserve">2</w:t>
      </w:r>
      <w:r>
        <w:t xml:space="preserve">) and fire independently at each tick, and the output is read out by an event count,</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r>
                  <m:rPr>
                    <m:nor/>
                    <m:sty m:val="p"/>
                  </m:rPr>
                  <m:t>Pr</m:t>
                </m:r>
                <m:r>
                  <m:rPr>
                    <m:sty m:val="p"/>
                  </m:rPr>
                  <m:t>{</m:t>
                </m:r>
                <m:sSub>
                  <m:e>
                    <m:r>
                      <m:t>s</m:t>
                    </m:r>
                  </m:e>
                  <m:sub>
                    <m:sSub>
                      <m:e>
                        <m:r>
                          <m:t>I</m:t>
                        </m:r>
                      </m:e>
                      <m:sub>
                        <m:r>
                          <m:t>m</m:t>
                        </m:r>
                      </m:sub>
                    </m:sSub>
                  </m:sub>
                </m:sSub>
                <m:r>
                  <m:rPr>
                    <m:sty m:val="p"/>
                  </m:rPr>
                  <m:t>(</m:t>
                </m:r>
                <m:r>
                  <m:t>t</m:t>
                </m:r>
                <m:r>
                  <m:rPr>
                    <m:sty m:val="p"/>
                  </m:rPr>
                  <m:t>)</m:t>
                </m:r>
                <m:r>
                  <m:rPr>
                    <m:sty m:val="p"/>
                  </m:rPr>
                  <m:t>=</m:t>
                </m:r>
                <m:r>
                  <m:t>1</m:t>
                </m:r>
                <m:r>
                  <m:rPr>
                    <m:sty m:val="p"/>
                  </m:rPr>
                  <m:t>}</m:t>
                </m:r>
                <m:r>
                  <m:rPr>
                    <m:sty m:val="p"/>
                  </m:rPr>
                  <m:t>=</m:t>
                </m:r>
                <m:sSub>
                  <m:e>
                    <m:r>
                      <m:t>r</m:t>
                    </m:r>
                  </m:e>
                  <m:sub>
                    <m:r>
                      <m:rPr>
                        <m:nor/>
                        <m:sty m:val="p"/>
                      </m:rPr>
                      <m:t>off</m:t>
                    </m:r>
                  </m:sub>
                </m:sSub>
                <m:r>
                  <m:rPr>
                    <m:sty m:val="p"/>
                  </m:rPr>
                  <m:t>+</m:t>
                </m:r>
                <m:r>
                  <m:rPr>
                    <m:sty m:val="p"/>
                  </m:rPr>
                  <m:t>(</m:t>
                </m:r>
                <m:sSub>
                  <m:e>
                    <m:r>
                      <m:t>r</m:t>
                    </m:r>
                  </m:e>
                  <m:sub>
                    <m:r>
                      <m:rPr>
                        <m:nor/>
                        <m:sty m:val="p"/>
                      </m:rPr>
                      <m:t>on</m:t>
                    </m:r>
                  </m:sub>
                </m:sSub>
                <m:r>
                  <m:rPr>
                    <m:sty m:val="p"/>
                  </m:rPr>
                  <m:t>−</m:t>
                </m:r>
                <m:sSub>
                  <m:e>
                    <m:r>
                      <m:t>r</m:t>
                    </m:r>
                  </m:e>
                  <m:sub>
                    <m:r>
                      <m:rPr>
                        <m:nor/>
                        <m:sty m:val="p"/>
                      </m:rPr>
                      <m:t>off</m:t>
                    </m:r>
                  </m:sub>
                </m:sSub>
                <m:r>
                  <m:rPr>
                    <m:sty m:val="p"/>
                  </m:rPr>
                  <m:t>)</m:t>
                </m:r>
                <m:r>
                  <m:t> </m:t>
                </m:r>
                <m:sSub>
                  <m:e>
                    <m:r>
                      <m:t>c</m:t>
                    </m:r>
                  </m:e>
                  <m:sub>
                    <m:r>
                      <m:t>m</m:t>
                    </m:r>
                  </m:sub>
                </m:sSub>
                <m:r>
                  <m:rPr>
                    <m:sty m:val="p"/>
                  </m:rPr>
                  <m:t>,</m:t>
                </m:r>
                <m:r>
                  <m:rPr>
                    <m:nor/>
                  </m:rPr>
                  <m:t>    </m:t>
                </m:r>
                <m:sSub>
                  <m:e>
                    <m:acc>
                      <m:accPr>
                        <m:chr m:val="̂"/>
                      </m:accPr>
                      <m:e>
                        <m:r>
                          <m:t>y</m:t>
                        </m:r>
                      </m:e>
                    </m:acc>
                  </m:e>
                  <m:sub>
                    <m:r>
                      <m:t>n</m:t>
                    </m:r>
                  </m:sub>
                </m:sSub>
                <m:r>
                  <m:rPr>
                    <m:sty m:val="p"/>
                  </m:rPr>
                  <m:t>=</m:t>
                </m:r>
                <m:r>
                  <m:rPr>
                    <m:scr m:val="double-struck"/>
                    <m:sty m:val="p"/>
                  </m:rPr>
                  <m:t>1</m:t>
                </m:r>
                <m:d>
                  <m:dPr>
                    <m:begChr m:val="["/>
                    <m:sepChr m:val=""/>
                    <m:endChr m:val="]"/>
                    <m:grow/>
                  </m:dPr>
                  <m:e>
                    <m:nary>
                      <m:naryPr>
                        <m:chr m:val="∑"/>
                        <m:limLoc m:val="undOvr"/>
                        <m:subHide m:val="off"/>
                        <m:supHide m:val="on"/>
                      </m:naryPr>
                      <m:sub>
                        <m:r>
                          <m:t>t</m:t>
                        </m:r>
                        <m:r>
                          <m:rPr>
                            <m:sty m:val="p"/>
                          </m:rPr>
                          <m:t>∈</m:t>
                        </m:r>
                        <m:sSub>
                          <m:e>
                            <m:r>
                              <m:t>K</m:t>
                            </m:r>
                          </m:e>
                          <m:sub>
                            <m:r>
                              <m:t>n</m:t>
                            </m:r>
                          </m:sub>
                        </m:sSub>
                      </m:sub>
                      <m:sup>
                        <m:r>
                          <m:t>​</m:t>
                        </m:r>
                      </m:sup>
                      <m:e>
                        <m:sSub>
                          <m:e>
                            <m:r>
                              <m:t>s</m:t>
                            </m:r>
                          </m:e>
                          <m:sub>
                            <m:r>
                              <m:t>O</m:t>
                            </m:r>
                          </m:sub>
                        </m:sSub>
                      </m:e>
                    </m:nary>
                    <m:r>
                      <m:rPr>
                        <m:sty m:val="p"/>
                      </m:rPr>
                      <m:t>(</m:t>
                    </m:r>
                    <m:r>
                      <m:t>t</m:t>
                    </m:r>
                    <m:r>
                      <m:rPr>
                        <m:sty m:val="p"/>
                      </m:rPr>
                      <m:t>)</m:t>
                    </m:r>
                    <m:r>
                      <m:rPr>
                        <m:sty m:val="p"/>
                      </m:rPr>
                      <m:t>≥</m:t>
                    </m:r>
                    <m:sSub>
                      <m:e>
                        <m:r>
                          <m:t>n</m:t>
                        </m:r>
                      </m:e>
                      <m:sub>
                        <m:r>
                          <m:rPr>
                            <m:nor/>
                            <m:sty m:val="p"/>
                          </m:rPr>
                          <m:t>thr</m:t>
                        </m:r>
                      </m:sub>
                    </m:sSub>
                  </m:e>
                </m:d>
              </m:oMath>
            </m:oMathPara>
          </w:p>
        </w:tc>
        <w:tc>
          <w:tcPr>
            <w:tcW w:type="dxa" w:w="748"/>
            <w:vAlign w:val="center"/>
          </w:tcPr>
          <w:p>
            <w:pPr>
              <w:jc w:val="right"/>
            </w:pPr>
            <w:r>
              <w:rPr>
                <w:rFonts w:ascii="Georgia" w:hAnsi="Georgia" w:eastAsia="Georgia" w:cs="Georgia"/>
                <w:sz w:val="21"/>
              </w:rPr>
              <w:t>(15)</w:t>
            </w:r>
          </w:p>
        </w:tc>
      </w:tr>
    </w:tbl>
    <w:p>
      <w:pPr>
        <w:pStyle w:val="BodyText"/>
      </w:pPr>
      <w:r>
        <w:t xml:space="preserve">where</w:t>
      </w:r>
      <w:r>
        <w:t xml:space="preserve"> </w:t>
      </w:r>
      <w:r>
        <w:rPr>
          <w:i/>
          <w:iCs/>
        </w:rPr>
        <w:t xml:space="preserve">K</w:t>
      </w:r>
      <w:r>
        <w:rPr>
          <w:i/>
          <w:iCs/>
          <w:vertAlign w:val="subscript"/>
        </w:rPr>
        <w:t xml:space="preserve">n</w:t>
      </w:r>
      <w:r>
        <w:t xml:space="preserve"> </w:t>
      </w:r>
      <w:r>
        <w:t xml:space="preserve">comprises ticks 3–13 of the trial (counted from 0), allowing two ticks of propagation, and</w:t>
      </w:r>
      <w:r>
        <w:t xml:space="preserve"> </w:t>
      </w:r>
      <w:r>
        <w:rPr>
          <w:i/>
          <w:iCs/>
        </w:rPr>
        <w:t xml:space="preserve">n</w:t>
      </w:r>
      <w:r>
        <w:rPr>
          <w:vertAlign w:val="subscript"/>
        </w:rPr>
        <w:t xml:space="preserve">thr</w:t>
      </w:r>
      <w:r>
        <w:t xml:space="preserve"> </w:t>
      </w:r>
      <w:r>
        <w:t xml:space="preserve">= 2. Evaluation is prequential: each trial is predicted before any adaptation uses it. The initial graph is the minimal correct XOR wiring for this code,</w:t>
      </w:r>
      <w:r>
        <w:t xml:space="preserve"> </w:t>
      </w:r>
      <w:r>
        <w:rPr>
          <w:i/>
          <w:iCs/>
        </w:rPr>
        <w:t xml:space="preserve">I</w:t>
      </w:r>
      <w:r>
        <w:rPr>
          <w:vertAlign w:val="subscript"/>
        </w:rPr>
        <w:t xml:space="preserve">1</w:t>
      </w:r>
      <w:r>
        <w:t xml:space="preserve">→</w:t>
      </w:r>
      <w:r>
        <w:rPr>
          <w:i/>
          <w:iCs/>
        </w:rPr>
        <w:t xml:space="preserve">H</w:t>
      </w:r>
      <w:r>
        <w:rPr>
          <w:vertAlign w:val="subscript"/>
        </w:rPr>
        <w:t xml:space="preserve">1</w:t>
      </w:r>
      <w:r>
        <w:t xml:space="preserve">,</w:t>
      </w:r>
      <w:r>
        <w:t xml:space="preserve"> </w:t>
      </w:r>
      <w:r>
        <w:rPr>
          <w:i/>
          <w:iCs/>
        </w:rPr>
        <w:t xml:space="preserve">I</w:t>
      </w:r>
      <w:r>
        <w:rPr>
          <w:vertAlign w:val="subscript"/>
        </w:rPr>
        <w:t xml:space="preserve">4</w:t>
      </w:r>
      <w:r>
        <w:t xml:space="preserve">→</w:t>
      </w:r>
      <w:r>
        <w:rPr>
          <w:i/>
          <w:iCs/>
        </w:rPr>
        <w:t xml:space="preserve">H</w:t>
      </w:r>
      <w:r>
        <w:rPr>
          <w:vertAlign w:val="subscript"/>
        </w:rPr>
        <w:t xml:space="preserve">1</w:t>
      </w:r>
      <w:r>
        <w:t xml:space="preserve">,</w:t>
      </w:r>
      <w:r>
        <w:t xml:space="preserve"> </w:t>
      </w:r>
      <w:r>
        <w:rPr>
          <w:i/>
          <w:iCs/>
        </w:rPr>
        <w:t xml:space="preserve">I</w:t>
      </w:r>
      <w:r>
        <w:rPr>
          <w:vertAlign w:val="subscript"/>
        </w:rPr>
        <w:t xml:space="preserve">2</w:t>
      </w:r>
      <w:r>
        <w:t xml:space="preserve">→</w:t>
      </w:r>
      <w:r>
        <w:rPr>
          <w:i/>
          <w:iCs/>
        </w:rPr>
        <w:t xml:space="preserve">H</w:t>
      </w:r>
      <w:r>
        <w:rPr>
          <w:vertAlign w:val="subscript"/>
        </w:rPr>
        <w:t xml:space="preserve">2</w:t>
      </w:r>
      <w:r>
        <w:t xml:space="preserve">,</w:t>
      </w:r>
      <w:r>
        <w:t xml:space="preserve"> </w:t>
      </w:r>
      <w:r>
        <w:rPr>
          <w:i/>
          <w:iCs/>
        </w:rPr>
        <w:t xml:space="preserve">I</w:t>
      </w:r>
      <w:r>
        <w:rPr>
          <w:vertAlign w:val="subscript"/>
        </w:rPr>
        <w:t xml:space="preserve">3</w:t>
      </w:r>
      <w:r>
        <w:t xml:space="preserve">→</w:t>
      </w:r>
      <w:r>
        <w:rPr>
          <w:i/>
          <w:iCs/>
        </w:rPr>
        <w:t xml:space="preserve">H</w:t>
      </w:r>
      <w:r>
        <w:rPr>
          <w:vertAlign w:val="subscript"/>
        </w:rPr>
        <w:t xml:space="preserve">2</w:t>
      </w:r>
      <w:r>
        <w:t xml:space="preserve">,</w:t>
      </w:r>
      <w:r>
        <w:t xml:space="preserve"> </w:t>
      </w:r>
      <w:r>
        <w:rPr>
          <w:i/>
          <w:iCs/>
        </w:rPr>
        <w:t xml:space="preserve">H</w:t>
      </w:r>
      <w:r>
        <w:rPr>
          <w:vertAlign w:val="subscript"/>
        </w:rPr>
        <w:t xml:space="preserve">1</w:t>
      </w:r>
      <w:r>
        <w:t xml:space="preserve">→</w:t>
      </w:r>
      <w:r>
        <w:rPr>
          <w:i/>
          <w:iCs/>
        </w:rPr>
        <w:t xml:space="preserve">O</w:t>
      </w:r>
      <w:r>
        <w:t xml:space="preserve"> </w:t>
      </w:r>
      <w:r>
        <w:t xml:space="preserve">and</w:t>
      </w:r>
      <w:r>
        <w:t xml:space="preserve"> </w:t>
      </w:r>
      <w:r>
        <w:rPr>
          <w:i/>
          <w:iCs/>
        </w:rPr>
        <w:t xml:space="preserve">H</w:t>
      </w:r>
      <w:r>
        <w:rPr>
          <w:vertAlign w:val="subscript"/>
        </w:rPr>
        <w:t xml:space="preserve">2</w:t>
      </w:r>
      <w:r>
        <w:t xml:space="preserve">→</w:t>
      </w:r>
      <w:r>
        <w:rPr>
          <w:i/>
          <w:iCs/>
        </w:rPr>
        <w:t xml:space="preserve">O</w:t>
      </w:r>
      <w:r>
        <w:t xml:space="preserve">, all excitatory, so that</w:t>
      </w:r>
      <w:r>
        <w:t xml:space="preserve"> </w:t>
      </w:r>
      <w:r>
        <w:rPr>
          <w:i/>
          <w:iCs/>
        </w:rPr>
        <w:t xml:space="preserve">H</w:t>
      </w:r>
      <w:r>
        <w:rPr>
          <w:vertAlign w:val="subscript"/>
        </w:rPr>
        <w:t xml:space="preserve">1</w:t>
      </w:r>
      <w:r>
        <w:t xml:space="preserve"> </w:t>
      </w:r>
      <w:r>
        <w:t xml:space="preserve">and</w:t>
      </w:r>
      <w:r>
        <w:t xml:space="preserve"> </w:t>
      </w:r>
      <w:r>
        <w:rPr>
          <w:i/>
          <w:iCs/>
        </w:rPr>
        <w:t xml:space="preserve">H</w:t>
      </w:r>
      <w:r>
        <w:rPr>
          <w:vertAlign w:val="subscript"/>
        </w:rPr>
        <w:t xml:space="preserve">2</w:t>
      </w:r>
      <w:r>
        <w:t xml:space="preserve"> </w:t>
      </w:r>
      <w:r>
        <w:t xml:space="preserve">act as coincidence detectors for the inputs (1, 0) and (0, 1).</w:t>
      </w:r>
    </w:p>
    <w:bookmarkEnd w:id="25"/>
    <w:bookmarkStart w:id="26" w:name="experiments"/>
    <w:p>
      <w:pPr>
        <w:pStyle w:val="Heading2"/>
      </w:pPr>
      <w:r>
        <w:t xml:space="preserve">Experiments</w:t>
      </w:r>
    </w:p>
    <w:p>
      <w:pPr>
        <w:pStyle w:val="FirstParagraph"/>
      </w:pPr>
      <w:r>
        <w:t xml:space="preserve">In E1, input statistics alternate every 1,000 trials between regime A (</w:t>
      </w:r>
      <w:r>
        <w:rPr>
          <w:i/>
          <w:iCs/>
        </w:rPr>
        <w:t xml:space="preserve">r</w:t>
      </w:r>
      <w:r>
        <w:rPr>
          <w:vertAlign w:val="subscript"/>
        </w:rPr>
        <w:t xml:space="preserve">on</w:t>
      </w:r>
      <w:r>
        <w:t xml:space="preserve"> </w:t>
      </w:r>
      <w:r>
        <w:t xml:space="preserve">= 0.70,</w:t>
      </w:r>
      <w:r>
        <w:t xml:space="preserve"> </w:t>
      </w:r>
      <w:r>
        <w:rPr>
          <w:i/>
          <w:iCs/>
        </w:rPr>
        <w:t xml:space="preserve">r</w:t>
      </w:r>
      <w:r>
        <w:rPr>
          <w:vertAlign w:val="subscript"/>
        </w:rPr>
        <w:t xml:space="preserve">off</w:t>
      </w:r>
      <w:r>
        <w:t xml:space="preserve"> </w:t>
      </w:r>
      <w:r>
        <w:t xml:space="preserve">= 0.02) and regime B (</w:t>
      </w:r>
      <w:r>
        <w:rPr>
          <w:i/>
          <w:iCs/>
        </w:rPr>
        <w:t xml:space="preserve">r</w:t>
      </w:r>
      <w:r>
        <w:rPr>
          <w:vertAlign w:val="subscript"/>
        </w:rPr>
        <w:t xml:space="preserve">on</w:t>
      </w:r>
      <w:r>
        <w:t xml:space="preserve"> </w:t>
      </w:r>
      <w:r>
        <w:t xml:space="preserve">= 0.55,</w:t>
      </w:r>
      <w:r>
        <w:t xml:space="preserve"> </w:t>
      </w:r>
      <w:r>
        <w:rPr>
          <w:i/>
          <w:iCs/>
        </w:rPr>
        <w:t xml:space="preserve">r</w:t>
      </w:r>
      <w:r>
        <w:rPr>
          <w:vertAlign w:val="subscript"/>
        </w:rPr>
        <w:t xml:space="preserve">off</w:t>
      </w:r>
      <w:r>
        <w:t xml:space="preserve"> </w:t>
      </w:r>
      <w:r>
        <w:t xml:space="preserve">= 0.05) over 6,000 trials. At trial 2,500, ⌊0.5</w:t>
      </w:r>
      <w:r>
        <w:rPr>
          <w:i/>
          <w:iCs/>
        </w:rPr>
        <w:t xml:space="preserve">E</w:t>
      </w:r>
      <w:r>
        <w:t xml:space="preserve">⌋ of the</w:t>
      </w:r>
      <w:r>
        <w:t xml:space="preserve"> </w:t>
      </w:r>
      <w:r>
        <w:rPr>
          <w:i/>
          <w:iCs/>
        </w:rPr>
        <w:t xml:space="preserve">E</w:t>
      </w:r>
      <w:r>
        <w:t xml:space="preserve"> </w:t>
      </w:r>
      <w:r>
        <w:t xml:space="preserve">existing edges, drawn from a seed-specific random stream, are removed; the regime change at trial 3,000 tests false alarms and recovery under altered input statistics. In E2 there is no lesion, and every 1,000 trials the code of</w:t>
      </w:r>
      <w:r>
        <w:t xml:space="preserve"> </w:t>
      </w:r>
      <w:r>
        <w:rPr>
          <w:i/>
          <w:iCs/>
        </w:rPr>
        <w:t xml:space="preserve">b</w:t>
      </w:r>
      <w:r>
        <w:rPr>
          <w:vertAlign w:val="subscript"/>
        </w:rPr>
        <w:t xml:space="preserve">2</w:t>
      </w:r>
      <w:r>
        <w:t xml:space="preserve"> </w:t>
      </w:r>
      <w:r>
        <w:t xml:space="preserve">is exchanged between</w:t>
      </w:r>
      <w:r>
        <w:t xml:space="preserve"> </w:t>
      </w:r>
      <w:r>
        <w:rPr>
          <w:i/>
          <w:iCs/>
        </w:rPr>
        <w:t xml:space="preserve">I</w:t>
      </w:r>
      <w:r>
        <w:rPr>
          <w:vertAlign w:val="subscript"/>
        </w:rPr>
        <w:t xml:space="preserve">3</w:t>
      </w:r>
      <w:r>
        <w:t xml:space="preserve"> </w:t>
      </w:r>
      <w:r>
        <w:t xml:space="preserve">and</w:t>
      </w:r>
      <w:r>
        <w:t xml:space="preserve"> </w:t>
      </w:r>
      <w:r>
        <w:rPr>
          <w:i/>
          <w:iCs/>
        </w:rPr>
        <w:t xml:space="preserve">I</w:t>
      </w:r>
      <w:r>
        <w:rPr>
          <w:vertAlign w:val="subscript"/>
        </w:rPr>
        <w:t xml:space="preserve">4</w:t>
      </w:r>
      <w:r>
        <w:t xml:space="preserve">, so that the fixed wiring computes XNOR; the third and fifth blocks restore the original code and measure retention.</w:t>
      </w:r>
    </w:p>
    <w:bookmarkEnd w:id="26"/>
    <w:bookmarkStart w:id="27" w:name="parameters-and-reproducibility"/>
    <w:p>
      <w:pPr>
        <w:pStyle w:val="Heading2"/>
      </w:pPr>
      <w:r>
        <w:t xml:space="preserve">Parameters and reproducibility</w:t>
      </w:r>
    </w:p>
    <w:p>
      <w:pPr>
        <w:pStyle w:val="FirstParagraph"/>
      </w:pPr>
      <w:r>
        <w:t xml:space="preserve">All parameters are fixed in a configuration file (Table 3). Every run writes a manifest containing the SHA-256 hash of that file, package versions and seeds. The configuration may change only through a dated amendment recorded before any confirmatory run.</w:t>
      </w:r>
    </w:p>
    <w:p>
      <w:pPr>
        <w:pStyle w:val="TabCap"/>
      </w:pPr>
      <w:r>
        <w:rPr>
          <w:b/>
          <w:bCs/>
        </w:rPr>
        <w:t xml:space="preserve">Table 3 | Prespecified parameters.</w:t>
      </w:r>
      <w:r>
        <w:t xml:space="preserve"> </w:t>
      </w:r>
      <w:r>
        <w:t xml:space="preserve">The window (</w:t>
      </w:r>
      <w:r>
        <w:rPr>
          <w:i/>
          <w:iCs/>
        </w:rPr>
        <w:t xml:space="preserve">W</w:t>
      </w:r>
      <w:r>
        <w:t xml:space="preserve">,</w:t>
      </w:r>
      <w:r>
        <w:t xml:space="preserve"> </w:t>
      </w:r>
      <w:r>
        <w:rPr>
          <w:i/>
          <w:iCs/>
        </w:rPr>
        <w:t xml:space="preserve">b</w:t>
      </w:r>
      <w:r>
        <w:t xml:space="preserve">) and the EWC strength are provisional until fixed by the design check on tuning seeds.</w:t>
      </w:r>
    </w:p>
    <w:tbl>
      <w:tblPr>
        <w:tblStyle w:val="Table"/>
        <w:tblW w:type="pct" w:w="5000"/>
        <w:tblLayout w:type="fixed"/>
        <w:tblLook w:firstRow="1" w:lastRow="0" w:firstColumn="0" w:lastColumn="0" w:noHBand="0" w:noVBand="0" w:val="0020"/>
        <w:jc w:val="center"/>
        <w:tblBorders>
          <w:top w:val="single" w:sz="10" w:space="0" w:color="1F3864"/>
          <w:bottom w:val="single" w:sz="10" w:space="0" w:color="1F3864"/>
          <w:insideH w:val="single" w:sz="2" w:space="0" w:color="C8C8C8"/>
          <w:left w:val="nil" w:sz="0" w:space="0" w:color="FFFFFF"/>
          <w:right w:val="nil" w:sz="0" w:space="0" w:color="FFFFFF"/>
          <w:insideV w:val="nil" w:sz="0" w:space="0" w:color="FFFFFF"/>
        </w:tblBorders>
        <w:tblCellMar>
          <w:top w:w="25" w:type="dxa"/>
          <w:left w:w="60" w:type="dxa"/>
          <w:bottom w:w="25" w:type="dxa"/>
          <w:right w:w="60" w:type="dxa"/>
        </w:tblCellMar>
        <w:tblLayout w:type="fixed"/>
      </w:tblPr>
      <w:tblGrid>
        <w:gridCol w:w="1497"/>
        <w:gridCol w:w="4867"/>
        <w:gridCol w:w="2995"/>
      </w:tblGrid>
      <w:tr>
        <w:trPr>
          <w:tblHeader w:val="on"/>
          <w:cantSplit/>
          <w:tblHeader/>
        </w:trPr>
        <w:tc>
          <w:tcPr>
            <w:tcW w:type="dxa" w:w="1497"/>
          </w:tcPr>
          <w:p>
            <w:pPr>
              <w:pStyle w:val="Compact"/>
              <w:keepNext/>
              <w:spacing w:after="20" w:before="20" w:line="240" w:lineRule="auto"/>
              <w:jc w:val="left"/>
            </w:pPr>
            <w:r>
              <w:rPr>
                <w:rFonts w:ascii="Calibri" w:hAnsi="Calibri" w:eastAsia="Calibri" w:cs="Calibri"/>
                <w:b/>
                <w:color w:val="1F3864"/>
                <w:sz w:val="17"/>
              </w:rPr>
              <w:t xml:space="preserve">Component</w:t>
            </w:r>
          </w:p>
        </w:tc>
        <w:tc>
          <w:tcPr>
            <w:tcW w:type="dxa" w:w="4867"/>
          </w:tcPr>
          <w:p>
            <w:pPr>
              <w:pStyle w:val="Compact"/>
              <w:keepNext/>
              <w:spacing w:after="20" w:before="20" w:line="240" w:lineRule="auto"/>
              <w:jc w:val="left"/>
            </w:pPr>
            <w:r>
              <w:rPr>
                <w:rFonts w:ascii="Calibri" w:hAnsi="Calibri" w:eastAsia="Calibri" w:cs="Calibri"/>
                <w:b/>
                <w:color w:val="1F3864"/>
                <w:sz w:val="17"/>
              </w:rPr>
              <w:t xml:space="preserve">Parameter</w:t>
            </w:r>
          </w:p>
        </w:tc>
        <w:tc>
          <w:tcPr>
            <w:tcW w:type="dxa" w:w="2995"/>
          </w:tcPr>
          <w:p>
            <w:pPr>
              <w:pStyle w:val="Compact"/>
              <w:keepNext/>
              <w:spacing w:after="20" w:before="20" w:line="240" w:lineRule="auto"/>
              <w:jc w:val="left"/>
            </w:pPr>
            <w:r>
              <w:rPr>
                <w:rFonts w:ascii="Calibri" w:hAnsi="Calibri" w:eastAsia="Calibri" w:cs="Calibri"/>
                <w:b/>
                <w:color w:val="1F3864"/>
                <w:sz w:val="17"/>
              </w:rPr>
              <w:t xml:space="preserve">Value</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Task</w:t>
            </w:r>
          </w:p>
        </w:tc>
        <w:tc>
          <w:tcPr>
            <w:tcW w:type="dxa" w:w="4867"/>
          </w:tcPr>
          <w:p>
            <w:pPr>
              <w:pStyle w:val="Compact"/>
              <w:keepNext/>
              <w:spacing w:after="20" w:before="20" w:line="240" w:lineRule="auto"/>
              <w:jc w:val="left"/>
            </w:pPr>
            <w:r>
              <w:rPr>
                <w:rFonts w:ascii="Calibri" w:hAnsi="Calibri" w:eastAsia="Calibri" w:cs="Calibri"/>
                <w:sz w:val="17"/>
              </w:rPr>
              <w:t xml:space="preserve">Ticks per trial</w:t>
            </w:r>
            <w:r>
              <w:rPr>
                <w:rFonts w:ascii="Calibri" w:hAnsi="Calibri" w:eastAsia="Calibri" w:cs="Calibri"/>
                <w:sz w:val="17"/>
              </w:rPr>
              <w:t xml:space="preserve"> </w:t>
            </w:r>
            <w:r>
              <w:rPr>
                <w:rFonts w:ascii="Calibri" w:hAnsi="Calibri" w:eastAsia="Calibri" w:cs="Calibri"/>
                <w:i/>
                <w:iCs/>
                <w:sz w:val="17"/>
              </w:rPr>
              <w:t xml:space="preserve">T</w:t>
            </w:r>
            <w:r>
              <w:rPr>
                <w:rFonts w:ascii="Calibri" w:hAnsi="Calibri" w:eastAsia="Calibri" w:cs="Calibri"/>
                <w:sz w:val="17"/>
              </w:rPr>
              <w:t xml:space="preserve">; readout ticks; count threshold</w:t>
            </w:r>
            <w:r>
              <w:rPr>
                <w:rFonts w:ascii="Calibri" w:hAnsi="Calibri" w:eastAsia="Calibri" w:cs="Calibri"/>
                <w:sz w:val="17"/>
              </w:rPr>
              <w:t xml:space="preserve"> </w:t>
            </w:r>
            <w:r>
              <w:rPr>
                <w:rFonts w:ascii="Calibri" w:hAnsi="Calibri" w:eastAsia="Calibri" w:cs="Calibri"/>
                <w:i/>
                <w:iCs/>
                <w:sz w:val="17"/>
              </w:rPr>
              <w:t xml:space="preserve">n</w:t>
            </w:r>
            <w:r>
              <w:rPr>
                <w:rFonts w:ascii="Calibri" w:hAnsi="Calibri" w:eastAsia="Calibri" w:cs="Calibri"/>
                <w:sz w:val="17"/>
                <w:vertAlign w:val="subscript"/>
              </w:rPr>
              <w:t xml:space="preserve">thr</w:t>
            </w:r>
          </w:p>
        </w:tc>
        <w:tc>
          <w:tcPr>
            <w:tcW w:type="dxa" w:w="2995"/>
          </w:tcPr>
          <w:p>
            <w:pPr>
              <w:pStyle w:val="Compact"/>
              <w:keepNext/>
              <w:spacing w:after="20" w:before="20" w:line="240" w:lineRule="auto"/>
              <w:jc w:val="left"/>
            </w:pPr>
            <w:r>
              <w:rPr>
                <w:rFonts w:ascii="Calibri" w:hAnsi="Calibri" w:eastAsia="Calibri" w:cs="Calibri"/>
                <w:sz w:val="17"/>
              </w:rPr>
              <w:t xml:space="preserve">14; 3–13; 2</w:t>
            </w:r>
          </w:p>
        </w:tc>
      </w:tr>
      <w:tr>
        <w:trPr>
          <w:cantSplit/>
        </w:trPr>
        <w:tc>
          <w:tcPr>
            <w:tcW w:type="dxa" w:w="1497"/>
          </w:tcPr>
          <w:p>
            <w:pPr>
              <w:pStyle w:val="Compact"/>
              <w:keepNext/>
              <w:spacing w:after="20" w:before="20" w:line="240" w:lineRule="auto"/>
              <w:jc w:val="left"/>
            </w:pPr>
          </w:p>
        </w:tc>
        <w:tc>
          <w:tcPr>
            <w:tcW w:type="dxa" w:w="4867"/>
          </w:tcPr>
          <w:p>
            <w:pPr>
              <w:pStyle w:val="Compact"/>
              <w:keepNext/>
              <w:spacing w:after="20" w:before="20" w:line="240" w:lineRule="auto"/>
              <w:jc w:val="left"/>
            </w:pPr>
            <w:r>
              <w:rPr>
                <w:rFonts w:ascii="Calibri" w:hAnsi="Calibri" w:eastAsia="Calibri" w:cs="Calibri"/>
                <w:sz w:val="17"/>
              </w:rPr>
              <w:t xml:space="preserve">Trials; drift block</w:t>
            </w:r>
          </w:p>
        </w:tc>
        <w:tc>
          <w:tcPr>
            <w:tcW w:type="dxa" w:w="2995"/>
          </w:tcPr>
          <w:p>
            <w:pPr>
              <w:pStyle w:val="Compact"/>
              <w:keepNext/>
              <w:spacing w:after="20" w:before="20" w:line="240" w:lineRule="auto"/>
              <w:jc w:val="left"/>
            </w:pPr>
            <w:r>
              <w:rPr>
                <w:rFonts w:ascii="Calibri" w:hAnsi="Calibri" w:eastAsia="Calibri" w:cs="Calibri"/>
                <w:sz w:val="17"/>
              </w:rPr>
              <w:t xml:space="preserve">6,000; 1,000</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Module</w:t>
            </w:r>
          </w:p>
        </w:tc>
        <w:tc>
          <w:tcPr>
            <w:tcW w:type="dxa" w:w="4867"/>
          </w:tcPr>
          <w:p>
            <w:pPr>
              <w:pStyle w:val="Compact"/>
              <w:keepNext/>
              <w:spacing w:after="20" w:before="20" w:line="240" w:lineRule="auto"/>
              <w:jc w:val="left"/>
            </w:pPr>
            <w:r>
              <w:rPr>
                <w:rFonts w:ascii="Calibri" w:hAnsi="Calibri" w:eastAsia="Calibri" w:cs="Calibri"/>
                <w:sz w:val="17"/>
              </w:rPr>
              <w:t xml:space="preserve">Leak</w:t>
            </w:r>
            <w:r>
              <w:rPr>
                <w:rFonts w:ascii="Calibri" w:hAnsi="Calibri" w:eastAsia="Calibri" w:cs="Calibri"/>
                <w:sz w:val="17"/>
              </w:rPr>
              <w:t xml:space="preserve"> </w:t>
            </w:r>
            <w:r>
              <w:rPr>
                <w:rFonts w:ascii="Calibri" w:hAnsi="Calibri" w:eastAsia="Calibri" w:cs="Calibri"/>
                <w:i/>
                <w:iCs/>
                <w:sz w:val="17"/>
              </w:rPr>
              <w:t xml:space="preserve">λ</w:t>
            </w:r>
            <w:r>
              <w:rPr>
                <w:rFonts w:ascii="Calibri" w:hAnsi="Calibri" w:eastAsia="Calibri" w:cs="Calibri"/>
                <w:sz w:val="17"/>
              </w:rPr>
              <w:t xml:space="preserve">; weight</w:t>
            </w:r>
            <w:r>
              <w:rPr>
                <w:rFonts w:ascii="Calibri" w:hAnsi="Calibri" w:eastAsia="Calibri" w:cs="Calibri"/>
                <w:sz w:val="17"/>
              </w:rPr>
              <w:t xml:space="preserve"> </w:t>
            </w:r>
            <w:r>
              <w:rPr>
                <w:rFonts w:ascii="Calibri" w:hAnsi="Calibri" w:eastAsia="Calibri" w:cs="Calibri"/>
                <w:i/>
                <w:iCs/>
                <w:sz w:val="17"/>
              </w:rPr>
              <w:t xml:space="preserve">w</w:t>
            </w:r>
            <w:r>
              <w:rPr>
                <w:rFonts w:ascii="Calibri" w:hAnsi="Calibri" w:eastAsia="Calibri" w:cs="Calibri"/>
                <w:sz w:val="17"/>
                <w:vertAlign w:val="subscript"/>
              </w:rPr>
              <w:t xml:space="preserve">0</w:t>
            </w:r>
            <w:r>
              <w:rPr>
                <w:rFonts w:ascii="Calibri" w:hAnsi="Calibri" w:eastAsia="Calibri" w:cs="Calibri"/>
                <w:sz w:val="17"/>
              </w:rPr>
              <w:t xml:space="preserve">; noise</w:t>
            </w:r>
            <w:r>
              <w:rPr>
                <w:rFonts w:ascii="Calibri" w:hAnsi="Calibri" w:eastAsia="Calibri" w:cs="Calibri"/>
                <w:sz w:val="17"/>
              </w:rPr>
              <w:t xml:space="preserve"> </w:t>
            </w:r>
            <w:r>
              <w:rPr>
                <w:rFonts w:ascii="Calibri" w:hAnsi="Calibri" w:eastAsia="Calibri" w:cs="Calibri"/>
                <w:i/>
                <w:iCs/>
                <w:sz w:val="17"/>
              </w:rPr>
              <w:t xml:space="preserve">σ</w:t>
            </w:r>
            <w:r>
              <w:rPr>
                <w:rFonts w:ascii="Calibri" w:hAnsi="Calibri" w:eastAsia="Calibri" w:cs="Calibri"/>
                <w:i/>
                <w:iCs/>
                <w:sz w:val="17"/>
                <w:vertAlign w:val="subscript"/>
              </w:rPr>
              <w:t xml:space="preserve">u</w:t>
            </w:r>
          </w:p>
        </w:tc>
        <w:tc>
          <w:tcPr>
            <w:tcW w:type="dxa" w:w="2995"/>
          </w:tcPr>
          <w:p>
            <w:pPr>
              <w:pStyle w:val="Compact"/>
              <w:keepNext/>
              <w:spacing w:after="20" w:before="20" w:line="240" w:lineRule="auto"/>
              <w:jc w:val="left"/>
            </w:pPr>
            <w:r>
              <w:rPr>
                <w:rFonts w:ascii="Calibri" w:hAnsi="Calibri" w:eastAsia="Calibri" w:cs="Calibri"/>
                <w:sz w:val="17"/>
              </w:rPr>
              <w:t xml:space="preserve">0.3; 1.0; 0.05</w:t>
            </w:r>
          </w:p>
        </w:tc>
      </w:tr>
      <w:tr>
        <w:trPr>
          <w:cantSplit/>
        </w:trPr>
        <w:tc>
          <w:tcPr>
            <w:tcW w:type="dxa" w:w="1497"/>
          </w:tcPr>
          <w:p>
            <w:pPr>
              <w:pStyle w:val="Compact"/>
              <w:keepNext/>
              <w:spacing w:after="20" w:before="20" w:line="240" w:lineRule="auto"/>
              <w:jc w:val="left"/>
            </w:pPr>
          </w:p>
        </w:tc>
        <w:tc>
          <w:tcPr>
            <w:tcW w:type="dxa" w:w="4867"/>
          </w:tcPr>
          <w:p>
            <w:pPr>
              <w:pStyle w:val="Compact"/>
              <w:keepNext/>
              <w:spacing w:after="20" w:before="20" w:line="240" w:lineRule="auto"/>
              <w:jc w:val="left"/>
            </w:pPr>
            <w:r>
              <w:rPr>
                <w:rFonts w:ascii="Calibri" w:hAnsi="Calibri" w:eastAsia="Calibri" w:cs="Calibri"/>
                <w:sz w:val="17"/>
              </w:rPr>
              <w:t xml:space="preserve">Initial</w:t>
            </w:r>
            <w:r>
              <w:rPr>
                <w:rFonts w:ascii="Calibri" w:hAnsi="Calibri" w:eastAsia="Calibri" w:cs="Calibri"/>
                <w:sz w:val="17"/>
              </w:rPr>
              <w:t xml:space="preserve"> </w:t>
            </w:r>
            <w:r>
              <w:rPr>
                <w:rFonts w:ascii="Calibri" w:hAnsi="Calibri" w:eastAsia="Calibri" w:cs="Calibri"/>
                <w:i/>
                <w:iCs/>
                <w:sz w:val="17"/>
              </w:rPr>
              <w:t xml:space="preserve">θ</w:t>
            </w:r>
            <w:r>
              <w:rPr>
                <w:rFonts w:ascii="Calibri" w:hAnsi="Calibri" w:eastAsia="Calibri" w:cs="Calibri"/>
                <w:sz w:val="17"/>
              </w:rPr>
              <w:t xml:space="preserve"> </w:t>
            </w:r>
            <w:r>
              <w:rPr>
                <w:rFonts w:ascii="Calibri" w:hAnsi="Calibri" w:eastAsia="Calibri" w:cs="Calibri"/>
                <w:sz w:val="17"/>
              </w:rPr>
              <w:t xml:space="preserve">(hidden; output); bounds</w:t>
            </w:r>
          </w:p>
        </w:tc>
        <w:tc>
          <w:tcPr>
            <w:tcW w:type="dxa" w:w="2995"/>
          </w:tcPr>
          <w:p>
            <w:pPr>
              <w:pStyle w:val="Compact"/>
              <w:keepNext/>
              <w:spacing w:after="20" w:before="20" w:line="240" w:lineRule="auto"/>
              <w:jc w:val="left"/>
            </w:pPr>
            <w:r>
              <w:rPr>
                <w:rFonts w:ascii="Calibri" w:hAnsi="Calibri" w:eastAsia="Calibri" w:cs="Calibri"/>
                <w:sz w:val="17"/>
              </w:rPr>
              <w:t xml:space="preserve">U(1.2, 2.2); U(0.6, 1.4); [0.3, 5.0]</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Systemic Tau</w:t>
            </w:r>
          </w:p>
        </w:tc>
        <w:tc>
          <w:tcPr>
            <w:tcW w:type="dxa" w:w="4867"/>
          </w:tcPr>
          <w:p>
            <w:pPr>
              <w:pStyle w:val="Compact"/>
              <w:keepNext/>
              <w:spacing w:after="20" w:before="20" w:line="240" w:lineRule="auto"/>
              <w:jc w:val="left"/>
            </w:pPr>
            <w:r>
              <w:rPr>
                <w:rFonts w:ascii="Calibri" w:hAnsi="Calibri" w:eastAsia="Calibri" w:cs="Calibri"/>
                <w:sz w:val="17"/>
              </w:rPr>
              <w:t xml:space="preserve">Window</w:t>
            </w:r>
            <w:r>
              <w:rPr>
                <w:rFonts w:ascii="Calibri" w:hAnsi="Calibri" w:eastAsia="Calibri" w:cs="Calibri"/>
                <w:sz w:val="17"/>
              </w:rPr>
              <w:t xml:space="preserve"> </w:t>
            </w:r>
            <w:r>
              <w:rPr>
                <w:rFonts w:ascii="Calibri" w:hAnsi="Calibri" w:eastAsia="Calibri" w:cs="Calibri"/>
                <w:i/>
                <w:iCs/>
                <w:sz w:val="17"/>
              </w:rPr>
              <w:t xml:space="preserve">W</w:t>
            </w:r>
            <w:r>
              <w:rPr>
                <w:rFonts w:ascii="Calibri" w:hAnsi="Calibri" w:eastAsia="Calibri" w:cs="Calibri"/>
                <w:sz w:val="17"/>
              </w:rPr>
              <w:t xml:space="preserve">; bin</w:t>
            </w:r>
            <w:r>
              <w:rPr>
                <w:rFonts w:ascii="Calibri" w:hAnsi="Calibri" w:eastAsia="Calibri" w:cs="Calibri"/>
                <w:sz w:val="17"/>
              </w:rPr>
              <w:t xml:space="preserve"> </w:t>
            </w:r>
            <w:r>
              <w:rPr>
                <w:rFonts w:ascii="Calibri" w:hAnsi="Calibri" w:eastAsia="Calibri" w:cs="Calibri"/>
                <w:i/>
                <w:iCs/>
                <w:sz w:val="17"/>
              </w:rPr>
              <w:t xml:space="preserve">b</w:t>
            </w:r>
            <w:r>
              <w:rPr>
                <w:rFonts w:ascii="Calibri" w:hAnsi="Calibri" w:eastAsia="Calibri" w:cs="Calibri"/>
                <w:sz w:val="17"/>
              </w:rPr>
              <w:t xml:space="preserve">; evaluation</w:t>
            </w:r>
          </w:p>
        </w:tc>
        <w:tc>
          <w:tcPr>
            <w:tcW w:type="dxa" w:w="2995"/>
          </w:tcPr>
          <w:p>
            <w:pPr>
              <w:pStyle w:val="Compact"/>
              <w:keepNext/>
              <w:spacing w:after="20" w:before="20" w:line="240" w:lineRule="auto"/>
              <w:jc w:val="left"/>
            </w:pPr>
            <w:r>
              <w:rPr>
                <w:rFonts w:ascii="Calibri" w:hAnsi="Calibri" w:eastAsia="Calibri" w:cs="Calibri"/>
                <w:sz w:val="17"/>
              </w:rPr>
              <w:t xml:space="preserve">140 ticks; 1; every trial</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Calibration</w:t>
            </w:r>
          </w:p>
        </w:tc>
        <w:tc>
          <w:tcPr>
            <w:tcW w:type="dxa" w:w="4867"/>
          </w:tcPr>
          <w:p>
            <w:pPr>
              <w:pStyle w:val="Compact"/>
              <w:keepNext/>
              <w:spacing w:after="20" w:before="20" w:line="240" w:lineRule="auto"/>
              <w:jc w:val="left"/>
            </w:pPr>
            <w:r>
              <w:rPr>
                <w:rFonts w:ascii="Calibri" w:hAnsi="Calibri" w:eastAsia="Calibri" w:cs="Calibri"/>
                <w:sz w:val="17"/>
              </w:rPr>
              <w:t xml:space="preserve">Trials; band width</w:t>
            </w:r>
            <w:r>
              <w:rPr>
                <w:rFonts w:ascii="Calibri" w:hAnsi="Calibri" w:eastAsia="Calibri" w:cs="Calibri"/>
                <w:sz w:val="17"/>
              </w:rPr>
              <w:t xml:space="preserve"> </w:t>
            </w:r>
            <w:r>
              <w:rPr>
                <w:rFonts w:ascii="Calibri" w:hAnsi="Calibri" w:eastAsia="Calibri" w:cs="Calibri"/>
                <w:i/>
                <w:iCs/>
                <w:sz w:val="17"/>
              </w:rPr>
              <w:t xml:space="preserve">k</w:t>
            </w:r>
          </w:p>
        </w:tc>
        <w:tc>
          <w:tcPr>
            <w:tcW w:type="dxa" w:w="2995"/>
          </w:tcPr>
          <w:p>
            <w:pPr>
              <w:pStyle w:val="Compact"/>
              <w:keepNext/>
              <w:spacing w:after="20" w:before="20" w:line="240" w:lineRule="auto"/>
              <w:jc w:val="left"/>
            </w:pPr>
            <w:r>
              <w:rPr>
                <w:rFonts w:ascii="Calibri" w:hAnsi="Calibri" w:eastAsia="Calibri" w:cs="Calibri"/>
                <w:sz w:val="17"/>
              </w:rPr>
              <w:t xml:space="preserve">1,500–2,449; 3</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Controller</w:t>
            </w:r>
          </w:p>
        </w:tc>
        <w:tc>
          <w:tcPr>
            <w:tcW w:type="dxa" w:w="4867"/>
          </w:tcPr>
          <w:p>
            <w:pPr>
              <w:pStyle w:val="Compact"/>
              <w:keepNext/>
              <w:spacing w:after="20" w:before="20" w:line="240" w:lineRule="auto"/>
              <w:jc w:val="left"/>
            </w:pPr>
            <w:r>
              <w:rPr>
                <w:rFonts w:ascii="Calibri" w:hAnsi="Calibri" w:eastAsia="Calibri" w:cs="Calibri"/>
                <w:sz w:val="17"/>
              </w:rPr>
              <w:t xml:space="preserve">Refractory</w:t>
            </w:r>
            <w:r>
              <w:rPr>
                <w:rFonts w:ascii="Calibri" w:hAnsi="Calibri" w:eastAsia="Calibri" w:cs="Calibri"/>
                <w:sz w:val="17"/>
              </w:rPr>
              <w:t xml:space="preserve"> </w:t>
            </w:r>
            <w:r>
              <w:rPr>
                <w:rFonts w:ascii="Calibri" w:hAnsi="Calibri" w:eastAsia="Calibri" w:cs="Calibri"/>
                <w:i/>
                <w:iCs/>
                <w:sz w:val="17"/>
              </w:rPr>
              <w:t xml:space="preserve">R</w:t>
            </w:r>
            <w:r>
              <w:rPr>
                <w:rFonts w:ascii="Calibri" w:hAnsi="Calibri" w:eastAsia="Calibri" w:cs="Calibri"/>
                <w:sz w:val="17"/>
              </w:rPr>
              <w:t xml:space="preserve">; entrainment; check delay</w:t>
            </w:r>
          </w:p>
        </w:tc>
        <w:tc>
          <w:tcPr>
            <w:tcW w:type="dxa" w:w="2995"/>
          </w:tcPr>
          <w:p>
            <w:pPr>
              <w:pStyle w:val="Compact"/>
              <w:keepNext/>
              <w:spacing w:after="20" w:before="20" w:line="240" w:lineRule="auto"/>
              <w:jc w:val="left"/>
            </w:pPr>
            <w:r>
              <w:rPr>
                <w:rFonts w:ascii="Calibri" w:hAnsi="Calibri" w:eastAsia="Calibri" w:cs="Calibri"/>
                <w:sz w:val="17"/>
              </w:rPr>
              <w:t xml:space="preserve">20; 10; 10 trials</w:t>
            </w:r>
          </w:p>
        </w:tc>
      </w:tr>
      <w:tr>
        <w:trPr>
          <w:cantSplit/>
        </w:trPr>
        <w:tc>
          <w:tcPr>
            <w:tcW w:type="dxa" w:w="1497"/>
          </w:tcPr>
          <w:p>
            <w:pPr>
              <w:pStyle w:val="Compact"/>
              <w:keepNext/>
              <w:spacing w:after="20" w:before="20" w:line="240" w:lineRule="auto"/>
              <w:jc w:val="left"/>
            </w:pPr>
          </w:p>
        </w:tc>
        <w:tc>
          <w:tcPr>
            <w:tcW w:type="dxa" w:w="4867"/>
          </w:tcPr>
          <w:p>
            <w:pPr>
              <w:pStyle w:val="Compact"/>
              <w:keepNext/>
              <w:spacing w:after="20" w:before="20" w:line="240" w:lineRule="auto"/>
              <w:jc w:val="left"/>
            </w:pPr>
            <w:r>
              <w:rPr>
                <w:rFonts w:ascii="Calibri" w:hAnsi="Calibri" w:eastAsia="Calibri" w:cs="Calibri"/>
                <w:i/>
                <w:iCs/>
                <w:sz w:val="17"/>
              </w:rPr>
              <w:t xml:space="preserve">η</w:t>
            </w:r>
            <w:r>
              <w:rPr>
                <w:rFonts w:ascii="Calibri" w:hAnsi="Calibri" w:eastAsia="Calibri" w:cs="Calibri"/>
                <w:sz w:val="17"/>
                <w:vertAlign w:val="subscript"/>
              </w:rPr>
              <w:t xml:space="preserve">e</w:t>
            </w:r>
            <w:r>
              <w:rPr>
                <w:rFonts w:ascii="Calibri" w:hAnsi="Calibri" w:eastAsia="Calibri" w:cs="Calibri"/>
                <w:sz w:val="17"/>
              </w:rPr>
              <w:t xml:space="preserve">; bridge budget; pruning silence</w:t>
            </w:r>
            <w:r>
              <w:rPr>
                <w:rFonts w:ascii="Calibri" w:hAnsi="Calibri" w:eastAsia="Calibri" w:cs="Calibri"/>
                <w:sz w:val="17"/>
              </w:rPr>
              <w:t xml:space="preserve"> </w:t>
            </w:r>
            <w:r>
              <w:rPr>
                <w:rFonts w:ascii="Calibri" w:hAnsi="Calibri" w:eastAsia="Calibri" w:cs="Calibri"/>
                <w:i/>
                <w:iCs/>
                <w:sz w:val="17"/>
              </w:rPr>
              <w:t xml:space="preserve">P</w:t>
            </w:r>
          </w:p>
        </w:tc>
        <w:tc>
          <w:tcPr>
            <w:tcW w:type="dxa" w:w="2995"/>
          </w:tcPr>
          <w:p>
            <w:pPr>
              <w:pStyle w:val="Compact"/>
              <w:keepNext/>
              <w:spacing w:after="20" w:before="20" w:line="240" w:lineRule="auto"/>
              <w:jc w:val="left"/>
            </w:pPr>
            <w:r>
              <w:rPr>
                <w:rFonts w:ascii="Calibri" w:hAnsi="Calibri" w:eastAsia="Calibri" w:cs="Calibri"/>
                <w:sz w:val="17"/>
              </w:rPr>
              <w:t xml:space="preserve">0.05; 4; 50 trials</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Threshold search</w:t>
            </w:r>
          </w:p>
        </w:tc>
        <w:tc>
          <w:tcPr>
            <w:tcW w:type="dxa" w:w="4867"/>
          </w:tcPr>
          <w:p>
            <w:pPr>
              <w:pStyle w:val="Compact"/>
              <w:keepNext/>
              <w:spacing w:after="20" w:before="20" w:line="240" w:lineRule="auto"/>
              <w:jc w:val="left"/>
            </w:pPr>
            <w:r>
              <w:rPr>
                <w:rFonts w:ascii="Calibri" w:hAnsi="Calibri" w:eastAsia="Calibri" w:cs="Calibri"/>
                <w:sz w:val="17"/>
              </w:rPr>
              <w:t xml:space="preserve">Block</w:t>
            </w:r>
            <w:r>
              <w:rPr>
                <w:rFonts w:ascii="Calibri" w:hAnsi="Calibri" w:eastAsia="Calibri" w:cs="Calibri"/>
                <w:sz w:val="17"/>
              </w:rPr>
              <w:t xml:space="preserve"> </w:t>
            </w:r>
            <w:r>
              <w:rPr>
                <w:rFonts w:ascii="Calibri" w:hAnsi="Calibri" w:eastAsia="Calibri" w:cs="Calibri"/>
                <w:i/>
                <w:iCs/>
                <w:sz w:val="17"/>
              </w:rPr>
              <w:t xml:space="preserve">B</w:t>
            </w:r>
            <w:r>
              <w:rPr>
                <w:rFonts w:ascii="Calibri" w:hAnsi="Calibri" w:eastAsia="Calibri" w:cs="Calibri"/>
                <w:sz w:val="17"/>
              </w:rPr>
              <w:t xml:space="preserve">;</w:t>
            </w:r>
            <w:r>
              <w:rPr>
                <w:rFonts w:ascii="Calibri" w:hAnsi="Calibri" w:eastAsia="Calibri" w:cs="Calibri"/>
                <w:sz w:val="17"/>
              </w:rPr>
              <w:t xml:space="preserve"> </w:t>
            </w:r>
            <w:r>
              <w:rPr>
                <w:rFonts w:ascii="Calibri" w:hAnsi="Calibri" w:eastAsia="Calibri" w:cs="Calibri"/>
                <w:i/>
                <w:iCs/>
                <w:sz w:val="17"/>
              </w:rPr>
              <w:t xml:space="preserve">σ</w:t>
            </w:r>
            <w:r>
              <w:rPr>
                <w:rFonts w:ascii="Calibri" w:hAnsi="Calibri" w:eastAsia="Calibri" w:cs="Calibri"/>
                <w:i/>
                <w:iCs/>
                <w:sz w:val="17"/>
                <w:vertAlign w:val="subscript"/>
              </w:rPr>
              <w:t xml:space="preserve">θ</w:t>
            </w:r>
            <w:r>
              <w:rPr>
                <w:rFonts w:ascii="Calibri" w:hAnsi="Calibri" w:eastAsia="Calibri" w:cs="Calibri"/>
                <w:sz w:val="17"/>
              </w:rPr>
              <w:t xml:space="preserve">; parent decay</w:t>
            </w:r>
          </w:p>
        </w:tc>
        <w:tc>
          <w:tcPr>
            <w:tcW w:type="dxa" w:w="2995"/>
          </w:tcPr>
          <w:p>
            <w:pPr>
              <w:pStyle w:val="Compact"/>
              <w:keepNext/>
              <w:spacing w:after="20" w:before="20" w:line="240" w:lineRule="auto"/>
              <w:jc w:val="left"/>
            </w:pPr>
            <w:r>
              <w:rPr>
                <w:rFonts w:ascii="Calibri" w:hAnsi="Calibri" w:eastAsia="Calibri" w:cs="Calibri"/>
                <w:sz w:val="17"/>
              </w:rPr>
              <w:t xml:space="preserve">50 trials; 0.10; 0.2</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Lesion</w:t>
            </w:r>
          </w:p>
        </w:tc>
        <w:tc>
          <w:tcPr>
            <w:tcW w:type="dxa" w:w="4867"/>
          </w:tcPr>
          <w:p>
            <w:pPr>
              <w:pStyle w:val="Compact"/>
              <w:keepNext/>
              <w:spacing w:after="20" w:before="20" w:line="240" w:lineRule="auto"/>
              <w:jc w:val="left"/>
            </w:pPr>
            <w:r>
              <w:rPr>
                <w:rFonts w:ascii="Calibri" w:hAnsi="Calibri" w:eastAsia="Calibri" w:cs="Calibri"/>
                <w:sz w:val="17"/>
              </w:rPr>
              <w:t xml:space="preserve">Trial; fraction of edges</w:t>
            </w:r>
          </w:p>
        </w:tc>
        <w:tc>
          <w:tcPr>
            <w:tcW w:type="dxa" w:w="2995"/>
          </w:tcPr>
          <w:p>
            <w:pPr>
              <w:pStyle w:val="Compact"/>
              <w:keepNext/>
              <w:spacing w:after="20" w:before="20" w:line="240" w:lineRule="auto"/>
              <w:jc w:val="left"/>
            </w:pPr>
            <w:r>
              <w:rPr>
                <w:rFonts w:ascii="Calibri" w:hAnsi="Calibri" w:eastAsia="Calibri" w:cs="Calibri"/>
                <w:sz w:val="17"/>
              </w:rPr>
              <w:t xml:space="preserve">2,500; 0.5</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Null</w:t>
            </w:r>
          </w:p>
        </w:tc>
        <w:tc>
          <w:tcPr>
            <w:tcW w:type="dxa" w:w="4867"/>
          </w:tcPr>
          <w:p>
            <w:pPr>
              <w:pStyle w:val="Compact"/>
              <w:keepNext/>
              <w:spacing w:after="20" w:before="20" w:line="240" w:lineRule="auto"/>
              <w:jc w:val="left"/>
            </w:pPr>
            <w:r>
              <w:rPr>
                <w:rFonts w:ascii="Calibri" w:hAnsi="Calibri" w:eastAsia="Calibri" w:cs="Calibri"/>
                <w:sz w:val="17"/>
              </w:rPr>
              <w:t xml:space="preserve">Windows × surrogates; minimum lag</w:t>
            </w:r>
            <w:r>
              <w:rPr>
                <w:rFonts w:ascii="Calibri" w:hAnsi="Calibri" w:eastAsia="Calibri" w:cs="Calibri"/>
                <w:sz w:val="17"/>
              </w:rPr>
              <w:t xml:space="preserve"> </w:t>
            </w:r>
            <w:r>
              <w:rPr>
                <w:rFonts w:ascii="Calibri" w:hAnsi="Calibri" w:eastAsia="Calibri" w:cs="Calibri"/>
                <w:i/>
                <w:iCs/>
                <w:sz w:val="17"/>
              </w:rPr>
              <w:t xml:space="preserve">m</w:t>
            </w:r>
            <w:r>
              <w:rPr>
                <w:rFonts w:ascii="Calibri" w:hAnsi="Calibri" w:eastAsia="Calibri" w:cs="Calibri"/>
                <w:sz w:val="17"/>
                <w:vertAlign w:val="subscript"/>
              </w:rPr>
              <w:t xml:space="preserve">0</w:t>
            </w:r>
          </w:p>
        </w:tc>
        <w:tc>
          <w:tcPr>
            <w:tcW w:type="dxa" w:w="2995"/>
          </w:tcPr>
          <w:p>
            <w:pPr>
              <w:pStyle w:val="Compact"/>
              <w:keepNext/>
              <w:spacing w:after="20" w:before="20" w:line="240" w:lineRule="auto"/>
              <w:jc w:val="left"/>
            </w:pPr>
            <w:r>
              <w:rPr>
                <w:rFonts w:ascii="Calibri" w:hAnsi="Calibri" w:eastAsia="Calibri" w:cs="Calibri"/>
                <w:sz w:val="17"/>
              </w:rPr>
              <w:t xml:space="preserve">100 × 20; 14 ticks</w:t>
            </w:r>
          </w:p>
        </w:tc>
      </w:tr>
      <w:tr>
        <w:trPr>
          <w:cantSplit/>
        </w:trPr>
        <w:tc>
          <w:tcPr>
            <w:tcW w:type="dxa" w:w="1497"/>
          </w:tcPr>
          <w:p>
            <w:pPr>
              <w:pStyle w:val="Compact"/>
              <w:keepNext/>
              <w:spacing w:after="20" w:before="20" w:line="240" w:lineRule="auto"/>
              <w:jc w:val="left"/>
            </w:pPr>
            <w:r>
              <w:rPr>
                <w:rFonts w:ascii="Calibri" w:hAnsi="Calibri" w:eastAsia="Calibri" w:cs="Calibri"/>
                <w:sz w:val="17"/>
              </w:rPr>
              <w:t xml:space="preserve">LSTM</w:t>
            </w:r>
          </w:p>
        </w:tc>
        <w:tc>
          <w:tcPr>
            <w:tcW w:type="dxa" w:w="4867"/>
          </w:tcPr>
          <w:p>
            <w:pPr>
              <w:pStyle w:val="Compact"/>
              <w:keepNext/>
              <w:spacing w:after="20" w:before="20" w:line="240" w:lineRule="auto"/>
              <w:jc w:val="left"/>
            </w:pPr>
            <w:r>
              <w:rPr>
                <w:rFonts w:ascii="Calibri" w:hAnsi="Calibri" w:eastAsia="Calibri" w:cs="Calibri"/>
                <w:sz w:val="17"/>
              </w:rPr>
              <w:t xml:space="preserve">Hidden units; Adam learning rate; EWC</w:t>
            </w:r>
            <w:r>
              <w:rPr>
                <w:rFonts w:ascii="Calibri" w:hAnsi="Calibri" w:eastAsia="Calibri" w:cs="Calibri"/>
                <w:sz w:val="17"/>
              </w:rPr>
              <w:t xml:space="preserve"> </w:t>
            </w:r>
            <w:r>
              <w:rPr>
                <w:rFonts w:ascii="Calibri" w:hAnsi="Calibri" w:eastAsia="Calibri" w:cs="Calibri"/>
                <w:i/>
                <w:iCs/>
                <w:sz w:val="17"/>
              </w:rPr>
              <w:t xml:space="preserve">λ</w:t>
            </w:r>
          </w:p>
        </w:tc>
        <w:tc>
          <w:tcPr>
            <w:tcW w:type="dxa" w:w="2995"/>
          </w:tcPr>
          <w:p>
            <w:pPr>
              <w:pStyle w:val="Compact"/>
              <w:keepNext/>
              <w:spacing w:after="20" w:before="20" w:line="240" w:lineRule="auto"/>
              <w:jc w:val="left"/>
            </w:pPr>
            <w:r>
              <w:rPr>
                <w:rFonts w:ascii="Calibri" w:hAnsi="Calibri" w:eastAsia="Calibri" w:cs="Calibri"/>
                <w:sz w:val="17"/>
              </w:rPr>
              <w:t xml:space="preserve">16; 0.01; {10, 100, 1,000}</w:t>
            </w:r>
          </w:p>
        </w:tc>
      </w:tr>
      <w:tr>
        <w:trPr>
          <w:cantSplit/>
        </w:trPr>
        <w:tc>
          <w:tcPr>
            <w:tcW w:type="dxa" w:w="1497"/>
          </w:tcPr>
          <w:p>
            <w:pPr>
              <w:pStyle w:val="Compact"/>
              <w:spacing w:after="20" w:before="20" w:line="240" w:lineRule="auto"/>
              <w:jc w:val="left"/>
            </w:pPr>
            <w:r>
              <w:rPr>
                <w:rFonts w:ascii="Calibri" w:hAnsi="Calibri" w:eastAsia="Calibri" w:cs="Calibri"/>
                <w:sz w:val="17"/>
              </w:rPr>
              <w:t xml:space="preserve">Seeds</w:t>
            </w:r>
          </w:p>
        </w:tc>
        <w:tc>
          <w:tcPr>
            <w:tcW w:type="dxa" w:w="4867"/>
          </w:tcPr>
          <w:p>
            <w:pPr>
              <w:pStyle w:val="Compact"/>
              <w:spacing w:after="20" w:before="20" w:line="240" w:lineRule="auto"/>
              <w:jc w:val="left"/>
            </w:pPr>
            <w:r>
              <w:rPr>
                <w:rFonts w:ascii="Calibri" w:hAnsi="Calibri" w:eastAsia="Calibri" w:cs="Calibri"/>
                <w:sz w:val="17"/>
              </w:rPr>
              <w:t xml:space="preserve">Confirmatory; tuning</w:t>
            </w:r>
          </w:p>
        </w:tc>
        <w:tc>
          <w:tcPr>
            <w:tcW w:type="dxa" w:w="2995"/>
          </w:tcPr>
          <w:p>
            <w:pPr>
              <w:pStyle w:val="Compact"/>
              <w:spacing w:after="20" w:before="20" w:line="240" w:lineRule="auto"/>
              <w:jc w:val="left"/>
            </w:pPr>
            <w:r>
              <w:rPr>
                <w:rFonts w:ascii="Calibri" w:hAnsi="Calibri" w:eastAsia="Calibri" w:cs="Calibri"/>
                <w:sz w:val="17"/>
              </w:rPr>
              <w:t xml:space="preserve">1–30; 1001–1005</w:t>
            </w:r>
          </w:p>
        </w:tc>
      </w:tr>
    </w:tbl>
    <w:bookmarkEnd w:id="27"/>
    <w:bookmarkStart w:id="28" w:name="baselines-and-ablations"/>
    <w:p>
      <w:pPr>
        <w:pStyle w:val="Heading2"/>
      </w:pPr>
      <w:r>
        <w:t xml:space="preserve">Baselines and ablations</w:t>
      </w:r>
    </w:p>
    <w:p>
      <w:pPr>
        <w:pStyle w:val="FirstParagraph"/>
      </w:pPr>
      <w:r>
        <w:t xml:space="preserve">The LSTM baselines have 16 hidden units and are trained online with Adam (learning rate 0.01) on the same binned input streams; the lesion masks 50% of the entries of every weight matrix, after which online training continues. The EWC variant adds a quadratic penalty weighted by the diagonal Fisher information, estimated over 200 trials at the end of each block</w:t>
      </w:r>
      <w:r>
        <w:rPr>
          <w:vertAlign w:val="superscript"/>
        </w:rPr>
        <w:t xml:space="preserve">4</w:t>
      </w:r>
      <w:r>
        <w:t xml:space="preserve">, with strength</w:t>
      </w:r>
      <w:r>
        <w:t xml:space="preserve"> </w:t>
      </w:r>
      <w:r>
        <w:rPr>
          <w:i/>
          <w:iCs/>
        </w:rPr>
        <w:t xml:space="preserve">λ</w:t>
      </w:r>
      <w:r>
        <w:t xml:space="preserve"> </w:t>
      </w:r>
      <w:r>
        <w:t xml:space="preserve">chosen from {10, 100, 1,000} on tuning seeds. Yoked random rewiring replays TRI’s schedule of operation types and trials from the same seed on random admissible targets; random-time triggering draws the same number of trigger trials uniformly from the post-calibration period; performance-triggered regeneration fires when the error rate over the preceding 20 trials exceeds its calibration mean by three standard deviations. Each seed spawns independent random streams for the input sequence, the lesion, module noise, initial thresholds, threshold proposals, controller randomness, surrogates and LSTM initialization, so that all arms of a seed receive identical inputs, noise and lesioned edges.</w:t>
      </w:r>
    </w:p>
    <w:bookmarkEnd w:id="28"/>
    <w:bookmarkStart w:id="29" w:name="endpoints"/>
    <w:p>
      <w:pPr>
        <w:pStyle w:val="Heading2"/>
      </w:pPr>
      <w:r>
        <w:t xml:space="preserve">Endpoints</w:t>
      </w:r>
    </w:p>
    <w:p>
      <w:pPr>
        <w:pStyle w:val="FirstParagraph"/>
      </w:pPr>
      <w:r>
        <w:t xml:space="preserve">The primary endpoint for arm</w:t>
      </w:r>
      <w:r>
        <w:t xml:space="preserve"> </w:t>
      </w:r>
      <w:r>
        <w:rPr>
          <w:i/>
          <w:iCs/>
        </w:rPr>
        <w:t xml:space="preserve">X</w:t>
      </w:r>
      <w:r>
        <w:t xml:space="preserve"> </w:t>
      </w:r>
      <w:r>
        <w:t xml:space="preserve">and seed</w:t>
      </w:r>
      <w:r>
        <w:t xml:space="preserve"> </w:t>
      </w:r>
      <w:r>
        <w:rPr>
          <w:i/>
          <w:iCs/>
        </w:rPr>
        <w:t xml:space="preserve">s</w:t>
      </w:r>
      <w:r>
        <w:t xml:space="preserve">, and the paired contrast between arms</w:t>
      </w:r>
      <w:r>
        <w:t xml:space="preserve"> </w:t>
      </w:r>
      <w:r>
        <w:rPr>
          <w:i/>
          <w:iCs/>
        </w:rPr>
        <w:t xml:space="preserve">X</w:t>
      </w:r>
      <w:r>
        <w:t xml:space="preserve"> </w:t>
      </w:r>
      <w:r>
        <w:t xml:space="preserve">and</w:t>
      </w:r>
      <w:r>
        <w:t xml:space="preserve"> </w:t>
      </w:r>
      <w:r>
        <w:rPr>
          <w:i/>
          <w:iCs/>
        </w:rPr>
        <w:t xml:space="preserve">Y</w:t>
      </w:r>
      <w:r>
        <w:t xml:space="preserve">, are</w:t>
      </w:r>
    </w:p>
    <w:tbl>
      <w:tblPr>
        <w:tblW w:type="auto" w:w="0"/>
        <w:tblLook w:firstColumn="1" w:firstRow="1" w:lastColumn="0" w:lastRow="0" w:noHBand="0" w:noVBand="1" w:val="04A0"/>
        <w:tblBorders>
          <w:top w:val="nil"/>
          <w:left w:val="nil"/>
          <w:bottom w:val="nil"/>
          <w:right w:val="nil"/>
          <w:insideH w:val="nil"/>
          <w:insideV w:val="nil"/>
        </w:tblBorders>
        <w:tblLayout w:type="fixed"/>
      </w:tblPr>
      <w:tblGrid>
        <w:gridCol w:w="8611"/>
        <w:gridCol w:w="748"/>
      </w:tblGrid>
      <w:tr>
        <w:trPr>
          <w:cantSplit/>
        </w:trPr>
        <w:tc>
          <w:tcPr>
            <w:tcW w:type="dxa" w:w="8611"/>
            <w:vAlign w:val="center"/>
          </w:tcPr>
          <w:p>
            <w:pPr>
              <w:pStyle w:val="BodyText"/>
              <w:keepLines/>
              <w:spacing w:before="40" w:after="40"/>
            </w:pPr>
            <m:oMathPara>
              <m:oMathParaPr>
                <m:jc m:val="center"/>
              </m:oMathParaPr>
              <m:oMath>
                <m:sSub>
                  <m:e>
                    <m:r>
                      <m:t>A</m:t>
                    </m:r>
                  </m:e>
                  <m:sub>
                    <m:r>
                      <m:rPr>
                        <m:nor/>
                        <m:sty m:val="p"/>
                      </m:rPr>
                      <m:t>post</m:t>
                    </m:r>
                  </m:sub>
                </m:sSub>
                <m:r>
                  <m:rPr>
                    <m:sty m:val="p"/>
                  </m:rPr>
                  <m:t>=</m:t>
                </m:r>
                <m:f>
                  <m:fPr>
                    <m:type m:val="bar"/>
                  </m:fPr>
                  <m:num>
                    <m:r>
                      <m:t>1</m:t>
                    </m:r>
                  </m:num>
                  <m:den>
                    <m:r>
                      <m:t>1500</m:t>
                    </m:r>
                  </m:den>
                </m:f>
                <m:nary>
                  <m:naryPr>
                    <m:chr m:val="∑"/>
                    <m:limLoc m:val="undOvr"/>
                    <m:subHide m:val="off"/>
                    <m:supHide m:val="off"/>
                  </m:naryPr>
                  <m:sub>
                    <m:r>
                      <m:t>n</m:t>
                    </m:r>
                    <m:r>
                      <m:rPr>
                        <m:sty m:val="p"/>
                      </m:rPr>
                      <m:t>=</m:t>
                    </m:r>
                    <m:sSub>
                      <m:e>
                        <m:r>
                          <m:t>t</m:t>
                        </m:r>
                      </m:e>
                      <m:sub>
                        <m:r>
                          <m:t>L</m:t>
                        </m:r>
                      </m:sub>
                    </m:sSub>
                  </m:sub>
                  <m:sup>
                    <m:sSub>
                      <m:e>
                        <m:r>
                          <m:t>t</m:t>
                        </m:r>
                      </m:e>
                      <m:sub>
                        <m:r>
                          <m:t>L</m:t>
                        </m:r>
                      </m:sub>
                    </m:sSub>
                    <m:r>
                      <m:rPr>
                        <m:sty m:val="p"/>
                      </m:rPr>
                      <m:t>+</m:t>
                    </m:r>
                    <m:r>
                      <m:t>1499</m:t>
                    </m:r>
                  </m:sup>
                  <m:e>
                    <m:r>
                      <m:rPr>
                        <m:scr m:val="double-struck"/>
                        <m:sty m:val="p"/>
                      </m:rPr>
                      <m:t>1</m:t>
                    </m:r>
                  </m:e>
                </m:nary>
                <m:d>
                  <m:dPr>
                    <m:begChr m:val="["/>
                    <m:sepChr m:val=""/>
                    <m:endChr m:val="]"/>
                    <m:grow/>
                  </m:dPr>
                  <m:e>
                    <m:sSub>
                      <m:e>
                        <m:acc>
                          <m:accPr>
                            <m:chr m:val="̂"/>
                          </m:accPr>
                          <m:e>
                            <m:r>
                              <m:t>y</m:t>
                            </m:r>
                          </m:e>
                        </m:acc>
                      </m:e>
                      <m:sub>
                        <m:r>
                          <m:t>n</m:t>
                        </m:r>
                      </m:sub>
                    </m:sSub>
                    <m:r>
                      <m:rPr>
                        <m:sty m:val="p"/>
                      </m:rPr>
                      <m:t>=</m:t>
                    </m:r>
                    <m:sSub>
                      <m:e>
                        <m:r>
                          <m:t>y</m:t>
                        </m:r>
                      </m:e>
                      <m:sub>
                        <m:r>
                          <m:t>n</m:t>
                        </m:r>
                      </m:sub>
                    </m:sSub>
                  </m:e>
                </m:d>
                <m:r>
                  <m:rPr>
                    <m:sty m:val="p"/>
                  </m:rPr>
                  <m:t>,</m:t>
                </m:r>
                <m:r>
                  <m:rPr>
                    <m:nor/>
                  </m:rPr>
                  <m:t>    </m:t>
                </m:r>
                <m:sSub>
                  <m:e>
                    <m:acc>
                      <m:accPr>
                        <m:chr m:val="̂"/>
                      </m:accPr>
                      <m:e>
                        <m:r>
                          <m:rPr>
                            <m:sty m:val="p"/>
                          </m:rPr>
                          <m:t>Δ</m:t>
                        </m:r>
                      </m:e>
                    </m:acc>
                  </m:e>
                  <m:sub>
                    <m:r>
                      <m:t>X</m:t>
                    </m:r>
                    <m:r>
                      <m:t>Y</m:t>
                    </m:r>
                  </m:sub>
                </m:sSub>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d>
                      <m:dPr>
                        <m:begChr m:val="("/>
                        <m:sepChr m:val=""/>
                        <m:endChr m:val=")"/>
                        <m:grow/>
                      </m:dPr>
                      <m:e>
                        <m:sSubSup>
                          <m:e>
                            <m:r>
                              <m:t>A</m:t>
                            </m:r>
                          </m:e>
                          <m:sub>
                            <m:r>
                              <m:rPr>
                                <m:nor/>
                                <m:sty m:val="p"/>
                              </m:rPr>
                              <m:t>post</m:t>
                            </m:r>
                            <m:r>
                              <m:rPr>
                                <m:sty m:val="p"/>
                              </m:rPr>
                              <m:t>,</m:t>
                            </m:r>
                            <m:r>
                              <m:t>s</m:t>
                            </m:r>
                          </m:sub>
                          <m:sup>
                            <m:r>
                              <m:t>X</m:t>
                            </m:r>
                          </m:sup>
                        </m:sSubSup>
                        <m:r>
                          <m:rPr>
                            <m:sty m:val="p"/>
                          </m:rPr>
                          <m:t>−</m:t>
                        </m:r>
                        <m:sSubSup>
                          <m:e>
                            <m:r>
                              <m:t>A</m:t>
                            </m:r>
                          </m:e>
                          <m:sub>
                            <m:r>
                              <m:rPr>
                                <m:nor/>
                                <m:sty m:val="p"/>
                              </m:rPr>
                              <m:t>post</m:t>
                            </m:r>
                            <m:r>
                              <m:rPr>
                                <m:sty m:val="p"/>
                              </m:rPr>
                              <m:t>,</m:t>
                            </m:r>
                            <m:r>
                              <m:t>s</m:t>
                            </m:r>
                          </m:sub>
                          <m:sup>
                            <m:r>
                              <m:t>Y</m:t>
                            </m:r>
                          </m:sup>
                        </m:sSubSup>
                      </m:e>
                    </m:d>
                  </m:e>
                </m:nary>
              </m:oMath>
            </m:oMathPara>
          </w:p>
        </w:tc>
        <w:tc>
          <w:tcPr>
            <w:tcW w:type="dxa" w:w="748"/>
            <w:vAlign w:val="center"/>
          </w:tcPr>
          <w:p>
            <w:pPr>
              <w:jc w:val="right"/>
            </w:pPr>
            <w:r>
              <w:rPr>
                <w:rFonts w:ascii="Georgia" w:hAnsi="Georgia" w:eastAsia="Georgia" w:cs="Georgia"/>
                <w:sz w:val="21"/>
              </w:rPr>
              <w:t>(16)</w:t>
            </w:r>
          </w:p>
        </w:tc>
      </w:tr>
    </w:tbl>
    <w:p>
      <w:pPr>
        <w:pStyle w:val="BodyText"/>
      </w:pPr>
      <w:r>
        <w:t xml:space="preserve">where</w:t>
      </w:r>
      <w:r>
        <w:t xml:space="preserve"> </w:t>
      </w:r>
      <w:r>
        <w:rPr>
          <w:i/>
          <w:iCs/>
        </w:rPr>
        <w:t xml:space="preserve">t</w:t>
      </w:r>
      <w:r>
        <w:rPr>
          <w:vertAlign w:val="subscript"/>
        </w:rPr>
        <w:t xml:space="preserve">L</w:t>
      </w:r>
      <w:r>
        <w:t xml:space="preserve"> </w:t>
      </w:r>
      <w:r>
        <w:t xml:space="preserve">is the lesion trial. Secondary endpoints are recovery time (the first trial at which the 50-trial moving accuracy reaches 90% of the pre-lesion mean, censored at 1,500 trials), detection latency (the first trigger after the lesion), false alarms per 1,000 trials between calibration and lesion, the return time of</w:t>
      </w:r>
      <w:r>
        <w:t xml:space="preserve"> </w:t>
      </w:r>
      <w:r>
        <w:rPr>
          <w:i/>
          <w:iCs/>
        </w:rPr>
        <w:t xml:space="preserve">τ</w:t>
      </w:r>
      <w:r>
        <w:rPr>
          <w:vertAlign w:val="subscript"/>
        </w:rPr>
        <w:t xml:space="preserve">s</w:t>
      </w:r>
      <w:r>
        <w:t xml:space="preserve"> </w:t>
      </w:r>
      <w:r>
        <w:t xml:space="preserve">(the first run of ten consecutive trials inside the band), the number of structural operations, final graph size and post-lesion computational cost. Cost is counted as synaptic events, module updates and</w:t>
      </w:r>
      <w:r>
        <w:t xml:space="preserve"> </w:t>
      </w:r>
      <w:r>
        <w:rPr>
          <w:i/>
          <w:iCs/>
        </w:rPr>
        <w:t xml:space="preserve">τ</w:t>
      </w:r>
      <w:r>
        <w:rPr>
          <w:vertAlign w:val="subscript"/>
        </w:rPr>
        <w:t xml:space="preserve">s</w:t>
      </w:r>
      <w:r>
        <w:t xml:space="preserve"> </w:t>
      </w:r>
      <w:r>
        <w:t xml:space="preserve">pair operations for event-driven arms and as multiply–accumulate operations for the LSTMs. In E2, adaptation is the accuracy over the first 200 trials after each switch, and retention the accuracy over the first 200 trials after each return to the original code.</w:t>
      </w:r>
    </w:p>
    <w:bookmarkEnd w:id="29"/>
    <w:bookmarkStart w:id="30" w:name="statistical-analysis"/>
    <w:p>
      <w:pPr>
        <w:pStyle w:val="Heading2"/>
      </w:pPr>
      <w:r>
        <w:t xml:space="preserve">Statistical analysis</w:t>
      </w:r>
    </w:p>
    <w:p>
      <w:pPr>
        <w:pStyle w:val="FirstParagraph"/>
      </w:pPr>
      <w:r>
        <w:t xml:space="preserve">The seed is the unit of analysis, with</w:t>
      </w:r>
      <w:r>
        <w:t xml:space="preserve"> </w:t>
      </w:r>
      <w:r>
        <w:rPr>
          <w:i/>
          <w:iCs/>
        </w:rPr>
        <w:t xml:space="preserve">S</w:t>
      </w:r>
      <w:r>
        <w:t xml:space="preserve"> </w:t>
      </w:r>
      <w:r>
        <w:t xml:space="preserve">= 30 confirmatory seeds (1–30) and arms paired by seed; tuning seeds (1001–1005) are never used in confirmatory analyses. For each contrast we report the mean paired difference, its 95% bias-corrected and accelerated bootstrap interval from 10,000 resamples</w:t>
      </w:r>
      <w:r>
        <w:rPr>
          <w:vertAlign w:val="superscript"/>
        </w:rPr>
        <w:t xml:space="preserve">29</w:t>
      </w:r>
      <w:r>
        <w:t xml:space="preserve">, the standardized effect</w:t>
      </w:r>
      <w:r>
        <w:t xml:space="preserve"> </w:t>
      </w:r>
      <w:r>
        <w:rPr>
          <w:i/>
          <w:iCs/>
        </w:rPr>
        <w:t xml:space="preserve">d</w:t>
      </w:r>
      <w:r>
        <w:rPr>
          <w:vertAlign w:val="subscript"/>
        </w:rPr>
        <w:t xml:space="preserve">z</w:t>
      </w:r>
      <w:r>
        <w:t xml:space="preserve"> </w:t>
      </w:r>
      <w:r>
        <w:t xml:space="preserve">and a two-sided Wilcoxon signed-rank test with Holm correction across the four primary contrasts. The smallest effect size of interest is 0.05 in accuracy. With 30 paired seeds, a paired test has 80% power for</w:t>
      </w:r>
      <w:r>
        <w:t xml:space="preserve"> </w:t>
      </w:r>
      <w:r>
        <w:rPr>
          <w:i/>
          <w:iCs/>
        </w:rPr>
        <w:t xml:space="preserve">d</w:t>
      </w:r>
      <w:r>
        <w:rPr>
          <w:vertAlign w:val="subscript"/>
        </w:rPr>
        <w:t xml:space="preserve">z</w:t>
      </w:r>
      <w:r>
        <w:t xml:space="preserve"> </w:t>
      </w:r>
      <w:r>
        <w:t xml:space="preserve">≈ 0.53 at</w:t>
      </w:r>
      <w:r>
        <w:t xml:space="preserve"> </w:t>
      </w:r>
      <w:r>
        <w:rPr>
          <w:i/>
          <w:iCs/>
        </w:rPr>
        <w:t xml:space="preserve">α</w:t>
      </w:r>
      <w:r>
        <w:t xml:space="preserve"> </w:t>
      </w:r>
      <w:r>
        <w:t xml:space="preserve">= 0.05 and for</w:t>
      </w:r>
      <w:r>
        <w:t xml:space="preserve"> </w:t>
      </w:r>
      <w:r>
        <w:rPr>
          <w:i/>
          <w:iCs/>
        </w:rPr>
        <w:t xml:space="preserve">d</w:t>
      </w:r>
      <w:r>
        <w:rPr>
          <w:vertAlign w:val="subscript"/>
        </w:rPr>
        <w:t xml:space="preserve">z</w:t>
      </w:r>
      <w:r>
        <w:t xml:space="preserve"> </w:t>
      </w:r>
      <w:r>
        <w:t xml:space="preserve">≈ 0.65 at</w:t>
      </w:r>
      <w:r>
        <w:t xml:space="preserve"> </w:t>
      </w:r>
      <w:r>
        <w:rPr>
          <w:i/>
          <w:iCs/>
        </w:rPr>
        <w:t xml:space="preserve">α</w:t>
      </w:r>
      <w:r>
        <w:t xml:space="preserve"> </w:t>
      </w:r>
      <w:r>
        <w:t xml:space="preserve">= 0.0125, the strictest Holm step, using the paired</w:t>
      </w:r>
      <w:r>
        <w:t xml:space="preserve"> </w:t>
      </w:r>
      <w:r>
        <w:rPr>
          <w:i/>
          <w:iCs/>
        </w:rPr>
        <w:t xml:space="preserve">t</w:t>
      </w:r>
      <w:r>
        <w:t xml:space="preserve">-test as an approximation to the Wilcoxon test. Superiority is declared when the lower 95% bound exceeds +0.05, equivalence when the 90% interval lies within ±0.05 (two one-sided tests), and non-inferiority of TRI relative to performance-triggered repair when the lower 95% bound exceeds −0.05. All seeds are analysed; a sensitivity analysis is restricted to seeds whose pre-lesion accuracy without regeneration is at least 0.8.</w:t>
      </w:r>
    </w:p>
    <w:bookmarkEnd w:id="30"/>
    <w:bookmarkStart w:id="31" w:name="window-design-check-and-falsification"/>
    <w:p>
      <w:pPr>
        <w:pStyle w:val="Heading2"/>
      </w:pPr>
      <w:r>
        <w:t xml:space="preserve">Window design check and falsification</w:t>
      </w:r>
    </w:p>
    <w:p>
      <w:pPr>
        <w:pStyle w:val="FirstParagraph"/>
      </w:pPr>
      <w:r>
        <w:t xml:space="preserve">Before any confirmatory run, and using tuning seeds and pre-lesion data only, candidate pairs of window and bin width (</w:t>
      </w:r>
      <w:r>
        <w:rPr>
          <w:i/>
          <w:iCs/>
        </w:rPr>
        <w:t xml:space="preserve">W</w:t>
      </w:r>
      <w:r>
        <w:t xml:space="preserve">,</w:t>
      </w:r>
      <w:r>
        <w:t xml:space="preserve"> </w:t>
      </w:r>
      <w:r>
        <w:rPr>
          <w:i/>
          <w:iCs/>
        </w:rPr>
        <w:t xml:space="preserve">b</w:t>
      </w:r>
      <w:r>
        <w:t xml:space="preserve">) are evaluated in the fixed order (140, 1), (280, 1), (280, 2), (560, 7), (700, 14), (1400, 14). The first pair for which the calibration mean of</w:t>
      </w:r>
      <w:r>
        <w:t xml:space="preserve"> </w:t>
      </w:r>
      <w:r>
        <w:rPr>
          <w:i/>
          <w:iCs/>
        </w:rPr>
        <w:t xml:space="preserve">τ</w:t>
      </w:r>
      <w:r>
        <w:rPr>
          <w:vertAlign w:val="subscript"/>
        </w:rPr>
        <w:t xml:space="preserve">s</w:t>
      </w:r>
      <w:r>
        <w:t xml:space="preserve"> </w:t>
      </w:r>
      <w:r>
        <w:t xml:space="preserve">in the intact network lies outside the central 95% interval of its circular-shift null in at least 80% of tuning seeds is adopted; the same step selects the EWC strength, and both choices are written to a file that the confirmatory run reads. Targeting (F1) and timing (F2) are refuted when the 90% interval of the corresponding contrast lies within ±0.05 or its upper 95% bound falls below zero; label-free triggering (F3) is refuted when the lower 95% bound of TRI minus performance-triggered repair is at or below −0.05; regeneration (F4) is refuted when the 95% interval of TRI minus no regeneration includes or lies below zero; and detection (F6) is refuted when</w:t>
      </w:r>
      <w:r>
        <w:t xml:space="preserve"> </w:t>
      </w:r>
      <w:r>
        <w:rPr>
          <w:i/>
          <w:iCs/>
        </w:rPr>
        <w:t xml:space="preserve">τ</w:t>
      </w:r>
      <w:r>
        <w:rPr>
          <w:vertAlign w:val="subscript"/>
        </w:rPr>
        <w:t xml:space="preserve">s</w:t>
      </w:r>
      <w:r>
        <w:t xml:space="preserve"> </w:t>
      </w:r>
      <w:r>
        <w:t xml:space="preserve">leaves its band within 50 trials of the lesion in fewer than half of the seeds. If no candidate window passes the design check, or if in confirmatory runs the baseline</w:t>
      </w:r>
      <w:r>
        <w:t xml:space="preserve"> </w:t>
      </w:r>
      <w:r>
        <w:rPr>
          <w:i/>
          <w:iCs/>
        </w:rPr>
        <w:t xml:space="preserve">τ</w:t>
      </w:r>
      <w:r>
        <w:rPr>
          <w:vertAlign w:val="subscript"/>
        </w:rPr>
        <w:t xml:space="preserve">s</w:t>
      </w:r>
      <w:r>
        <w:t xml:space="preserve"> </w:t>
      </w:r>
      <w:r>
        <w:t xml:space="preserve">lies within its surrogate 95% interval in more than 20% of seeds (F5),</w:t>
      </w:r>
      <w:r>
        <w:t xml:space="preserve"> </w:t>
      </w:r>
      <w:r>
        <w:rPr>
          <w:i/>
          <w:iCs/>
        </w:rPr>
        <w:t xml:space="preserve">τ</w:t>
      </w:r>
      <w:r>
        <w:rPr>
          <w:vertAlign w:val="subscript"/>
        </w:rPr>
        <w:t xml:space="preserve">s</w:t>
      </w:r>
      <w:r>
        <w:t xml:space="preserve"> </w:t>
      </w:r>
      <w:r>
        <w:t xml:space="preserve">is not distinguishable from its null in this network: the</w:t>
      </w:r>
      <w:r>
        <w:t xml:space="preserve"> </w:t>
      </w:r>
      <w:r>
        <w:rPr>
          <w:i/>
          <w:iCs/>
        </w:rPr>
        <w:t xml:space="preserve">τ</w:t>
      </w:r>
      <w:r>
        <w:rPr>
          <w:vertAlign w:val="subscript"/>
        </w:rPr>
        <w:t xml:space="preserve">s</w:t>
      </w:r>
      <w:r>
        <w:t xml:space="preserve">-triggered arms are then uninformative, and only the matrix-triggered arm is interpreted. Joint refutation of targeting and timing refutes the central claim for this task.</w:t>
      </w:r>
    </w:p>
    <w:bookmarkEnd w:id="31"/>
    <w:bookmarkEnd w:id="32"/>
    <w:bookmarkStart w:id="33" w:name="data-and-code-availability"/>
    <w:p>
      <w:pPr>
        <w:pStyle w:val="Heading1"/>
      </w:pPr>
      <w:r>
        <w:t xml:space="preserve">Data and code availability</w:t>
      </w:r>
    </w:p>
    <w:p>
      <w:pPr>
        <w:pStyle w:val="FirstParagraph"/>
      </w:pPr>
      <w:r>
        <w:t xml:space="preserve">No data were generated for this article. The reference implementation, which implements equations (1)–(16), all experimental arms, the window design check and the prespecified analysis, together with the configuration file that fixes every parameter, seed and contrast described here, is openly available and archived on Zenodo alongside this article. Its unit tests check</w:t>
      </w:r>
      <w:r>
        <w:t xml:space="preserve"> </w:t>
      </w:r>
      <w:r>
        <w:rPr>
          <w:i/>
          <w:iCs/>
        </w:rPr>
        <w:t xml:space="preserve">τ</w:t>
      </w:r>
      <w:r>
        <w:rPr>
          <w:vertAlign w:val="subscript"/>
        </w:rPr>
        <w:t xml:space="preserve">b</w:t>
      </w:r>
      <w:r>
        <w:t xml:space="preserve"> </w:t>
      </w:r>
      <w:r>
        <w:t xml:space="preserve">against an independent implementation with ties, the identity</w:t>
      </w:r>
      <w:r>
        <w:t xml:space="preserve"> </w:t>
      </w:r>
      <w:r>
        <w:rPr>
          <w:i/>
          <w:iCs/>
        </w:rPr>
        <w:t xml:space="preserve">τ</w:t>
      </w:r>
      <w:r>
        <w:rPr>
          <w:vertAlign w:val="subscript"/>
        </w:rPr>
        <w:t xml:space="preserve">b</w:t>
      </w:r>
      <w:r>
        <w:t xml:space="preserve"> </w:t>
      </w:r>
      <w:r>
        <w:t xml:space="preserve">=</w:t>
      </w:r>
      <w:r>
        <w:t xml:space="preserve"> </w:t>
      </w:r>
      <w:r>
        <w:rPr>
          <w:i/>
          <w:iCs/>
        </w:rPr>
        <w:t xml:space="preserve">φ</w:t>
      </w:r>
      <w:r>
        <w:t xml:space="preserve"> </w:t>
      </w:r>
      <w:r>
        <w:t xml:space="preserve">for binary streams, the lower bound of</w:t>
      </w:r>
      <w:r>
        <w:t xml:space="preserve"> </w:t>
      </w:r>
      <w:r>
        <w:rPr>
          <w:i/>
          <w:iCs/>
        </w:rPr>
        <w:t xml:space="preserve">τ</w:t>
      </w:r>
      <w:r>
        <w:rPr>
          <w:vertAlign w:val="subscript"/>
        </w:rPr>
        <w:t xml:space="preserve">s</w:t>
      </w:r>
      <w:r>
        <w:t xml:space="preserve"> </w:t>
      </w:r>
      <w:r>
        <w:t xml:space="preserve">and the preservation of marginals by surrogates.</w:t>
      </w:r>
    </w:p>
    <w:bookmarkEnd w:id="33"/>
    <w:bookmarkStart w:id="34" w:name="acknowledgements"/>
    <w:p>
      <w:pPr>
        <w:pStyle w:val="Heading1"/>
      </w:pPr>
      <w:r>
        <w:t xml:space="preserve">Acknowledgements</w:t>
      </w:r>
    </w:p>
    <w:p>
      <w:pPr>
        <w:pStyle w:val="FirstParagraph"/>
      </w:pPr>
      <w:r>
        <w:t xml:space="preserve">Large language model tools (Kimi, Moonshot AI; and others) assisted in drafting and editing the manuscript and the reference implementation; the author verified all content and takes full responsibility for it.</w:t>
      </w:r>
    </w:p>
    <w:bookmarkEnd w:id="34"/>
    <w:bookmarkStart w:id="35" w:name="author-contributions"/>
    <w:p>
      <w:pPr>
        <w:pStyle w:val="Heading1"/>
      </w:pPr>
      <w:r>
        <w:t xml:space="preserve">Author contributions</w:t>
      </w:r>
    </w:p>
    <w:p>
      <w:pPr>
        <w:pStyle w:val="FirstParagraph"/>
      </w:pPr>
      <w:r>
        <w:t xml:space="preserve">J.P.-V. conceived the framework, designed the experiment and wrote the manuscript.</w:t>
      </w:r>
    </w:p>
    <w:bookmarkEnd w:id="35"/>
    <w:bookmarkStart w:id="36" w:name="competing-interests"/>
    <w:p>
      <w:pPr>
        <w:pStyle w:val="Heading1"/>
      </w:pPr>
      <w:r>
        <w:t xml:space="preserve">Competing interests</w:t>
      </w:r>
    </w:p>
    <w:p>
      <w:pPr>
        <w:pStyle w:val="FirstParagraph"/>
      </w:pPr>
      <w:r>
        <w:t xml:space="preserve">The author declares no competing interests.</w:t>
      </w:r>
    </w:p>
    <w:bookmarkEnd w:id="36"/>
    <w:bookmarkStart w:id="110" w:name="references"/>
    <w:p>
      <w:pPr>
        <w:pStyle w:val="Heading1"/>
      </w:pPr>
      <w:r>
        <w:t xml:space="preserve">References</w:t>
      </w:r>
    </w:p>
    <w:bookmarkStart w:id="109" w:name="refs"/>
    <w:bookmarkStart w:id="38" w:name="ref-McCloskey1989"/>
    <w:p>
      <w:pPr>
        <w:pStyle w:val="Bibliography"/>
      </w:pPr>
      <w:r>
        <w:t xml:space="preserve">1.</w:t>
      </w:r>
      <w:r>
        <w:t xml:space="preserve"> </w:t>
      </w:r>
      <w:r>
        <w:t xml:space="preserve">	</w:t>
      </w:r>
      <w:r>
        <w:t xml:space="preserve">McCloskey, M. &amp; Cohen, N. J.</w:t>
      </w:r>
      <w:r>
        <w:t xml:space="preserve"> </w:t>
      </w:r>
      <w:hyperlink r:id="rId37">
        <w:r>
          <w:rPr>
            <w:rStyle w:val="Hyperlink"/>
          </w:rPr>
          <w:t xml:space="preserve">Catastrophic Interference in Connectionist Networks: The Sequential Learning Problem</w:t>
        </w:r>
      </w:hyperlink>
      <w:r>
        <w:t xml:space="preserve">.</w:t>
      </w:r>
      <w:r>
        <w:t xml:space="preserve"> </w:t>
      </w:r>
      <w:r>
        <w:rPr>
          <w:i/>
          <w:iCs/>
        </w:rPr>
        <w:t xml:space="preserve">Psychology of Learning and Motivation</w:t>
      </w:r>
      <w:r>
        <w:t xml:space="preserve"> </w:t>
      </w:r>
      <w:r>
        <w:rPr>
          <w:b/>
          <w:bCs/>
        </w:rPr>
        <w:t xml:space="preserve">24</w:t>
      </w:r>
      <w:r>
        <w:t xml:space="preserve">, 109–165 (1989).</w:t>
      </w:r>
    </w:p>
    <w:bookmarkEnd w:id="38"/>
    <w:bookmarkStart w:id="40" w:name="ref-Ratcliff1990"/>
    <w:p>
      <w:pPr>
        <w:pStyle w:val="Bibliography"/>
      </w:pPr>
      <w:r>
        <w:t xml:space="preserve">2.</w:t>
      </w:r>
      <w:r>
        <w:t xml:space="preserve"> </w:t>
      </w:r>
      <w:r>
        <w:t xml:space="preserve">	</w:t>
      </w:r>
      <w:r>
        <w:t xml:space="preserve">Ratcliff, R.</w:t>
      </w:r>
      <w:r>
        <w:t xml:space="preserve"> </w:t>
      </w:r>
      <w:hyperlink r:id="rId39">
        <w:r>
          <w:rPr>
            <w:rStyle w:val="Hyperlink"/>
          </w:rPr>
          <w:t xml:space="preserve">Connectionist models of recognition memory: Constraints imposed by learning and forgetting functions.</w:t>
        </w:r>
      </w:hyperlink>
      <w:r>
        <w:t xml:space="preserve"> </w:t>
      </w:r>
      <w:r>
        <w:rPr>
          <w:i/>
          <w:iCs/>
        </w:rPr>
        <w:t xml:space="preserve">Psychological Review</w:t>
      </w:r>
      <w:r>
        <w:t xml:space="preserve"> </w:t>
      </w:r>
      <w:r>
        <w:rPr>
          <w:b/>
          <w:bCs/>
        </w:rPr>
        <w:t xml:space="preserve">97</w:t>
      </w:r>
      <w:r>
        <w:t xml:space="preserve">, 285–308 (1990).</w:t>
      </w:r>
    </w:p>
    <w:bookmarkEnd w:id="40"/>
    <w:bookmarkStart w:id="42" w:name="ref-Abraham2005"/>
    <w:p>
      <w:pPr>
        <w:pStyle w:val="Bibliography"/>
      </w:pPr>
      <w:r>
        <w:t xml:space="preserve">3.</w:t>
      </w:r>
      <w:r>
        <w:t xml:space="preserve"> </w:t>
      </w:r>
      <w:r>
        <w:t xml:space="preserve">	</w:t>
      </w:r>
      <w:r>
        <w:t xml:space="preserve">Abraham, W. C. &amp; Robins, A.</w:t>
      </w:r>
      <w:r>
        <w:t xml:space="preserve"> </w:t>
      </w:r>
      <w:hyperlink r:id="rId41">
        <w:r>
          <w:rPr>
            <w:rStyle w:val="Hyperlink"/>
          </w:rPr>
          <w:t xml:space="preserve">Memory retention – the synaptic stability versus plasticity dilemma</w:t>
        </w:r>
      </w:hyperlink>
      <w:r>
        <w:t xml:space="preserve">.</w:t>
      </w:r>
      <w:r>
        <w:t xml:space="preserve"> </w:t>
      </w:r>
      <w:r>
        <w:rPr>
          <w:i/>
          <w:iCs/>
        </w:rPr>
        <w:t xml:space="preserve">Trends in Neurosciences</w:t>
      </w:r>
      <w:r>
        <w:t xml:space="preserve"> </w:t>
      </w:r>
      <w:r>
        <w:rPr>
          <w:b/>
          <w:bCs/>
        </w:rPr>
        <w:t xml:space="preserve">28</w:t>
      </w:r>
      <w:r>
        <w:t xml:space="preserve">, 73–78 (2005).</w:t>
      </w:r>
    </w:p>
    <w:bookmarkEnd w:id="42"/>
    <w:bookmarkStart w:id="44" w:name="ref-Kirkpatrick2017"/>
    <w:p>
      <w:pPr>
        <w:pStyle w:val="Bibliography"/>
      </w:pPr>
      <w:r>
        <w:t xml:space="preserve">4.</w:t>
      </w:r>
      <w:r>
        <w:t xml:space="preserve"> </w:t>
      </w:r>
      <w:r>
        <w:t xml:space="preserve">	</w:t>
      </w:r>
      <w:r>
        <w:t xml:space="preserve">Kirkpatrick, J.</w:t>
      </w:r>
      <w:r>
        <w:t xml:space="preserve"> </w:t>
      </w:r>
      <w:r>
        <w:rPr>
          <w:i/>
          <w:iCs/>
        </w:rPr>
        <w:t xml:space="preserve">et al.</w:t>
      </w:r>
      <w:r>
        <w:t xml:space="preserve"> </w:t>
      </w:r>
      <w:hyperlink r:id="rId43">
        <w:r>
          <w:rPr>
            <w:rStyle w:val="Hyperlink"/>
          </w:rPr>
          <w:t xml:space="preserve">Overcoming catastrophic forgetting in neural networks</w:t>
        </w:r>
      </w:hyperlink>
      <w:r>
        <w:t xml:space="preserve">.</w:t>
      </w:r>
      <w:r>
        <w:t xml:space="preserve"> </w:t>
      </w:r>
      <w:r>
        <w:rPr>
          <w:i/>
          <w:iCs/>
        </w:rPr>
        <w:t xml:space="preserve">Proceedings of the National Academy of Sciences</w:t>
      </w:r>
      <w:r>
        <w:t xml:space="preserve"> </w:t>
      </w:r>
      <w:r>
        <w:rPr>
          <w:b/>
          <w:bCs/>
        </w:rPr>
        <w:t xml:space="preserve">114</w:t>
      </w:r>
      <w:r>
        <w:t xml:space="preserve">, 3521–3526 (2017).</w:t>
      </w:r>
    </w:p>
    <w:bookmarkEnd w:id="44"/>
    <w:bookmarkStart w:id="46" w:name="ref-Parisi2019"/>
    <w:p>
      <w:pPr>
        <w:pStyle w:val="Bibliography"/>
      </w:pPr>
      <w:r>
        <w:t xml:space="preserve">5.</w:t>
      </w:r>
      <w:r>
        <w:t xml:space="preserve"> </w:t>
      </w:r>
      <w:r>
        <w:t xml:space="preserve">	</w:t>
      </w:r>
      <w:r>
        <w:t xml:space="preserve">Parisi, G. I., Kemker, R., Part, J. L., Kanan, C. &amp; Wermter, S.</w:t>
      </w:r>
      <w:r>
        <w:t xml:space="preserve"> </w:t>
      </w:r>
      <w:hyperlink r:id="rId45">
        <w:r>
          <w:rPr>
            <w:rStyle w:val="Hyperlink"/>
          </w:rPr>
          <w:t xml:space="preserve">Continual lifelong learning with neural networks: A review</w:t>
        </w:r>
      </w:hyperlink>
      <w:r>
        <w:t xml:space="preserve">.</w:t>
      </w:r>
      <w:r>
        <w:t xml:space="preserve"> </w:t>
      </w:r>
      <w:r>
        <w:rPr>
          <w:i/>
          <w:iCs/>
        </w:rPr>
        <w:t xml:space="preserve">Neural Networks</w:t>
      </w:r>
      <w:r>
        <w:t xml:space="preserve"> </w:t>
      </w:r>
      <w:r>
        <w:rPr>
          <w:b/>
          <w:bCs/>
        </w:rPr>
        <w:t xml:space="preserve">113</w:t>
      </w:r>
      <w:r>
        <w:t xml:space="preserve">, 54–71 (2019).</w:t>
      </w:r>
    </w:p>
    <w:bookmarkEnd w:id="46"/>
    <w:bookmarkStart w:id="48" w:name="ref-Turrigiano1998"/>
    <w:p>
      <w:pPr>
        <w:pStyle w:val="Bibliography"/>
      </w:pPr>
      <w:r>
        <w:t xml:space="preserve">6.</w:t>
      </w:r>
      <w:r>
        <w:t xml:space="preserve"> </w:t>
      </w:r>
      <w:r>
        <w:t xml:space="preserve">	</w:t>
      </w:r>
      <w:r>
        <w:t xml:space="preserve">Turrigiano, G. G., Leslie, K. R., Desai, N. S., Rutherford, L. C. &amp; Nelson, S. B.</w:t>
      </w:r>
      <w:r>
        <w:t xml:space="preserve"> </w:t>
      </w:r>
      <w:hyperlink r:id="rId47">
        <w:r>
          <w:rPr>
            <w:rStyle w:val="Hyperlink"/>
          </w:rPr>
          <w:t xml:space="preserve">Activity-dependent scaling of quantal amplitude in neocortical neurons</w:t>
        </w:r>
      </w:hyperlink>
      <w:r>
        <w:t xml:space="preserve">.</w:t>
      </w:r>
      <w:r>
        <w:t xml:space="preserve"> </w:t>
      </w:r>
      <w:r>
        <w:rPr>
          <w:i/>
          <w:iCs/>
        </w:rPr>
        <w:t xml:space="preserve">Nature</w:t>
      </w:r>
      <w:r>
        <w:t xml:space="preserve"> </w:t>
      </w:r>
      <w:r>
        <w:rPr>
          <w:b/>
          <w:bCs/>
        </w:rPr>
        <w:t xml:space="preserve">391</w:t>
      </w:r>
      <w:r>
        <w:t xml:space="preserve">, 892–896 (1998).</w:t>
      </w:r>
    </w:p>
    <w:bookmarkEnd w:id="48"/>
    <w:bookmarkStart w:id="50" w:name="ref-Turrigiano2004"/>
    <w:p>
      <w:pPr>
        <w:pStyle w:val="Bibliography"/>
      </w:pPr>
      <w:r>
        <w:t xml:space="preserve">7.</w:t>
      </w:r>
      <w:r>
        <w:t xml:space="preserve"> </w:t>
      </w:r>
      <w:r>
        <w:t xml:space="preserve">	</w:t>
      </w:r>
      <w:r>
        <w:t xml:space="preserve">Turrigiano, G. G. &amp; Nelson, S. B.</w:t>
      </w:r>
      <w:r>
        <w:t xml:space="preserve"> </w:t>
      </w:r>
      <w:hyperlink r:id="rId49">
        <w:r>
          <w:rPr>
            <w:rStyle w:val="Hyperlink"/>
          </w:rPr>
          <w:t xml:space="preserve">Homeostatic plasticity in the developing nervous system</w:t>
        </w:r>
      </w:hyperlink>
      <w:r>
        <w:t xml:space="preserve">.</w:t>
      </w:r>
      <w:r>
        <w:t xml:space="preserve"> </w:t>
      </w:r>
      <w:r>
        <w:rPr>
          <w:i/>
          <w:iCs/>
        </w:rPr>
        <w:t xml:space="preserve">Nature Reviews Neuroscience</w:t>
      </w:r>
      <w:r>
        <w:t xml:space="preserve"> </w:t>
      </w:r>
      <w:r>
        <w:rPr>
          <w:b/>
          <w:bCs/>
        </w:rPr>
        <w:t xml:space="preserve">5</w:t>
      </w:r>
      <w:r>
        <w:t xml:space="preserve">, 97–107 (2004).</w:t>
      </w:r>
    </w:p>
    <w:bookmarkEnd w:id="50"/>
    <w:bookmarkStart w:id="52" w:name="ref-Turrigiano2008"/>
    <w:p>
      <w:pPr>
        <w:pStyle w:val="Bibliography"/>
      </w:pPr>
      <w:r>
        <w:t xml:space="preserve">8.</w:t>
      </w:r>
      <w:r>
        <w:t xml:space="preserve"> </w:t>
      </w:r>
      <w:r>
        <w:t xml:space="preserve">	</w:t>
      </w:r>
      <w:r>
        <w:t xml:space="preserve">Turrigiano, G. G.</w:t>
      </w:r>
      <w:r>
        <w:t xml:space="preserve"> </w:t>
      </w:r>
      <w:hyperlink r:id="rId51">
        <w:r>
          <w:rPr>
            <w:rStyle w:val="Hyperlink"/>
          </w:rPr>
          <w:t xml:space="preserve">The Self-Tuning Neuron: Synaptic Scaling of Excitatory Synapses</w:t>
        </w:r>
      </w:hyperlink>
      <w:r>
        <w:t xml:space="preserve">.</w:t>
      </w:r>
      <w:r>
        <w:t xml:space="preserve"> </w:t>
      </w:r>
      <w:r>
        <w:rPr>
          <w:i/>
          <w:iCs/>
        </w:rPr>
        <w:t xml:space="preserve">Cell</w:t>
      </w:r>
      <w:r>
        <w:t xml:space="preserve"> </w:t>
      </w:r>
      <w:r>
        <w:rPr>
          <w:b/>
          <w:bCs/>
        </w:rPr>
        <w:t xml:space="preserve">135</w:t>
      </w:r>
      <w:r>
        <w:t xml:space="preserve">, 422–435 (2008).</w:t>
      </w:r>
    </w:p>
    <w:bookmarkEnd w:id="52"/>
    <w:bookmarkStart w:id="54" w:name="ref-Butz2009"/>
    <w:p>
      <w:pPr>
        <w:pStyle w:val="Bibliography"/>
      </w:pPr>
      <w:r>
        <w:t xml:space="preserve">9.</w:t>
      </w:r>
      <w:r>
        <w:t xml:space="preserve"> </w:t>
      </w:r>
      <w:r>
        <w:t xml:space="preserve">	</w:t>
      </w:r>
      <w:r>
        <w:t xml:space="preserve">Butz, M., Wörgötter, F. &amp; van Ooyen, A.</w:t>
      </w:r>
      <w:r>
        <w:t xml:space="preserve"> </w:t>
      </w:r>
      <w:hyperlink r:id="rId53">
        <w:r>
          <w:rPr>
            <w:rStyle w:val="Hyperlink"/>
          </w:rPr>
          <w:t xml:space="preserve">Activity-dependent structural plasticity</w:t>
        </w:r>
      </w:hyperlink>
      <w:r>
        <w:t xml:space="preserve">.</w:t>
      </w:r>
      <w:r>
        <w:t xml:space="preserve"> </w:t>
      </w:r>
      <w:r>
        <w:rPr>
          <w:i/>
          <w:iCs/>
        </w:rPr>
        <w:t xml:space="preserve">Brain Research Reviews</w:t>
      </w:r>
      <w:r>
        <w:t xml:space="preserve"> </w:t>
      </w:r>
      <w:r>
        <w:rPr>
          <w:b/>
          <w:bCs/>
        </w:rPr>
        <w:t xml:space="preserve">60</w:t>
      </w:r>
      <w:r>
        <w:t xml:space="preserve">, 287–305 (2009).</w:t>
      </w:r>
    </w:p>
    <w:bookmarkEnd w:id="54"/>
    <w:bookmarkStart w:id="56" w:name="ref-Ashby1960"/>
    <w:p>
      <w:pPr>
        <w:pStyle w:val="Bibliography"/>
      </w:pPr>
      <w:r>
        <w:t xml:space="preserve">10.</w:t>
      </w:r>
      <w:r>
        <w:t xml:space="preserve"> </w:t>
      </w:r>
      <w:r>
        <w:t xml:space="preserve">	</w:t>
      </w:r>
      <w:r>
        <w:t xml:space="preserve">Ashby, W. R.</w:t>
      </w:r>
      <w:r>
        <w:t xml:space="preserve"> </w:t>
      </w:r>
      <w:r>
        <w:rPr>
          <w:i/>
          <w:iCs/>
        </w:rPr>
        <w:t xml:space="preserve">Design for a Brain</w:t>
      </w:r>
      <w:r>
        <w:t xml:space="preserve">. (Springer Netherlands, 1960). doi:</w:t>
      </w:r>
      <w:hyperlink r:id="rId55">
        <w:r>
          <w:rPr>
            <w:rStyle w:val="Hyperlink"/>
          </w:rPr>
          <w:t xml:space="preserve">10.1007/978-94-015-1320-3</w:t>
        </w:r>
      </w:hyperlink>
      <w:r>
        <w:t xml:space="preserve">.</w:t>
      </w:r>
    </w:p>
    <w:bookmarkEnd w:id="56"/>
    <w:bookmarkStart w:id="58" w:name="ref-Kuramoto1984"/>
    <w:p>
      <w:pPr>
        <w:pStyle w:val="Bibliography"/>
      </w:pPr>
      <w:r>
        <w:t xml:space="preserve">11.</w:t>
      </w:r>
      <w:r>
        <w:t xml:space="preserve"> </w:t>
      </w:r>
      <w:r>
        <w:t xml:space="preserve">	</w:t>
      </w:r>
      <w:r>
        <w:t xml:space="preserve">Kuramoto, Y.</w:t>
      </w:r>
      <w:r>
        <w:t xml:space="preserve"> </w:t>
      </w:r>
      <w:r>
        <w:rPr>
          <w:i/>
          <w:iCs/>
        </w:rPr>
        <w:t xml:space="preserve">Chemical Oscillations, Waves, and Turbulence</w:t>
      </w:r>
      <w:r>
        <w:t xml:space="preserve">. (Springer, 1984). doi:</w:t>
      </w:r>
      <w:hyperlink r:id="rId57">
        <w:r>
          <w:rPr>
            <w:rStyle w:val="Hyperlink"/>
          </w:rPr>
          <w:t xml:space="preserve">10.1007/978-3-642-69689-3</w:t>
        </w:r>
      </w:hyperlink>
      <w:r>
        <w:t xml:space="preserve">.</w:t>
      </w:r>
    </w:p>
    <w:bookmarkEnd w:id="58"/>
    <w:bookmarkStart w:id="60" w:name="ref-Pikovsky2001"/>
    <w:p>
      <w:pPr>
        <w:pStyle w:val="Bibliography"/>
      </w:pPr>
      <w:r>
        <w:t xml:space="preserve">12.</w:t>
      </w:r>
      <w:r>
        <w:t xml:space="preserve"> </w:t>
      </w:r>
      <w:r>
        <w:t xml:space="preserve">	</w:t>
      </w:r>
      <w:r>
        <w:t xml:space="preserve">Pikovsky, A., Rosenblum, M. &amp; Kurths, J.</w:t>
      </w:r>
      <w:r>
        <w:t xml:space="preserve"> </w:t>
      </w:r>
      <w:r>
        <w:rPr>
          <w:i/>
          <w:iCs/>
        </w:rPr>
        <w:t xml:space="preserve">Synchronization: A Universal Concept in Nonlinear Sciences</w:t>
      </w:r>
      <w:r>
        <w:t xml:space="preserve">. (Cambridge University Press, 2001). doi:</w:t>
      </w:r>
      <w:hyperlink r:id="rId59">
        <w:r>
          <w:rPr>
            <w:rStyle w:val="Hyperlink"/>
          </w:rPr>
          <w:t xml:space="preserve">10.1017/CBO9780511755743</w:t>
        </w:r>
      </w:hyperlink>
      <w:r>
        <w:t xml:space="preserve">.</w:t>
      </w:r>
    </w:p>
    <w:bookmarkEnd w:id="60"/>
    <w:bookmarkStart w:id="62" w:name="ref-PV2025Unveiling"/>
    <w:p>
      <w:pPr>
        <w:pStyle w:val="Bibliography"/>
      </w:pPr>
      <w:r>
        <w:t xml:space="preserve">13.</w:t>
      </w:r>
      <w:r>
        <w:t xml:space="preserve"> </w:t>
      </w:r>
      <w:r>
        <w:t xml:space="preserve">	</w:t>
      </w:r>
      <w:r>
        <w:t xml:space="preserve">Padilla-Villanueva, J. Unveiling Systemic Tau: Redefining the Fabric of Time, Stability, and Emergent Order Across Complex Chaotic Systems in the Age of Interdisciplinary Discovery. Preprint at</w:t>
      </w:r>
      <w:r>
        <w:t xml:space="preserve"> </w:t>
      </w:r>
      <w:hyperlink r:id="rId61">
        <w:r>
          <w:rPr>
            <w:rStyle w:val="Hyperlink"/>
          </w:rPr>
          <w:t xml:space="preserve">https://doi.org/10.5281/zenodo.17127368</w:t>
        </w:r>
      </w:hyperlink>
      <w:r>
        <w:t xml:space="preserve"> </w:t>
      </w:r>
      <w:r>
        <w:t xml:space="preserve">(2025).</w:t>
      </w:r>
    </w:p>
    <w:bookmarkEnd w:id="62"/>
    <w:bookmarkStart w:id="64" w:name="ref-PV2025Anti"/>
    <w:p>
      <w:pPr>
        <w:pStyle w:val="Bibliography"/>
      </w:pPr>
      <w:r>
        <w:t xml:space="preserve">14.</w:t>
      </w:r>
      <w:r>
        <w:t xml:space="preserve"> </w:t>
      </w:r>
      <w:r>
        <w:t xml:space="preserve">	</w:t>
      </w:r>
      <w:r>
        <w:t xml:space="preserve">Padilla, J. Validation of Anti-Synchronization in Chaotic Systems Using Systemic Tau from Padilla-Villanueva (2025). Preprint at</w:t>
      </w:r>
      <w:r>
        <w:t xml:space="preserve"> </w:t>
      </w:r>
      <w:hyperlink r:id="rId63">
        <w:r>
          <w:rPr>
            <w:rStyle w:val="Hyperlink"/>
          </w:rPr>
          <w:t xml:space="preserve">https://doi.org/10.5281/zenodo.17186886</w:t>
        </w:r>
      </w:hyperlink>
      <w:r>
        <w:t xml:space="preserve"> </w:t>
      </w:r>
      <w:r>
        <w:t xml:space="preserve">(2025).</w:t>
      </w:r>
    </w:p>
    <w:bookmarkEnd w:id="64"/>
    <w:bookmarkStart w:id="66" w:name="ref-PV2026Theory"/>
    <w:p>
      <w:pPr>
        <w:pStyle w:val="Bibliography"/>
      </w:pPr>
      <w:r>
        <w:t xml:space="preserve">15.</w:t>
      </w:r>
      <w:r>
        <w:t xml:space="preserve"> </w:t>
      </w:r>
      <w:r>
        <w:t xml:space="preserve">	</w:t>
      </w:r>
      <w:r>
        <w:t xml:space="preserve">Padilla-Villanueva, J. Systemic Tau and Hierarchical Ordinal Conjunctions: A Relational Theory of Critical Transitions. Preprint at</w:t>
      </w:r>
      <w:r>
        <w:t xml:space="preserve"> </w:t>
      </w:r>
      <w:hyperlink r:id="rId65">
        <w:r>
          <w:rPr>
            <w:rStyle w:val="Hyperlink"/>
          </w:rPr>
          <w:t xml:space="preserve">https://doi.org/10.5281/zenodo.21753560</w:t>
        </w:r>
      </w:hyperlink>
      <w:r>
        <w:t xml:space="preserve"> </w:t>
      </w:r>
      <w:r>
        <w:t xml:space="preserve">(2026).</w:t>
      </w:r>
    </w:p>
    <w:bookmarkEnd w:id="66"/>
    <w:bookmarkStart w:id="68" w:name="ref-PV2026Erratum"/>
    <w:p>
      <w:pPr>
        <w:pStyle w:val="Bibliography"/>
      </w:pPr>
      <w:r>
        <w:t xml:space="preserve">16.</w:t>
      </w:r>
      <w:r>
        <w:t xml:space="preserve"> </w:t>
      </w:r>
      <w:r>
        <w:t xml:space="preserve">	</w:t>
      </w:r>
      <w:r>
        <w:t xml:space="preserve">Padilla-Villanueva, J. Systemic Tau and Hierarchical Ordinal Conjunctions: A Relational Theory of Critical Transitions. Preprint, version with erratum at</w:t>
      </w:r>
      <w:r>
        <w:t xml:space="preserve"> </w:t>
      </w:r>
      <w:hyperlink r:id="rId67">
        <w:r>
          <w:rPr>
            <w:rStyle w:val="Hyperlink"/>
          </w:rPr>
          <w:t xml:space="preserve">https://doi.org/10.5281/zenodo.22970130</w:t>
        </w:r>
      </w:hyperlink>
      <w:r>
        <w:t xml:space="preserve"> </w:t>
      </w:r>
      <w:r>
        <w:t xml:space="preserve">(2026).</w:t>
      </w:r>
    </w:p>
    <w:bookmarkEnd w:id="68"/>
    <w:bookmarkStart w:id="70" w:name="ref-PV2026Multiscale"/>
    <w:p>
      <w:pPr>
        <w:pStyle w:val="Bibliography"/>
      </w:pPr>
      <w:r>
        <w:t xml:space="preserve">17.</w:t>
      </w:r>
      <w:r>
        <w:t xml:space="preserve"> </w:t>
      </w:r>
      <w:r>
        <w:t xml:space="preserve">	</w:t>
      </w:r>
      <w:r>
        <w:t xml:space="preserve">Padilla-Villanueva, J. Multiscale Synchronization Hierarchy and Universal Thresholds of Systemic Tau in Modular and High-Dimensional Chaotic Systems. Preprint at</w:t>
      </w:r>
      <w:r>
        <w:t xml:space="preserve"> </w:t>
      </w:r>
      <w:hyperlink r:id="rId69">
        <w:r>
          <w:rPr>
            <w:rStyle w:val="Hyperlink"/>
          </w:rPr>
          <w:t xml:space="preserve">https://doi.org/10.5281/zenodo.20185930</w:t>
        </w:r>
      </w:hyperlink>
      <w:r>
        <w:t xml:space="preserve"> </w:t>
      </w:r>
      <w:r>
        <w:t xml:space="preserve">(2026).</w:t>
      </w:r>
    </w:p>
    <w:bookmarkEnd w:id="70"/>
    <w:bookmarkStart w:id="72" w:name="ref-PV2026Dengue"/>
    <w:p>
      <w:pPr>
        <w:pStyle w:val="Bibliography"/>
      </w:pPr>
      <w:r>
        <w:t xml:space="preserve">18.</w:t>
      </w:r>
      <w:r>
        <w:t xml:space="preserve"> </w:t>
      </w:r>
      <w:r>
        <w:t xml:space="preserve">	</w:t>
      </w:r>
      <w:r>
        <w:t xml:space="preserve">Padilla-Villanueva, J. Tau Sistémico y patrones ordinales multivariados para la detección temprana de brotes de dengue: evidencia en datos reales de Iquitos y San Juan. Preprint at</w:t>
      </w:r>
      <w:r>
        <w:t xml:space="preserve"> </w:t>
      </w:r>
      <w:hyperlink r:id="rId71">
        <w:r>
          <w:rPr>
            <w:rStyle w:val="Hyperlink"/>
          </w:rPr>
          <w:t xml:space="preserve">https://doi.org/10.5281/zenodo.20657723</w:t>
        </w:r>
      </w:hyperlink>
      <w:r>
        <w:t xml:space="preserve"> </w:t>
      </w:r>
      <w:r>
        <w:t xml:space="preserve">(2026).</w:t>
      </w:r>
    </w:p>
    <w:bookmarkEnd w:id="72"/>
    <w:bookmarkStart w:id="74" w:name="ref-Kendall1938"/>
    <w:p>
      <w:pPr>
        <w:pStyle w:val="Bibliography"/>
      </w:pPr>
      <w:r>
        <w:t xml:space="preserve">19.</w:t>
      </w:r>
      <w:r>
        <w:t xml:space="preserve"> </w:t>
      </w:r>
      <w:r>
        <w:t xml:space="preserve">	</w:t>
      </w:r>
      <w:r>
        <w:t xml:space="preserve">Kendall, M. G.</w:t>
      </w:r>
      <w:r>
        <w:t xml:space="preserve"> </w:t>
      </w:r>
      <w:hyperlink r:id="rId73">
        <w:r>
          <w:rPr>
            <w:rStyle w:val="Hyperlink"/>
          </w:rPr>
          <w:t xml:space="preserve">A new measure of rank correlation</w:t>
        </w:r>
      </w:hyperlink>
      <w:r>
        <w:t xml:space="preserve">.</w:t>
      </w:r>
      <w:r>
        <w:t xml:space="preserve"> </w:t>
      </w:r>
      <w:r>
        <w:rPr>
          <w:i/>
          <w:iCs/>
        </w:rPr>
        <w:t xml:space="preserve">Biometrika</w:t>
      </w:r>
      <w:r>
        <w:t xml:space="preserve"> </w:t>
      </w:r>
      <w:r>
        <w:rPr>
          <w:b/>
          <w:bCs/>
        </w:rPr>
        <w:t xml:space="preserve">30</w:t>
      </w:r>
      <w:r>
        <w:t xml:space="preserve">, 81–93 (1938).</w:t>
      </w:r>
    </w:p>
    <w:bookmarkEnd w:id="74"/>
    <w:bookmarkStart w:id="76" w:name="ref-Kendall1945"/>
    <w:p>
      <w:pPr>
        <w:pStyle w:val="Bibliography"/>
      </w:pPr>
      <w:r>
        <w:t xml:space="preserve">20.</w:t>
      </w:r>
      <w:r>
        <w:t xml:space="preserve"> </w:t>
      </w:r>
      <w:r>
        <w:t xml:space="preserve">	</w:t>
      </w:r>
      <w:r>
        <w:t xml:space="preserve">Kendall, M. G.</w:t>
      </w:r>
      <w:r>
        <w:t xml:space="preserve"> </w:t>
      </w:r>
      <w:hyperlink r:id="rId75">
        <w:r>
          <w:rPr>
            <w:rStyle w:val="Hyperlink"/>
          </w:rPr>
          <w:t xml:space="preserve">The treatment of ties in ranking problems</w:t>
        </w:r>
      </w:hyperlink>
      <w:r>
        <w:t xml:space="preserve">.</w:t>
      </w:r>
      <w:r>
        <w:t xml:space="preserve"> </w:t>
      </w:r>
      <w:r>
        <w:rPr>
          <w:i/>
          <w:iCs/>
        </w:rPr>
        <w:t xml:space="preserve">Biometrika</w:t>
      </w:r>
      <w:r>
        <w:t xml:space="preserve"> </w:t>
      </w:r>
      <w:r>
        <w:rPr>
          <w:b/>
          <w:bCs/>
        </w:rPr>
        <w:t xml:space="preserve">33</w:t>
      </w:r>
      <w:r>
        <w:t xml:space="preserve">, 239–251 (1945).</w:t>
      </w:r>
    </w:p>
    <w:bookmarkEnd w:id="76"/>
    <w:bookmarkStart w:id="78" w:name="ref-Theiler1992"/>
    <w:p>
      <w:pPr>
        <w:pStyle w:val="Bibliography"/>
      </w:pPr>
      <w:r>
        <w:t xml:space="preserve">21.</w:t>
      </w:r>
      <w:r>
        <w:t xml:space="preserve"> </w:t>
      </w:r>
      <w:r>
        <w:t xml:space="preserve">	</w:t>
      </w:r>
      <w:r>
        <w:t xml:space="preserve">Theiler, J., Eubank, S., Longtin, A., Galdrikian, B. &amp; Doyne Farmer, J.</w:t>
      </w:r>
      <w:r>
        <w:t xml:space="preserve"> </w:t>
      </w:r>
      <w:hyperlink r:id="rId77">
        <w:r>
          <w:rPr>
            <w:rStyle w:val="Hyperlink"/>
          </w:rPr>
          <w:t xml:space="preserve">Testing for nonlinearity in time series: the method of surrogate data</w:t>
        </w:r>
      </w:hyperlink>
      <w:r>
        <w:t xml:space="preserve">.</w:t>
      </w:r>
      <w:r>
        <w:t xml:space="preserve"> </w:t>
      </w:r>
      <w:r>
        <w:rPr>
          <w:i/>
          <w:iCs/>
        </w:rPr>
        <w:t xml:space="preserve">Physica D: Nonlinear Phenomena</w:t>
      </w:r>
      <w:r>
        <w:t xml:space="preserve"> </w:t>
      </w:r>
      <w:r>
        <w:rPr>
          <w:b/>
          <w:bCs/>
        </w:rPr>
        <w:t xml:space="preserve">58</w:t>
      </w:r>
      <w:r>
        <w:t xml:space="preserve">, 77–94 (1992).</w:t>
      </w:r>
    </w:p>
    <w:bookmarkEnd w:id="78"/>
    <w:bookmarkStart w:id="80" w:name="ref-Schreiber2000"/>
    <w:p>
      <w:pPr>
        <w:pStyle w:val="Bibliography"/>
      </w:pPr>
      <w:r>
        <w:t xml:space="preserve">22.</w:t>
      </w:r>
      <w:r>
        <w:t xml:space="preserve"> </w:t>
      </w:r>
      <w:r>
        <w:t xml:space="preserve">	</w:t>
      </w:r>
      <w:r>
        <w:t xml:space="preserve">Schreiber, T. &amp; Schmitz, A.</w:t>
      </w:r>
      <w:r>
        <w:t xml:space="preserve"> </w:t>
      </w:r>
      <w:hyperlink r:id="rId79">
        <w:r>
          <w:rPr>
            <w:rStyle w:val="Hyperlink"/>
          </w:rPr>
          <w:t xml:space="preserve">Surrogate time series</w:t>
        </w:r>
      </w:hyperlink>
      <w:r>
        <w:t xml:space="preserve">.</w:t>
      </w:r>
      <w:r>
        <w:t xml:space="preserve"> </w:t>
      </w:r>
      <w:r>
        <w:rPr>
          <w:i/>
          <w:iCs/>
        </w:rPr>
        <w:t xml:space="preserve">Physica D: Nonlinear Phenomena</w:t>
      </w:r>
      <w:r>
        <w:t xml:space="preserve"> </w:t>
      </w:r>
      <w:r>
        <w:rPr>
          <w:b/>
          <w:bCs/>
        </w:rPr>
        <w:t xml:space="preserve">142</w:t>
      </w:r>
      <w:r>
        <w:t xml:space="preserve">, 346–382 (2000).</w:t>
      </w:r>
    </w:p>
    <w:bookmarkEnd w:id="80"/>
    <w:bookmarkStart w:id="82" w:name="ref-Lancaster2018"/>
    <w:p>
      <w:pPr>
        <w:pStyle w:val="Bibliography"/>
      </w:pPr>
      <w:r>
        <w:t xml:space="preserve">23.</w:t>
      </w:r>
      <w:r>
        <w:t xml:space="preserve"> </w:t>
      </w:r>
      <w:r>
        <w:t xml:space="preserve">	</w:t>
      </w:r>
      <w:r>
        <w:t xml:space="preserve">Lancaster, G., Iatsenko, D., Pidde, A., Ticcinelli, V. &amp; Stefanovska, A.</w:t>
      </w:r>
      <w:r>
        <w:t xml:space="preserve"> </w:t>
      </w:r>
      <w:hyperlink r:id="rId81">
        <w:r>
          <w:rPr>
            <w:rStyle w:val="Hyperlink"/>
          </w:rPr>
          <w:t xml:space="preserve">Surrogate data for hypothesis testing of physical systems</w:t>
        </w:r>
      </w:hyperlink>
      <w:r>
        <w:t xml:space="preserve">.</w:t>
      </w:r>
      <w:r>
        <w:t xml:space="preserve"> </w:t>
      </w:r>
      <w:r>
        <w:rPr>
          <w:i/>
          <w:iCs/>
        </w:rPr>
        <w:t xml:space="preserve">Physics Reports</w:t>
      </w:r>
      <w:r>
        <w:t xml:space="preserve"> </w:t>
      </w:r>
      <w:r>
        <w:rPr>
          <w:b/>
          <w:bCs/>
        </w:rPr>
        <w:t xml:space="preserve">748</w:t>
      </w:r>
      <w:r>
        <w:t xml:space="preserve">, 1–60 (2018).</w:t>
      </w:r>
    </w:p>
    <w:bookmarkEnd w:id="82"/>
    <w:bookmarkStart w:id="84" w:name="ref-PV2026NestedRecd"/>
    <w:p>
      <w:pPr>
        <w:pStyle w:val="Bibliography"/>
      </w:pPr>
      <w:r>
        <w:t xml:space="preserve">24.</w:t>
      </w:r>
      <w:r>
        <w:t xml:space="preserve"> </w:t>
      </w:r>
      <w:r>
        <w:t xml:space="preserve">	</w:t>
      </w:r>
      <w:r>
        <w:t xml:space="preserve">Padilla-Villanueva, J. nested-recd 0.2.3: joint-tuple counting for Syn and excess3. Zenodo</w:t>
      </w:r>
      <w:r>
        <w:t xml:space="preserve"> </w:t>
      </w:r>
      <w:hyperlink r:id="rId83">
        <w:r>
          <w:rPr>
            <w:rStyle w:val="Hyperlink"/>
          </w:rPr>
          <w:t xml:space="preserve">https://doi.org/10.5281/zenodo.22970079</w:t>
        </w:r>
      </w:hyperlink>
      <w:r>
        <w:t xml:space="preserve"> </w:t>
      </w:r>
      <w:r>
        <w:t xml:space="preserve">(2026).</w:t>
      </w:r>
    </w:p>
    <w:bookmarkEnd w:id="84"/>
    <w:bookmarkStart w:id="86" w:name="ref-PV2026Standard"/>
    <w:p>
      <w:pPr>
        <w:pStyle w:val="Bibliography"/>
      </w:pPr>
      <w:r>
        <w:t xml:space="preserve">25.</w:t>
      </w:r>
      <w:r>
        <w:t xml:space="preserve"> </w:t>
      </w:r>
      <w:r>
        <w:t xml:space="preserve">	</w:t>
      </w:r>
      <w:r>
        <w:t xml:space="preserve">Padilla-Villanueva, J. A Machine-Checkable Operational Standard for Systemic Tau τₛ and the Discrete Extramental Clock (RECD). Preprint at</w:t>
      </w:r>
      <w:r>
        <w:t xml:space="preserve"> </w:t>
      </w:r>
      <w:hyperlink r:id="rId85">
        <w:r>
          <w:rPr>
            <w:rStyle w:val="Hyperlink"/>
          </w:rPr>
          <w:t xml:space="preserve">https://doi.org/10.5281/zenodo.21537494</w:t>
        </w:r>
      </w:hyperlink>
      <w:r>
        <w:t xml:space="preserve"> </w:t>
      </w:r>
      <w:r>
        <w:t xml:space="preserve">(2026).</w:t>
      </w:r>
    </w:p>
    <w:bookmarkEnd w:id="86"/>
    <w:bookmarkStart w:id="88" w:name="ref-PV2026Software"/>
    <w:p>
      <w:pPr>
        <w:pStyle w:val="Bibliography"/>
      </w:pPr>
      <w:r>
        <w:t xml:space="preserve">26.</w:t>
      </w:r>
      <w:r>
        <w:t xml:space="preserve"> </w:t>
      </w:r>
      <w:r>
        <w:t xml:space="preserve">	</w:t>
      </w:r>
      <w:r>
        <w:t xml:space="preserve">Padilla-Villanueva, J. Systemic Tau (Stable). Zenodo</w:t>
      </w:r>
      <w:r>
        <w:t xml:space="preserve"> </w:t>
      </w:r>
      <w:hyperlink r:id="rId87">
        <w:r>
          <w:rPr>
            <w:rStyle w:val="Hyperlink"/>
          </w:rPr>
          <w:t xml:space="preserve">https://doi.org/10.5281/zenodo.22863378</w:t>
        </w:r>
      </w:hyperlink>
      <w:r>
        <w:t xml:space="preserve"> </w:t>
      </w:r>
      <w:r>
        <w:t xml:space="preserve">(2026).</w:t>
      </w:r>
    </w:p>
    <w:bookmarkEnd w:id="88"/>
    <w:bookmarkStart w:id="90" w:name="ref-Gama2014"/>
    <w:p>
      <w:pPr>
        <w:pStyle w:val="Bibliography"/>
      </w:pPr>
      <w:r>
        <w:t xml:space="preserve">27.</w:t>
      </w:r>
      <w:r>
        <w:t xml:space="preserve"> </w:t>
      </w:r>
      <w:r>
        <w:t xml:space="preserve">	</w:t>
      </w:r>
      <w:r>
        <w:t xml:space="preserve">Gama, J., Žliobaitė, I., Bifet, A., Pechenizkiy, M. &amp; Bouchachia, A.</w:t>
      </w:r>
      <w:r>
        <w:t xml:space="preserve"> </w:t>
      </w:r>
      <w:hyperlink r:id="rId89">
        <w:r>
          <w:rPr>
            <w:rStyle w:val="Hyperlink"/>
          </w:rPr>
          <w:t xml:space="preserve">A survey on concept drift adaptation</w:t>
        </w:r>
      </w:hyperlink>
      <w:r>
        <w:t xml:space="preserve">.</w:t>
      </w:r>
      <w:r>
        <w:t xml:space="preserve"> </w:t>
      </w:r>
      <w:r>
        <w:rPr>
          <w:i/>
          <w:iCs/>
        </w:rPr>
        <w:t xml:space="preserve">ACM Computing Surveys</w:t>
      </w:r>
      <w:r>
        <w:t xml:space="preserve"> </w:t>
      </w:r>
      <w:r>
        <w:rPr>
          <w:b/>
          <w:bCs/>
        </w:rPr>
        <w:t xml:space="preserve">46</w:t>
      </w:r>
      <w:r>
        <w:t xml:space="preserve">, 1–37 (2014).</w:t>
      </w:r>
    </w:p>
    <w:bookmarkEnd w:id="90"/>
    <w:bookmarkStart w:id="92" w:name="ref-Hochreiter1997"/>
    <w:p>
      <w:pPr>
        <w:pStyle w:val="Bibliography"/>
      </w:pPr>
      <w:r>
        <w:t xml:space="preserve">28.</w:t>
      </w:r>
      <w:r>
        <w:t xml:space="preserve"> </w:t>
      </w:r>
      <w:r>
        <w:t xml:space="preserve">	</w:t>
      </w:r>
      <w:r>
        <w:t xml:space="preserve">Hochreiter, S. &amp; Schmidhuber, J.</w:t>
      </w:r>
      <w:r>
        <w:t xml:space="preserve"> </w:t>
      </w:r>
      <w:hyperlink r:id="rId91">
        <w:r>
          <w:rPr>
            <w:rStyle w:val="Hyperlink"/>
          </w:rPr>
          <w:t xml:space="preserve">Long Short-Term Memory</w:t>
        </w:r>
      </w:hyperlink>
      <w:r>
        <w:t xml:space="preserve">.</w:t>
      </w:r>
      <w:r>
        <w:t xml:space="preserve"> </w:t>
      </w:r>
      <w:r>
        <w:rPr>
          <w:i/>
          <w:iCs/>
        </w:rPr>
        <w:t xml:space="preserve">Neural Computation</w:t>
      </w:r>
      <w:r>
        <w:t xml:space="preserve"> </w:t>
      </w:r>
      <w:r>
        <w:rPr>
          <w:b/>
          <w:bCs/>
        </w:rPr>
        <w:t xml:space="preserve">9</w:t>
      </w:r>
      <w:r>
        <w:t xml:space="preserve">, 1735–1780 (1997).</w:t>
      </w:r>
    </w:p>
    <w:bookmarkEnd w:id="92"/>
    <w:bookmarkStart w:id="94" w:name="ref-Efron1994"/>
    <w:p>
      <w:pPr>
        <w:pStyle w:val="Bibliography"/>
      </w:pPr>
      <w:r>
        <w:t xml:space="preserve">29.</w:t>
      </w:r>
      <w:r>
        <w:t xml:space="preserve"> </w:t>
      </w:r>
      <w:r>
        <w:t xml:space="preserve">	</w:t>
      </w:r>
      <w:r>
        <w:t xml:space="preserve">Efron, B. &amp; Tibshirani, R. J.</w:t>
      </w:r>
      <w:r>
        <w:t xml:space="preserve"> </w:t>
      </w:r>
      <w:r>
        <w:rPr>
          <w:i/>
          <w:iCs/>
        </w:rPr>
        <w:t xml:space="preserve">An Introduction to the Bootstrap</w:t>
      </w:r>
      <w:r>
        <w:t xml:space="preserve">. (Chapman and Hall/CRC, 1994). doi:</w:t>
      </w:r>
      <w:hyperlink r:id="rId93">
        <w:r>
          <w:rPr>
            <w:rStyle w:val="Hyperlink"/>
          </w:rPr>
          <w:t xml:space="preserve">10.1201/9780429246593</w:t>
        </w:r>
      </w:hyperlink>
      <w:r>
        <w:t xml:space="preserve">.</w:t>
      </w:r>
    </w:p>
    <w:bookmarkEnd w:id="94"/>
    <w:bookmarkStart w:id="96" w:name="ref-Bengio1994"/>
    <w:p>
      <w:pPr>
        <w:pStyle w:val="Bibliography"/>
      </w:pPr>
      <w:r>
        <w:t xml:space="preserve">30.</w:t>
      </w:r>
      <w:r>
        <w:t xml:space="preserve"> </w:t>
      </w:r>
      <w:r>
        <w:t xml:space="preserve">	</w:t>
      </w:r>
      <w:r>
        <w:t xml:space="preserve">Bengio, Y., Simard, P. &amp; Frasconi, P.</w:t>
      </w:r>
      <w:r>
        <w:t xml:space="preserve"> </w:t>
      </w:r>
      <w:hyperlink r:id="rId95">
        <w:r>
          <w:rPr>
            <w:rStyle w:val="Hyperlink"/>
          </w:rPr>
          <w:t xml:space="preserve">Learning long-term dependencies with gradient descent is difficult</w:t>
        </w:r>
      </w:hyperlink>
      <w:r>
        <w:t xml:space="preserve">.</w:t>
      </w:r>
      <w:r>
        <w:t xml:space="preserve"> </w:t>
      </w:r>
      <w:r>
        <w:rPr>
          <w:i/>
          <w:iCs/>
        </w:rPr>
        <w:t xml:space="preserve">IEEE Transactions on Neural Networks</w:t>
      </w:r>
      <w:r>
        <w:t xml:space="preserve"> </w:t>
      </w:r>
      <w:r>
        <w:rPr>
          <w:b/>
          <w:bCs/>
        </w:rPr>
        <w:t xml:space="preserve">5</w:t>
      </w:r>
      <w:r>
        <w:t xml:space="preserve">, 157–166 (1994).</w:t>
      </w:r>
    </w:p>
    <w:bookmarkEnd w:id="96"/>
    <w:bookmarkStart w:id="98" w:name="ref-Stanley2002"/>
    <w:p>
      <w:pPr>
        <w:pStyle w:val="Bibliography"/>
      </w:pPr>
      <w:r>
        <w:t xml:space="preserve">31.</w:t>
      </w:r>
      <w:r>
        <w:t xml:space="preserve"> </w:t>
      </w:r>
      <w:r>
        <w:t xml:space="preserve">	</w:t>
      </w:r>
      <w:r>
        <w:t xml:space="preserve">Stanley, K. O. &amp; Miikkulainen, R.</w:t>
      </w:r>
      <w:r>
        <w:t xml:space="preserve"> </w:t>
      </w:r>
      <w:hyperlink r:id="rId97">
        <w:r>
          <w:rPr>
            <w:rStyle w:val="Hyperlink"/>
          </w:rPr>
          <w:t xml:space="preserve">Evolving Neural Networks through Augmenting Topologies</w:t>
        </w:r>
      </w:hyperlink>
      <w:r>
        <w:t xml:space="preserve">.</w:t>
      </w:r>
      <w:r>
        <w:t xml:space="preserve"> </w:t>
      </w:r>
      <w:r>
        <w:rPr>
          <w:i/>
          <w:iCs/>
        </w:rPr>
        <w:t xml:space="preserve">Evolutionary Computation</w:t>
      </w:r>
      <w:r>
        <w:t xml:space="preserve"> </w:t>
      </w:r>
      <w:r>
        <w:rPr>
          <w:b/>
          <w:bCs/>
        </w:rPr>
        <w:t xml:space="preserve">10</w:t>
      </w:r>
      <w:r>
        <w:t xml:space="preserve">, 99–127 (2002).</w:t>
      </w:r>
    </w:p>
    <w:bookmarkEnd w:id="98"/>
    <w:bookmarkStart w:id="100" w:name="ref-Mocanu2018"/>
    <w:p>
      <w:pPr>
        <w:pStyle w:val="Bibliography"/>
      </w:pPr>
      <w:r>
        <w:t xml:space="preserve">32.</w:t>
      </w:r>
      <w:r>
        <w:t xml:space="preserve"> </w:t>
      </w:r>
      <w:r>
        <w:t xml:space="preserve">	</w:t>
      </w:r>
      <w:r>
        <w:t xml:space="preserve">Mocanu, D. C.</w:t>
      </w:r>
      <w:r>
        <w:t xml:space="preserve"> </w:t>
      </w:r>
      <w:r>
        <w:rPr>
          <w:i/>
          <w:iCs/>
        </w:rPr>
        <w:t xml:space="preserve">et al.</w:t>
      </w:r>
      <w:r>
        <w:t xml:space="preserve"> </w:t>
      </w:r>
      <w:hyperlink r:id="rId99">
        <w:r>
          <w:rPr>
            <w:rStyle w:val="Hyperlink"/>
          </w:rPr>
          <w:t xml:space="preserve">Scalable training of artificial neural networks with adaptive sparse connectivity inspired by network science</w:t>
        </w:r>
      </w:hyperlink>
      <w:r>
        <w:t xml:space="preserve">.</w:t>
      </w:r>
      <w:r>
        <w:t xml:space="preserve"> </w:t>
      </w:r>
      <w:r>
        <w:rPr>
          <w:i/>
          <w:iCs/>
        </w:rPr>
        <w:t xml:space="preserve">Nature Communications</w:t>
      </w:r>
      <w:r>
        <w:t xml:space="preserve"> </w:t>
      </w:r>
      <w:r>
        <w:rPr>
          <w:b/>
          <w:bCs/>
        </w:rPr>
        <w:t xml:space="preserve">9</w:t>
      </w:r>
      <w:r>
        <w:t xml:space="preserve">, 2383 (2018).</w:t>
      </w:r>
    </w:p>
    <w:bookmarkEnd w:id="100"/>
    <w:bookmarkStart w:id="102" w:name="ref-Maass1997"/>
    <w:p>
      <w:pPr>
        <w:pStyle w:val="Bibliography"/>
      </w:pPr>
      <w:r>
        <w:t xml:space="preserve">33.</w:t>
      </w:r>
      <w:r>
        <w:t xml:space="preserve"> </w:t>
      </w:r>
      <w:r>
        <w:t xml:space="preserve">	</w:t>
      </w:r>
      <w:r>
        <w:t xml:space="preserve">Maass, W.</w:t>
      </w:r>
      <w:r>
        <w:t xml:space="preserve"> </w:t>
      </w:r>
      <w:hyperlink r:id="rId101">
        <w:r>
          <w:rPr>
            <w:rStyle w:val="Hyperlink"/>
          </w:rPr>
          <w:t xml:space="preserve">Networks of spiking neurons: The third generation of neural network models</w:t>
        </w:r>
      </w:hyperlink>
      <w:r>
        <w:t xml:space="preserve">.</w:t>
      </w:r>
      <w:r>
        <w:t xml:space="preserve"> </w:t>
      </w:r>
      <w:r>
        <w:rPr>
          <w:i/>
          <w:iCs/>
        </w:rPr>
        <w:t xml:space="preserve">Neural Networks</w:t>
      </w:r>
      <w:r>
        <w:t xml:space="preserve"> </w:t>
      </w:r>
      <w:r>
        <w:rPr>
          <w:b/>
          <w:bCs/>
        </w:rPr>
        <w:t xml:space="preserve">10</w:t>
      </w:r>
      <w:r>
        <w:t xml:space="preserve">, 1659–1671 (1997).</w:t>
      </w:r>
    </w:p>
    <w:bookmarkEnd w:id="102"/>
    <w:bookmarkStart w:id="104" w:name="ref-Davies2018"/>
    <w:p>
      <w:pPr>
        <w:pStyle w:val="Bibliography"/>
      </w:pPr>
      <w:r>
        <w:t xml:space="preserve">34.</w:t>
      </w:r>
      <w:r>
        <w:t xml:space="preserve"> </w:t>
      </w:r>
      <w:r>
        <w:t xml:space="preserve">	</w:t>
      </w:r>
      <w:r>
        <w:t xml:space="preserve">Davies, M.</w:t>
      </w:r>
      <w:r>
        <w:t xml:space="preserve"> </w:t>
      </w:r>
      <w:r>
        <w:rPr>
          <w:i/>
          <w:iCs/>
        </w:rPr>
        <w:t xml:space="preserve">et al.</w:t>
      </w:r>
      <w:r>
        <w:t xml:space="preserve"> </w:t>
      </w:r>
      <w:hyperlink r:id="rId103">
        <w:r>
          <w:rPr>
            <w:rStyle w:val="Hyperlink"/>
          </w:rPr>
          <w:t xml:space="preserve">Loihi: A Neuromorphic Manycore Processor with On-Chip Learning</w:t>
        </w:r>
      </w:hyperlink>
      <w:r>
        <w:t xml:space="preserve">.</w:t>
      </w:r>
      <w:r>
        <w:t xml:space="preserve"> </w:t>
      </w:r>
      <w:r>
        <w:rPr>
          <w:i/>
          <w:iCs/>
        </w:rPr>
        <w:t xml:space="preserve">IEEE Micro</w:t>
      </w:r>
      <w:r>
        <w:t xml:space="preserve"> </w:t>
      </w:r>
      <w:r>
        <w:rPr>
          <w:b/>
          <w:bCs/>
        </w:rPr>
        <w:t xml:space="preserve">38</w:t>
      </w:r>
      <w:r>
        <w:t xml:space="preserve">, 82–99 (2018).</w:t>
      </w:r>
    </w:p>
    <w:bookmarkEnd w:id="104"/>
    <w:bookmarkStart w:id="106" w:name="ref-Bandt2002"/>
    <w:p>
      <w:pPr>
        <w:pStyle w:val="Bibliography"/>
      </w:pPr>
      <w:r>
        <w:t xml:space="preserve">35.</w:t>
      </w:r>
      <w:r>
        <w:t xml:space="preserve"> </w:t>
      </w:r>
      <w:r>
        <w:t xml:space="preserve">	</w:t>
      </w:r>
      <w:r>
        <w:t xml:space="preserve">Bandt, C. &amp; Pompe, B.</w:t>
      </w:r>
      <w:r>
        <w:t xml:space="preserve"> </w:t>
      </w:r>
      <w:hyperlink r:id="rId105">
        <w:r>
          <w:rPr>
            <w:rStyle w:val="Hyperlink"/>
          </w:rPr>
          <w:t xml:space="preserve">Permutation Entropy: A Natural Complexity Measure for Time Series</w:t>
        </w:r>
      </w:hyperlink>
      <w:r>
        <w:t xml:space="preserve">.</w:t>
      </w:r>
      <w:r>
        <w:t xml:space="preserve"> </w:t>
      </w:r>
      <w:r>
        <w:rPr>
          <w:i/>
          <w:iCs/>
        </w:rPr>
        <w:t xml:space="preserve">Physical Review Letters</w:t>
      </w:r>
      <w:r>
        <w:t xml:space="preserve"> </w:t>
      </w:r>
      <w:r>
        <w:rPr>
          <w:b/>
          <w:bCs/>
        </w:rPr>
        <w:t xml:space="preserve">88</w:t>
      </w:r>
      <w:r>
        <w:t xml:space="preserve">, 174102 (2002).</w:t>
      </w:r>
    </w:p>
    <w:bookmarkEnd w:id="106"/>
    <w:bookmarkStart w:id="108" w:name="ref-Scheffer2009"/>
    <w:p>
      <w:pPr>
        <w:pStyle w:val="Bibliography"/>
      </w:pPr>
      <w:r>
        <w:t xml:space="preserve">36.</w:t>
      </w:r>
      <w:r>
        <w:t xml:space="preserve"> </w:t>
      </w:r>
      <w:r>
        <w:t xml:space="preserve">	</w:t>
      </w:r>
      <w:r>
        <w:t xml:space="preserve">Scheffer, M.</w:t>
      </w:r>
      <w:r>
        <w:t xml:space="preserve"> </w:t>
      </w:r>
      <w:r>
        <w:rPr>
          <w:i/>
          <w:iCs/>
        </w:rPr>
        <w:t xml:space="preserve">et al.</w:t>
      </w:r>
      <w:r>
        <w:t xml:space="preserve"> </w:t>
      </w:r>
      <w:hyperlink r:id="rId107">
        <w:r>
          <w:rPr>
            <w:rStyle w:val="Hyperlink"/>
          </w:rPr>
          <w:t xml:space="preserve">Early-warning signals for critical transitions</w:t>
        </w:r>
      </w:hyperlink>
      <w:r>
        <w:t xml:space="preserve">.</w:t>
      </w:r>
      <w:r>
        <w:t xml:space="preserve"> </w:t>
      </w:r>
      <w:r>
        <w:rPr>
          <w:i/>
          <w:iCs/>
        </w:rPr>
        <w:t xml:space="preserve">Nature</w:t>
      </w:r>
      <w:r>
        <w:t xml:space="preserve"> </w:t>
      </w:r>
      <w:r>
        <w:rPr>
          <w:b/>
          <w:bCs/>
        </w:rPr>
        <w:t xml:space="preserve">461</w:t>
      </w:r>
      <w:r>
        <w:t xml:space="preserve">, 53–59 (2009).</w:t>
      </w:r>
    </w:p>
    <w:bookmarkEnd w:id="108"/>
    <w:bookmarkEnd w:id="109"/>
    <w:bookmarkEnd w:id="110"/>
    <w:sectPr>
      <w:headerReference w:type="default" r:id="rId9"/>
      <w:footerReference w:type="default" r:id="rId11"/>
      <w:footerReference w:type="first" r:id="rId12"/>
      <w:footnotePr>
        <w:numRestart w:val="eachSect"/>
      </w:footnotePr>
      <w:pgSz w:w="12240" w:h="15840"/>
      <w:pgMar w:top="1440" w:bottom="1440" w:left="1440" w:right="1440" w:header="720" w:footer="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i w:val="0"/>
        <w:color w:val="595959"/>
        <w:sz w:val="17"/>
      </w:rPr>
      <w:t xml:space="preserve">Page </w:t>
    </w:r>
    <w:r>
      <w:rPr>
        <w:rFonts w:ascii="Calibri" w:hAnsi="Calibri" w:eastAsia="Calibri" w:cs="Calibri"/>
        <w:color w:val="595959"/>
        <w:sz w:val="17"/>
      </w:rPr>
      <w:fldChar w:fldCharType="begin"/>
      <w:instrText xml:space="preserve">PAGE</w:instrText>
      <w:fldChar w:fldCharType="separate"/>
      <w:t>1</w:t>
      <w:fldChar w:fldCharType="end"/>
    </w:r>
    <w:r>
      <w:rPr>
        <w:rFonts w:ascii="Calibri" w:hAnsi="Calibri" w:eastAsia="Calibri" w:cs="Calibri"/>
        <w:i w:val="0"/>
        <w:color w:val="595959"/>
        <w:sz w:val="17"/>
      </w:rPr>
      <w:t xml:space="preserve"> of </w:t>
    </w:r>
    <w:r>
      <w:rPr>
        <w:rFonts w:ascii="Calibri" w:hAnsi="Calibri" w:eastAsia="Calibri" w:cs="Calibri"/>
        <w:color w:val="595959"/>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i w:val="0"/>
        <w:color w:val="595959"/>
        <w:sz w:val="17"/>
      </w:rPr>
      <w:t xml:space="preserve">Page </w:t>
    </w:r>
    <w:r>
      <w:rPr>
        <w:rFonts w:ascii="Calibri" w:hAnsi="Calibri" w:eastAsia="Calibri" w:cs="Calibri"/>
        <w:color w:val="595959"/>
        <w:sz w:val="17"/>
      </w:rPr>
      <w:fldChar w:fldCharType="begin"/>
      <w:instrText xml:space="preserve">PAGE</w:instrText>
      <w:fldChar w:fldCharType="separate"/>
      <w:t>1</w:t>
      <w:fldChar w:fldCharType="end"/>
    </w:r>
    <w:r>
      <w:rPr>
        <w:rFonts w:ascii="Calibri" w:hAnsi="Calibri" w:eastAsia="Calibri" w:cs="Calibri"/>
        <w:i w:val="0"/>
        <w:color w:val="595959"/>
        <w:sz w:val="17"/>
      </w:rPr>
      <w:t xml:space="preserve"> of </w:t>
    </w:r>
    <w:r>
      <w:rPr>
        <w:rFonts w:ascii="Calibri" w:hAnsi="Calibri" w:eastAsia="Calibri" w:cs="Calibri"/>
        <w:color w:val="595959"/>
        <w:sz w:val="17"/>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4" w:color="BFBFBF"/>
      </w:pBdr>
    </w:pPr>
    <w:r/>
    <w:r>
      <w:rPr>
        <w:rFonts w:ascii="Calibri" w:hAnsi="Calibri" w:eastAsia="Calibri" w:cs="Calibri"/>
        <w:i w:val="0"/>
        <w:color w:val="595959"/>
        <w:sz w:val="17"/>
      </w:rPr>
      <w:t>Padilla-Villanueva</w:t>
    </w:r>
    <w:r>
      <w:rPr>
        <w:rFonts w:ascii="Calibri" w:hAnsi="Calibri" w:eastAsia="Calibri" w:cs="Calibri"/>
        <w:i/>
        <w:color w:val="595959"/>
        <w:sz w:val="17"/>
      </w:rPr>
      <w:tab/>
      <w:t>Systemic Tau and structural self-repair</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hAnsi="Georgia" w:eastAsia="Georgia" w:cs="Georgia"/>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76" w:lineRule="auto"/>
      <w:ind w:firstLine="0" w:left="0" w:right="0"/>
      <w:jc w:val="both"/>
    </w:pPr>
    <w:rPr>
      <w:rFonts w:ascii="Georgia" w:hAnsi="Georgia" w:eastAsia="Georgia" w:cs="Georgia"/>
      <w:b w:val="0"/>
      <w:i w:val="0"/>
      <w:color w:val="000000"/>
      <w:sz w:val="21"/>
    </w:rPr>
  </w:style>
  <w:style w:styleId="BodyText" w:type="paragraph">
    <w:name w:val="Body Text"/>
    <w:basedOn w:val="Normal"/>
    <w:link w:val="BodyTextChar"/>
    <w:qFormat/>
    <w:pPr>
      <w:spacing w:after="120" w:before="0" w:line="276" w:lineRule="auto"/>
      <w:ind w:firstLine="0" w:left="0" w:right="0"/>
      <w:jc w:val="both"/>
    </w:pPr>
    <w:rPr>
      <w:rFonts w:ascii="Georgia" w:hAnsi="Georgia" w:eastAsia="Georgia" w:cs="Georgia"/>
      <w:b w:val="0"/>
      <w:i w:val="0"/>
      <w:color w:val="000000"/>
      <w:sz w:val="21"/>
    </w:rPr>
  </w:style>
  <w:style w:customStyle="1" w:styleId="FirstParagraph" w:type="paragraph">
    <w:name w:val="First Paragraph"/>
    <w:basedOn w:val="BodyText"/>
    <w:next w:val="BodyText"/>
    <w:qFormat/>
    <w:pPr>
      <w:spacing w:before="0" w:after="120" w:line="276" w:lineRule="auto"/>
      <w:ind w:firstLine="0" w:left="0" w:right="0"/>
      <w:jc w:val="both"/>
    </w:pPr>
    <w:rPr>
      <w:rFonts w:ascii="Georgia" w:hAnsi="Georgia" w:eastAsia="Georgia" w:cs="Georgia"/>
      <w:b w:val="0"/>
      <w:i w:val="0"/>
      <w:color w:val="000000"/>
      <w:sz w:val="21"/>
    </w:rPr>
  </w:style>
  <w:style w:customStyle="1" w:styleId="Compact" w:type="paragraph">
    <w:name w:val="Compact"/>
    <w:basedOn w:val="BodyText"/>
    <w:qFormat/>
    <w:pPr>
      <w:spacing w:after="40" w:before="0" w:line="276" w:lineRule="auto"/>
      <w:ind w:firstLine="0" w:left="0" w:right="0"/>
      <w:jc w:val="left"/>
    </w:pPr>
    <w:rPr>
      <w:rFonts w:ascii="Georgia" w:hAnsi="Georgia" w:eastAsia="Georgia" w:cs="Georgia"/>
      <w:b w:val="0"/>
      <w:i w:val="0"/>
      <w:color w:val="000000"/>
      <w:sz w:val="20"/>
    </w:rPr>
  </w:style>
  <w:style w:styleId="Title" w:type="paragraph">
    <w:name w:val="Title"/>
    <w:basedOn w:val="Normal"/>
    <w:next w:val="BodyText"/>
    <w:link w:val="TitleChar"/>
    <w:uiPriority w:val="10"/>
    <w:qFormat/>
    <w:rsid w:val="00A10FD9"/>
    <w:pPr>
      <w:spacing w:after="200" w:line="252" w:lineRule="auto" w:before="0"/>
      <w:ind w:firstLine="0" w:left="0" w:right="0"/>
      <w:contextualSpacing/>
      <w:jc w:val="left"/>
    </w:pPr>
    <w:rPr>
      <w:rFonts w:ascii="Calibri" w:hAnsi="Calibri" w:eastAsia="Calibri" w:cs="Calibri"/>
      <w:b/>
      <w:i w:val="0"/>
      <w:color w:val="1F3864"/>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40" w:line="276" w:lineRule="auto"/>
      <w:ind w:firstLine="0" w:left="0" w:right="0"/>
      <w:jc w:val="left"/>
    </w:pPr>
    <w:rPr>
      <w:rFonts w:ascii="Georgia" w:hAnsi="Georgia" w:eastAsia="Georgia" w:cs="Georgia"/>
      <w:b/>
      <w:i w:val="0"/>
      <w:color w:val="000000"/>
      <w:sz w:val="23"/>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280" w:before="0" w:line="276" w:lineRule="auto"/>
      <w:ind w:firstLine="0" w:left="0" w:right="0"/>
      <w:jc w:val="both"/>
      <w:pBdr>
        <w:top w:val="single" w:sz="4" w:space="6" w:color="8497B0"/>
        <w:bottom w:val="single" w:sz="4" w:space="6" w:color="8497B0"/>
      </w:pBdr>
    </w:pPr>
    <w:rPr>
      <w:rFonts w:ascii="Georgia" w:hAnsi="Georgia" w:eastAsia="Georgia" w:cs="Georgia"/>
      <w:b w:val="0"/>
      <w:i w:val="0"/>
      <w:color w:val="000000"/>
      <w:sz w:val="21"/>
      <w:szCs w:val="20"/>
    </w:rPr>
  </w:style>
  <w:style w:styleId="Bibliography" w:type="paragraph">
    <w:name w:val="Bibliography"/>
    <w:basedOn w:val="Normal"/>
    <w:next w:val="Bibliography"/>
    <w:qFormat/>
    <w:pPr>
      <w:tabs>
        <w:tab w:pos="425" w:val="left"/>
      </w:tabs>
      <w:spacing w:before="0" w:after="50" w:line="259" w:lineRule="auto"/>
      <w:ind w:left="425" w:right="0" w:hanging="425"/>
      <w:jc w:val="left"/>
    </w:pPr>
    <w:rPr>
      <w:rFonts w:ascii="Georgia" w:hAnsi="Georgia" w:eastAsia="Georgia" w:cs="Georgia"/>
      <w:b w:val="0"/>
      <w:i w:val="0"/>
      <w:color w:val="000000"/>
      <w:sz w:val="18"/>
    </w:rPr>
  </w:style>
  <w:style w:styleId="Heading1" w:type="paragraph">
    <w:name w:val="heading 1"/>
    <w:basedOn w:val="Normal"/>
    <w:next w:val="BodyText"/>
    <w:link w:val="Heading1Char"/>
    <w:uiPriority w:val="9"/>
    <w:qFormat/>
    <w:rsid w:val="00A10FD9"/>
    <w:pPr>
      <w:keepNext/>
      <w:keepLines/>
      <w:spacing w:after="80" w:before="280" w:line="240" w:lineRule="auto"/>
      <w:ind w:firstLine="0" w:left="0" w:right="0"/>
      <w:jc w:val="left"/>
      <w:outlineLvl w:val="0"/>
    </w:pPr>
    <w:rPr>
      <w:rFonts w:ascii="Calibri" w:hAnsi="Calibri" w:eastAsia="Calibri" w:cs="Calibri"/>
      <w:b/>
      <w:i w:val="0"/>
      <w:color w:val="1F3864"/>
      <w:sz w:val="26"/>
      <w:szCs w:val="40"/>
    </w:rPr>
  </w:style>
  <w:style w:styleId="Heading2" w:type="paragraph">
    <w:name w:val="heading 2"/>
    <w:basedOn w:val="Normal"/>
    <w:next w:val="BodyText"/>
    <w:link w:val="Heading2Char"/>
    <w:uiPriority w:val="9"/>
    <w:semiHidden/>
    <w:unhideWhenUsed/>
    <w:qFormat/>
    <w:rsid w:val="00A10FD9"/>
    <w:pPr>
      <w:keepNext/>
      <w:keepLines/>
      <w:spacing w:after="40" w:before="180" w:line="240" w:lineRule="auto"/>
      <w:ind w:firstLine="0" w:left="0" w:right="0"/>
      <w:jc w:val="left"/>
      <w:outlineLvl w:val="1"/>
    </w:pPr>
    <w:rPr>
      <w:rFonts w:ascii="Calibri" w:hAnsi="Calibri" w:eastAsia="Calibri" w:cs="Calibri"/>
      <w:b/>
      <w:i w:val="0"/>
      <w:color w:val="1F3864"/>
      <w:sz w:val="21"/>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left="0" w:right="0" w:firstLine="0"/>
      <w:jc w:val="both"/>
    </w:pPr>
    <w:rPr>
      <w:rFonts w:ascii="Georgia" w:hAnsi="Georgia" w:eastAsia="Georgia" w:cs="Georgia"/>
      <w:b w:val="0"/>
      <w:i w:val="0"/>
      <w:color w:val="00000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Head">
    <w:name w:val="AbstractHead"/>
    <w:basedOn w:val="BodyText"/>
    <w:qFormat/>
    <w:pPr>
      <w:keepNext/>
      <w:spacing w:before="320" w:after="60" w:line="276" w:lineRule="auto"/>
      <w:ind w:firstLine="0" w:left="0" w:right="0"/>
    </w:pPr>
    <w:rPr>
      <w:rFonts w:ascii="Calibri" w:hAnsi="Calibri" w:eastAsia="Calibri" w:cs="Calibri"/>
      <w:b/>
      <w:i w:val="0"/>
      <w:color w:val="1F3864"/>
      <w:sz w:val="22"/>
    </w:rPr>
  </w:style>
  <w:style w:type="paragraph" w:customStyle="1" w:styleId="Affiliation">
    <w:name w:val="Affiliation"/>
    <w:basedOn w:val="BodyText"/>
    <w:qFormat/>
    <w:pPr>
      <w:spacing w:before="0" w:after="20" w:line="264" w:lineRule="auto"/>
      <w:ind w:firstLine="0" w:left="0" w:right="0"/>
      <w:jc w:val="left"/>
    </w:pPr>
    <w:rPr>
      <w:rFonts w:ascii="Georgia" w:hAnsi="Georgia" w:eastAsia="Georgia" w:cs="Georgia"/>
      <w:b w:val="0"/>
      <w:i w:val="0"/>
      <w:color w:val="595959"/>
      <w:sz w:val="18"/>
    </w:rPr>
  </w:style>
  <w:style w:type="paragraph" w:customStyle="1" w:styleId="FigCap">
    <w:name w:val="FigCap"/>
    <w:basedOn w:val="BodyText"/>
    <w:qFormat/>
    <w:pPr>
      <w:spacing w:before="40" w:after="200" w:line="264" w:lineRule="auto"/>
      <w:ind w:firstLine="0" w:left="0" w:right="0"/>
      <w:jc w:val="both"/>
    </w:pPr>
    <w:rPr>
      <w:rFonts w:ascii="Georgia" w:hAnsi="Georgia" w:eastAsia="Georgia" w:cs="Georgia"/>
      <w:b w:val="0"/>
      <w:i w:val="0"/>
      <w:color w:val="000000"/>
      <w:sz w:val="18"/>
    </w:rPr>
  </w:style>
  <w:style w:type="paragraph" w:customStyle="1" w:styleId="TabCap">
    <w:name w:val="TabCap"/>
    <w:basedOn w:val="BodyText"/>
    <w:qFormat/>
    <w:pPr>
      <w:keepNext/>
      <w:spacing w:before="160" w:after="80" w:line="264" w:lineRule="auto"/>
      <w:ind w:firstLine="0" w:left="0" w:right="0"/>
      <w:jc w:val="both"/>
    </w:pPr>
    <w:rPr>
      <w:rFonts w:ascii="Georgia" w:hAnsi="Georgia" w:eastAsia="Georgia" w:cs="Georgia"/>
      <w:b w:val="0"/>
      <w:i w:val="0"/>
      <w:color w:val="00000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57" Type="http://schemas.openxmlformats.org/officeDocument/2006/relationships/hyperlink" Target="https://doi.org/10.1007/978-3-642-69689-3" TargetMode="External"/><Relationship Id="rId55" Type="http://schemas.openxmlformats.org/officeDocument/2006/relationships/hyperlink" Target="https://doi.org/10.1007/978-94-015-1320-3" TargetMode="External"/><Relationship Id="rId77" Type="http://schemas.openxmlformats.org/officeDocument/2006/relationships/hyperlink" Target="https://doi.org/10.1016/0167-2789(92)90102-S" TargetMode="External"/><Relationship Id="rId37" Type="http://schemas.openxmlformats.org/officeDocument/2006/relationships/hyperlink" Target="https://doi.org/10.1016/S0079-7421(08)60536-8" TargetMode="External"/><Relationship Id="rId79" Type="http://schemas.openxmlformats.org/officeDocument/2006/relationships/hyperlink" Target="https://doi.org/10.1016/S0167-2789(00)00043-9" TargetMode="External"/><Relationship Id="rId101" Type="http://schemas.openxmlformats.org/officeDocument/2006/relationships/hyperlink" Target="https://doi.org/10.1016/S0893-6080(97)00011-7" TargetMode="External"/><Relationship Id="rId53" Type="http://schemas.openxmlformats.org/officeDocument/2006/relationships/hyperlink" Target="https://doi.org/10.1016/j.brainresrev.2008.12.023" TargetMode="External"/><Relationship Id="rId51" Type="http://schemas.openxmlformats.org/officeDocument/2006/relationships/hyperlink" Target="https://doi.org/10.1016/j.cell.2008.10.008" TargetMode="External"/><Relationship Id="rId45" Type="http://schemas.openxmlformats.org/officeDocument/2006/relationships/hyperlink" Target="https://doi.org/10.1016/j.neunet.2019.01.012" TargetMode="External"/><Relationship Id="rId81" Type="http://schemas.openxmlformats.org/officeDocument/2006/relationships/hyperlink" Target="https://doi.org/10.1016/j.physrep.2018.06.001" TargetMode="External"/><Relationship Id="rId41" Type="http://schemas.openxmlformats.org/officeDocument/2006/relationships/hyperlink" Target="https://doi.org/10.1016/j.tins.2004.12.003" TargetMode="External"/><Relationship Id="rId59" Type="http://schemas.openxmlformats.org/officeDocument/2006/relationships/hyperlink" Target="https://doi.org/10.1017/CBO9780511755743" TargetMode="External"/><Relationship Id="rId39" Type="http://schemas.openxmlformats.org/officeDocument/2006/relationships/hyperlink" Target="https://doi.org/10.1037/0033-295X.97.2.285" TargetMode="External"/><Relationship Id="rId47" Type="http://schemas.openxmlformats.org/officeDocument/2006/relationships/hyperlink" Target="https://doi.org/10.1038/36103" TargetMode="External"/><Relationship Id="rId107" Type="http://schemas.openxmlformats.org/officeDocument/2006/relationships/hyperlink" Target="https://doi.org/10.1038/nature08227" TargetMode="External"/><Relationship Id="rId49" Type="http://schemas.openxmlformats.org/officeDocument/2006/relationships/hyperlink" Target="https://doi.org/10.1038/nrn1327" TargetMode="External"/><Relationship Id="rId99" Type="http://schemas.openxmlformats.org/officeDocument/2006/relationships/hyperlink" Target="https://doi.org/10.1038/s41467-018-04316-3" TargetMode="External"/><Relationship Id="rId43" Type="http://schemas.openxmlformats.org/officeDocument/2006/relationships/hyperlink" Target="https://doi.org/10.1073/pnas.1611835114" TargetMode="External"/><Relationship Id="rId73" Type="http://schemas.openxmlformats.org/officeDocument/2006/relationships/hyperlink" Target="https://doi.org/10.1093/biomet/30.1-2.81" TargetMode="External"/><Relationship Id="rId75" Type="http://schemas.openxmlformats.org/officeDocument/2006/relationships/hyperlink" Target="https://doi.org/10.1093/biomet/33.3.239" TargetMode="External"/><Relationship Id="rId105" Type="http://schemas.openxmlformats.org/officeDocument/2006/relationships/hyperlink" Target="https://doi.org/10.1103/PhysRevLett.88.174102" TargetMode="External"/><Relationship Id="rId95" Type="http://schemas.openxmlformats.org/officeDocument/2006/relationships/hyperlink" Target="https://doi.org/10.1109/72.279181" TargetMode="External"/><Relationship Id="rId103" Type="http://schemas.openxmlformats.org/officeDocument/2006/relationships/hyperlink" Target="https://doi.org/10.1109/MM.2018.112130359" TargetMode="External"/><Relationship Id="rId89" Type="http://schemas.openxmlformats.org/officeDocument/2006/relationships/hyperlink" Target="https://doi.org/10.1145/2523813" TargetMode="External"/><Relationship Id="rId97" Type="http://schemas.openxmlformats.org/officeDocument/2006/relationships/hyperlink" Target="https://doi.org/10.1162/106365602320169811" TargetMode="External"/><Relationship Id="rId91" Type="http://schemas.openxmlformats.org/officeDocument/2006/relationships/hyperlink" Target="https://doi.org/10.1162/neco.1997.9.8.1735" TargetMode="External"/><Relationship Id="rId93" Type="http://schemas.openxmlformats.org/officeDocument/2006/relationships/hyperlink" Target="https://doi.org/10.1201/9780429246593" TargetMode="External"/><Relationship Id="rId61" Type="http://schemas.openxmlformats.org/officeDocument/2006/relationships/hyperlink" Target="https://doi.org/10.5281/zenodo.17127368" TargetMode="External"/><Relationship Id="rId63" Type="http://schemas.openxmlformats.org/officeDocument/2006/relationships/hyperlink" Target="https://doi.org/10.5281/zenodo.17186886" TargetMode="External"/><Relationship Id="rId69" Type="http://schemas.openxmlformats.org/officeDocument/2006/relationships/hyperlink" Target="https://doi.org/10.5281/zenodo.20185930" TargetMode="External"/><Relationship Id="rId71" Type="http://schemas.openxmlformats.org/officeDocument/2006/relationships/hyperlink" Target="https://doi.org/10.5281/zenodo.20657723" TargetMode="External"/><Relationship Id="rId85" Type="http://schemas.openxmlformats.org/officeDocument/2006/relationships/hyperlink" Target="https://doi.org/10.5281/zenodo.21537494" TargetMode="External"/><Relationship Id="rId65" Type="http://schemas.openxmlformats.org/officeDocument/2006/relationships/hyperlink" Target="https://doi.org/10.5281/zenodo.21753560" TargetMode="External"/><Relationship Id="rId87" Type="http://schemas.openxmlformats.org/officeDocument/2006/relationships/hyperlink" Target="https://doi.org/10.5281/zenodo.22863378" TargetMode="External"/><Relationship Id="rId83" Type="http://schemas.openxmlformats.org/officeDocument/2006/relationships/hyperlink" Target="https://doi.org/10.5281/zenodo.22970079" TargetMode="External"/><Relationship Id="rId67" Type="http://schemas.openxmlformats.org/officeDocument/2006/relationships/hyperlink" Target="https://doi.org/10.5281/zenodo.22970130" TargetMode="External"/><Relationship Id="rId9"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07/978-3-642-69689-3" TargetMode="External"/><Relationship Id="rId55" Type="http://schemas.openxmlformats.org/officeDocument/2006/relationships/hyperlink" Target="https://doi.org/10.1007/978-94-015-1320-3" TargetMode="External"/><Relationship Id="rId77" Type="http://schemas.openxmlformats.org/officeDocument/2006/relationships/hyperlink" Target="https://doi.org/10.1016/0167-2789(92)90102-S" TargetMode="External"/><Relationship Id="rId37" Type="http://schemas.openxmlformats.org/officeDocument/2006/relationships/hyperlink" Target="https://doi.org/10.1016/S0079-7421(08)60536-8" TargetMode="External"/><Relationship Id="rId79" Type="http://schemas.openxmlformats.org/officeDocument/2006/relationships/hyperlink" Target="https://doi.org/10.1016/S0167-2789(00)00043-9" TargetMode="External"/><Relationship Id="rId101" Type="http://schemas.openxmlformats.org/officeDocument/2006/relationships/hyperlink" Target="https://doi.org/10.1016/S0893-6080(97)00011-7" TargetMode="External"/><Relationship Id="rId53" Type="http://schemas.openxmlformats.org/officeDocument/2006/relationships/hyperlink" Target="https://doi.org/10.1016/j.brainresrev.2008.12.023" TargetMode="External"/><Relationship Id="rId51" Type="http://schemas.openxmlformats.org/officeDocument/2006/relationships/hyperlink" Target="https://doi.org/10.1016/j.cell.2008.10.008" TargetMode="External"/><Relationship Id="rId45" Type="http://schemas.openxmlformats.org/officeDocument/2006/relationships/hyperlink" Target="https://doi.org/10.1016/j.neunet.2019.01.012" TargetMode="External"/><Relationship Id="rId81" Type="http://schemas.openxmlformats.org/officeDocument/2006/relationships/hyperlink" Target="https://doi.org/10.1016/j.physrep.2018.06.001" TargetMode="External"/><Relationship Id="rId41" Type="http://schemas.openxmlformats.org/officeDocument/2006/relationships/hyperlink" Target="https://doi.org/10.1016/j.tins.2004.12.003" TargetMode="External"/><Relationship Id="rId59" Type="http://schemas.openxmlformats.org/officeDocument/2006/relationships/hyperlink" Target="https://doi.org/10.1017/CBO9780511755743" TargetMode="External"/><Relationship Id="rId39" Type="http://schemas.openxmlformats.org/officeDocument/2006/relationships/hyperlink" Target="https://doi.org/10.1037/0033-295X.97.2.285" TargetMode="External"/><Relationship Id="rId47" Type="http://schemas.openxmlformats.org/officeDocument/2006/relationships/hyperlink" Target="https://doi.org/10.1038/36103" TargetMode="External"/><Relationship Id="rId107" Type="http://schemas.openxmlformats.org/officeDocument/2006/relationships/hyperlink" Target="https://doi.org/10.1038/nature08227" TargetMode="External"/><Relationship Id="rId49" Type="http://schemas.openxmlformats.org/officeDocument/2006/relationships/hyperlink" Target="https://doi.org/10.1038/nrn1327" TargetMode="External"/><Relationship Id="rId99" Type="http://schemas.openxmlformats.org/officeDocument/2006/relationships/hyperlink" Target="https://doi.org/10.1038/s41467-018-04316-3" TargetMode="External"/><Relationship Id="rId43" Type="http://schemas.openxmlformats.org/officeDocument/2006/relationships/hyperlink" Target="https://doi.org/10.1073/pnas.1611835114" TargetMode="External"/><Relationship Id="rId73" Type="http://schemas.openxmlformats.org/officeDocument/2006/relationships/hyperlink" Target="https://doi.org/10.1093/biomet/30.1-2.81" TargetMode="External"/><Relationship Id="rId75" Type="http://schemas.openxmlformats.org/officeDocument/2006/relationships/hyperlink" Target="https://doi.org/10.1093/biomet/33.3.239" TargetMode="External"/><Relationship Id="rId105" Type="http://schemas.openxmlformats.org/officeDocument/2006/relationships/hyperlink" Target="https://doi.org/10.1103/PhysRevLett.88.174102" TargetMode="External"/><Relationship Id="rId95" Type="http://schemas.openxmlformats.org/officeDocument/2006/relationships/hyperlink" Target="https://doi.org/10.1109/72.279181" TargetMode="External"/><Relationship Id="rId103" Type="http://schemas.openxmlformats.org/officeDocument/2006/relationships/hyperlink" Target="https://doi.org/10.1109/MM.2018.112130359" TargetMode="External"/><Relationship Id="rId89" Type="http://schemas.openxmlformats.org/officeDocument/2006/relationships/hyperlink" Target="https://doi.org/10.1145/2523813" TargetMode="External"/><Relationship Id="rId97" Type="http://schemas.openxmlformats.org/officeDocument/2006/relationships/hyperlink" Target="https://doi.org/10.1162/106365602320169811" TargetMode="External"/><Relationship Id="rId91" Type="http://schemas.openxmlformats.org/officeDocument/2006/relationships/hyperlink" Target="https://doi.org/10.1162/neco.1997.9.8.1735" TargetMode="External"/><Relationship Id="rId93" Type="http://schemas.openxmlformats.org/officeDocument/2006/relationships/hyperlink" Target="https://doi.org/10.1201/9780429246593" TargetMode="External"/><Relationship Id="rId61" Type="http://schemas.openxmlformats.org/officeDocument/2006/relationships/hyperlink" Target="https://doi.org/10.5281/zenodo.17127368" TargetMode="External"/><Relationship Id="rId63" Type="http://schemas.openxmlformats.org/officeDocument/2006/relationships/hyperlink" Target="https://doi.org/10.5281/zenodo.17186886" TargetMode="External"/><Relationship Id="rId69" Type="http://schemas.openxmlformats.org/officeDocument/2006/relationships/hyperlink" Target="https://doi.org/10.5281/zenodo.20185930" TargetMode="External"/><Relationship Id="rId71" Type="http://schemas.openxmlformats.org/officeDocument/2006/relationships/hyperlink" Target="https://doi.org/10.5281/zenodo.20657723" TargetMode="External"/><Relationship Id="rId85" Type="http://schemas.openxmlformats.org/officeDocument/2006/relationships/hyperlink" Target="https://doi.org/10.5281/zenodo.21537494" TargetMode="External"/><Relationship Id="rId65" Type="http://schemas.openxmlformats.org/officeDocument/2006/relationships/hyperlink" Target="https://doi.org/10.5281/zenodo.21753560" TargetMode="External"/><Relationship Id="rId87" Type="http://schemas.openxmlformats.org/officeDocument/2006/relationships/hyperlink" Target="https://doi.org/10.5281/zenodo.22863378" TargetMode="External"/><Relationship Id="rId83" Type="http://schemas.openxmlformats.org/officeDocument/2006/relationships/hyperlink" Target="https://doi.org/10.5281/zenodo.22970079" TargetMode="External"/><Relationship Id="rId67" Type="http://schemas.openxmlformats.org/officeDocument/2006/relationships/hyperlink" Target="https://doi.org/10.5281/zenodo.229701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Systemic Tau as a homeostatic trigger for structural self-repair in event-driven networks</dc:title>
  <dc:creator>Johel Padilla-Villanueva</dc:creator>
  <cp:keywords>Systemic Tau; Kendall tau-b; homeostatic plasticity; structural plasticity; event-driven networks</cp:keywords>
  <dcterms:created xsi:type="dcterms:W3CDTF">2026-09-27T06:01:03Z</dcterms:created>
  <dcterms:modified xsi:type="dcterms:W3CDTF">2026-09-27T06:01:03Z</dcterms:modified>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refs.json</vt:lpwstr>
  </property>
  <property fmtid="{D5CDD505-2E9C-101B-9397-08002B2CF9AE}" pid="3" name="csl">
    <vt:lpwstr>nature.csl</vt:lpwstr>
  </property>
  <property fmtid="{D5CDD505-2E9C-101B-9397-08002B2CF9AE}" pid="4" name="link-citations">
    <vt:lpwstr>False</vt:lpwstr>
  </property>
</Properties>
</file>