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spacing w:before="240" w:after="120"/>
      </w:pPr>
      <w:r>
        <w:rPr>
          <w:b/>
          <w:color w:val="0F172A"/>
          <w:sz w:val="36"/>
        </w:rPr>
        <w:t>Physics-Grounded Hybrid Predictor (PGHP) and Multi-Expert LLM Architecture for Defect Regime Prediction in Metal Additive Manufacturing</w:t>
      </w:r>
    </w:p>
    <w:p>
      <w:pPr>
        <w:spacing w:before="60" w:after="60"/>
      </w:pPr>
      <w:r>
        <w:rPr>
          <w:sz w:val="20"/>
          <w:color w:val="1E293B"/>
        </w:rPr>
        <w:t>Final Technical and Scientific Reproduction Report</w:t>
      </w:r>
    </w:p>
    <w:p>
      <w:pPr>
        <w:spacing w:before="60" w:after="60"/>
      </w:pPr>
      <w:r>
        <w:rPr>
          <w:sz w:val="20"/>
          <w:color w:val="1E293B"/>
        </w:rPr>
        <w:t>Author: Independent AI Research &amp; Verification Team</w:t>
      </w:r>
    </w:p>
    <w:p>
      <w:pPr>
        <w:spacing w:before="60" w:after="60"/>
      </w:pPr>
      <w:r>
        <w:rPr>
          <w:sz w:val="20"/>
          <w:color w:val="1E293B"/>
        </w:rPr>
        <w:t>Affiliation: Advanced Manufacturing &amp; Machine Learning Laboratory</w:t>
      </w:r>
    </w:p>
    <w:p>
      <w:pPr>
        <w:spacing w:before="60" w:after="60"/>
      </w:pPr>
      <w:r>
        <w:rPr>
          <w:sz w:val="20"/>
          <w:color w:val="1E293B"/>
        </w:rPr>
        <w:t>Advisor / Project Guide: Prof. Faculty Advisor Placeholder, Department of Mechanical &amp; Materials Engineering</w:t>
      </w:r>
    </w:p>
    <w:p>
      <w:pPr>
        <w:spacing w:before="60" w:after="60"/>
      </w:pPr>
      <w:r>
        <w:rPr>
          <w:sz w:val="20"/>
          <w:color w:val="1E293B"/>
        </w:rPr>
        <w:t>Date: September 30, 2026</w:t>
      </w:r>
    </w:p>
    <w:p>
      <w:pPr>
        <w:spacing w:before="60" w:after="60"/>
      </w:pPr>
      <w:r>
        <w:rPr>
          <w:sz w:val="20"/>
          <w:color w:val="1E293B"/>
        </w:rPr>
        <w:t>Repository &amp; Release: AdditiveLLM_Reproduction | Version 3.0-Frozen Final</w:t>
      </w:r>
    </w:p>
    <w:p>
      <w:pPr>
        <w:spacing w:before="60" w:after="60"/>
      </w:pPr>
      <w:r>
        <w:rPr>
          <w:sz w:val="20"/>
          <w:color w:val="1E293B"/>
        </w:rPr>
        <w:t>Artifact Archive: AdditiveLLM_Hybrid_Release.zip (2.2 GB)</w:t>
      </w:r>
    </w:p>
    <w:p>
      <w:pPr>
        <w:pBdr>
          <w:bottom w:val="single" w:sz="8" w:space="4" w:color="CBD5E1"/>
        </w:pBdr>
      </w:pPr>
    </w:p>
    <w:p>
      <w:pPr>
        <w:pStyle w:val="Heading2"/>
        <w:spacing w:before="200" w:after="80"/>
      </w:pPr>
      <w:r>
        <w:rPr>
          <w:b/>
          <w:color w:val="0369A1"/>
          <w:sz w:val="28"/>
        </w:rPr>
        <w:t>2. Abstract</w:t>
      </w:r>
    </w:p>
    <w:p>
      <w:pPr>
        <w:spacing w:before="60" w:after="60"/>
      </w:pPr>
      <w:r>
        <w:rPr>
          <w:sz w:val="20"/>
          <w:color w:val="1E293B"/>
        </w:rPr>
        <w:t>Single-track melt pool stability in laser powder bed fusion (L-PBF) governs the formation of critical porosity defects, including keyholing, lack of fusion, and balling. While recent literature (Pak &amp; Barati Farimani, 2025, Additive Manufacturing Letters) claimed 94.23% accuracy using fine-tuned large language models, our forensic audit uncovered that 99.87% of their validation samples were synthetic sibling rows of training instances (results/leakage_check.txt), masking severe data leakage and inflating reported performance. In this work, we present a publication-standard reproduction, forensic audit, and the Physics-Grounded Hybrid Predictor (PGHP). PGHP couples closed-form 3D Rosenthal conduction theory with a learned residual-correction gradient boosting ensemble across a strictly group-safe, leakage-free benchmark of 252,106 samples across 30 alloys. On the primary deployment benchmark (Tier A in-distribution and Tier B held-out melt pool parameter groups, N=213,209), PGHP achieves 94.12% ± 0.190% mean accuracy across 5 independent seeds and 94.32% final ensemble accuracy (0.9528 Macro F1) (results/FINAL_MASTER_RESULTS.csv), statistically outperforming all self-reproduced language baselines (p &lt; 0.0001, results/significance_test.csv). For zero-shot cross-alloy generalization on held-out Inconel 625 (Tier C, N=38,897), empirical diagnostics confirm an intrinsic Case B data-distribution ceiling (results/tierc_ceiling_diagnostic.csv). We preserve and freeze the ungrounded v2 black-box hybrid as the superior zero-shot performer (65.61% ensemble accuracy / 0.5256 Macro F1, results/final_freeze_verification_v2_tierc.csv), transparently disclosing why simplified Rosenthal priors underperform on extreme optical absorptivity shifts (A=0.65). All code, checkpoints, and data are frozen for deterministic reproducibility.</w:t>
      </w:r>
    </w:p>
    <w:p>
      <w:pPr>
        <w:pBdr>
          <w:bottom w:val="single" w:sz="8" w:space="4" w:color="CBD5E1"/>
        </w:pBdr>
      </w:pPr>
    </w:p>
    <w:p>
      <w:pPr>
        <w:pStyle w:val="Heading2"/>
        <w:spacing w:before="200" w:after="80"/>
      </w:pPr>
      <w:r>
        <w:rPr>
          <w:b/>
          <w:color w:val="0369A1"/>
          <w:sz w:val="28"/>
        </w:rPr>
        <w:t>3. Introduction and Problem Statement</w:t>
      </w:r>
    </w:p>
    <w:p>
      <w:pPr>
        <w:pStyle w:val="Heading3"/>
        <w:spacing w:before="160" w:after="60"/>
      </w:pPr>
      <w:r>
        <w:rPr>
          <w:b/>
          <w:color w:val="334155"/>
          <w:sz w:val="24"/>
        </w:rPr>
        <w:t>3.1. Laser Powder Bed Fusion and Defect Formation Mechanisms</w:t>
      </w:r>
    </w:p>
    <w:p>
      <w:pPr>
        <w:spacing w:before="60" w:after="60"/>
      </w:pPr>
      <w:r>
        <w:rPr>
          <w:sz w:val="20"/>
          <w:color w:val="1E293B"/>
        </w:rPr>
        <w:t>Laser Powder Bed Fusion (L-PBF) is an advanced additive manufacturing technique wherein a focused laser beam selectively melts thin layers of metal powder along pre-programmed raster scan vectors. Defect formation during single-track consolidation directly impairs the mechanical integrity, fatigue life, and relative density of manufactured components. The physical regime of the consolidated track is dictated by localized heat transfer, phase transformation, and melt pool hydrodynamics, categorizing single tracks into four distinct regimes (Pak &amp; Barati Farimani, 2025):</w:t>
      </w:r>
    </w:p>
    <w:p>
      <w:pPr>
        <w:spacing w:before="60" w:after="60"/>
      </w:pPr>
      <w:r>
        <w:rPr>
          <w:sz w:val="20"/>
          <w:color w:val="1E293B"/>
        </w:rPr>
        <w:t>1. Optimal Conduction Mode (None): The energy input is balanced, producing a stable, semi-ellipsoidal melt pool where the track cleanly consolidates without deep depression or surface bead break-up.</w:t>
      </w:r>
    </w:p>
    <w:p>
      <w:pPr>
        <w:spacing w:before="60" w:after="60"/>
      </w:pPr>
      <w:r>
        <w:rPr>
          <w:sz w:val="20"/>
          <w:color w:val="1E293B"/>
        </w:rPr>
        <w:t>2. Keyhole Porosity (Keyhole): Excessive localized energy input boils volatile alloying elements, generating an intense vapor recoil pressure that depresses the melt pool into a deep, narrow cavity (w/d \le 1.5). When the moving cavity collapses, trapped metal vapors and shielding gases form spherical, deep pores at the track root.</w:t>
      </w:r>
    </w:p>
    <w:p>
      <w:pPr>
        <w:spacing w:before="60" w:after="60"/>
      </w:pPr>
      <w:r>
        <w:rPr>
          <w:sz w:val="20"/>
          <w:color w:val="1E293B"/>
        </w:rPr>
        <w:t>3. Lack of Fusion Porosity (Lack_of_Fusion): Insufficient volumetric energy density or excessive hatch spacing fails to fully penetrate the prior layer or adjacent track, leaving irregularly shaped, un-melted powder cavities with sharp, stress-concentrating geometries.</w:t>
      </w:r>
    </w:p>
    <w:p>
      <w:pPr>
        <w:spacing w:before="60" w:after="60"/>
      </w:pPr>
      <w:r>
        <w:rPr>
          <w:sz w:val="20"/>
          <w:color w:val="1E293B"/>
        </w:rPr>
        <w:t>4. Balling Defect (Balling): At high scan velocities and long, narrow melt pools, Plateau-Rayleigh hydrodynamic capillary instability breaks the continuous liquid cylinder into isolated spherical droplets (l/w \ge \pi), leaving discontinuous tracks and rough inter-layer voids.</w:t>
      </w:r>
    </w:p>
    <w:p>
      <w:pPr>
        <w:pStyle w:val="Heading3"/>
        <w:spacing w:before="160" w:after="60"/>
      </w:pPr>
      <w:r>
        <w:rPr>
          <w:b/>
          <w:color w:val="334155"/>
          <w:sz w:val="24"/>
        </w:rPr>
        <w:t>3.2. Governing Physical Defect Criteria</w:t>
      </w:r>
    </w:p>
    <w:p>
      <w:pPr>
        <w:spacing w:before="60" w:after="60"/>
      </w:pPr>
      <w:r>
        <w:rPr>
          <w:sz w:val="20"/>
          <w:color w:val="1E293B"/>
        </w:rPr>
        <w:t>The base paper (Pak &amp; Barati Farimani, 2025) formalized defect regime boundaries through three semi-empirical geometric and energetic criteria:</w:t>
      </w:r>
    </w:p>
    <w:p>
      <w:pPr>
        <w:spacing w:before="60" w:after="60"/>
      </w:pPr>
      <w:r>
        <w:rPr>
          <w:sz w:val="20"/>
          <w:color w:val="1E293B"/>
        </w:rPr>
        <w:t>$\text{Keyhole Criterion (Eq. 1):} \quad \frac{w}{d} \le 1.5$</w:t>
      </w:r>
    </w:p>
    <w:p>
      <w:pPr>
        <w:spacing w:before="60" w:after="60"/>
      </w:pPr>
      <w:r>
        <w:rPr>
          <w:sz w:val="20"/>
          <w:color w:val="1E293B"/>
        </w:rPr>
        <w:t>$\text{Lack of Fusion Criterion (Eq. 2):} \quad \left(\frac{h}{w}\right)^2 + \left(\frac{t}{d}\right)^2 &gt; 1.0$</w:t>
      </w:r>
    </w:p>
    <w:p>
      <w:pPr>
        <w:spacing w:before="60" w:after="60"/>
      </w:pPr>
      <w:r>
        <w:rPr>
          <w:sz w:val="20"/>
          <w:color w:val="1E293B"/>
        </w:rPr>
        <w:t>$\text{Balling Criterion (Eq. 3):} \quad \frac{l}{w} \ge \pi \approx 3.1416$</w:t>
      </w:r>
    </w:p>
    <w:p>
      <w:pPr>
        <w:spacing w:before="60" w:after="60"/>
      </w:pPr>
      <w:r>
        <w:rPr>
          <w:sz w:val="20"/>
          <w:color w:val="1E293B"/>
        </w:rPr>
        <w:t>where w, d, and l represent the melt-pool width, depth, and length, respectively; h is the hatch spacing; and t is the layer thickness.</w:t>
      </w:r>
    </w:p>
    <w:p>
      <w:pPr>
        <w:pStyle w:val="Heading3"/>
        <w:spacing w:before="160" w:after="60"/>
      </w:pPr>
      <w:r>
        <w:rPr>
          <w:b/>
          <w:color w:val="334155"/>
          <w:sz w:val="24"/>
        </w:rPr>
        <w:t>3.3. Base Paper Claims and Research Gaps Identified</w:t>
      </w:r>
    </w:p>
    <w:p>
      <w:pPr>
        <w:spacing w:before="60" w:after="60"/>
      </w:pPr>
      <w:r>
        <w:rPr>
          <w:sz w:val="20"/>
          <w:color w:val="1E293B"/>
        </w:rPr>
        <w:t>Pak &amp; Barati Farimani (2025) proposed fine-tuning large language models (Llama-3.2-1B, DistilBERT, GPT-4) on textual representations of L-PBF process parameters:</w:t>
      </w:r>
    </w:p>
    <w:p>
      <w:pPr>
        <w:spacing w:before="60" w:after="60"/>
      </w:pPr>
      <w:r>
        <w:rPr>
          <w:sz w:val="20"/>
          <w:color w:val="1E293B"/>
        </w:rPr>
        <w:t>Material: 316L Stainless Steel | Laser Power: 200 W | Scan Speed: 1000 mm/s |</w:t>
      </w:r>
    </w:p>
    <w:p>
      <w:pPr>
        <w:spacing w:before="60" w:after="60"/>
      </w:pPr>
      <w:r>
        <w:rPr>
          <w:sz w:val="20"/>
          <w:color w:val="1E293B"/>
        </w:rPr>
        <w:t>Hatch Spacing: 100 µm | Layer Thickness: 30 µm | Beam Diameter: 100 µm</w:t>
      </w:r>
    </w:p>
    <w:p>
      <w:pPr>
        <w:spacing w:before="60" w:after="60"/>
      </w:pPr>
      <w:r>
        <w:rPr>
          <w:sz w:val="20"/>
          <w:color w:val="1E293B"/>
        </w:rPr>
        <w:t>The authors reported 94.23% validation accuracy and 0.9059 macro F1 with Llama-3.2-1B, claiming that autoregressive transformers inherently learn physical defect boundaries directly from serialized strings.</w:t>
      </w:r>
    </w:p>
    <w:p>
      <w:pPr>
        <w:spacing w:before="60" w:after="60"/>
      </w:pPr>
      <w:r>
        <w:rPr>
          <w:sz w:val="20"/>
          <w:color w:val="1E293B"/>
        </w:rPr>
        <w:t>However, our forensic audit identified fundamental methodological and physical limitations, documented in results/gap_justification.md:</w:t>
      </w:r>
    </w:p>
    <w:p>
      <w:pPr>
        <w:spacing w:before="60" w:after="60"/>
      </w:pPr>
      <w:r>
        <w:rPr>
          <w:sz w:val="20"/>
          <w:color w:val="1E293B"/>
        </w:rPr>
        <w:t>1. Catastrophic Augmented Sibling Row Leakage: The base dataset was generated by taking unique combinations of (P, v, d, \text{material}) and synthetically replicating them hundreds of times across synthetic grids of hatch spacing (h) and layer thickness (t). Because single-track keyholing and balling depend solely on single-track physics (P, v, d), all augmented rows share identical ground-truth defect labels. As proven in results/leakage_check.txt, the paper's random 80/10/10 split assigned 99.87% of validation samples (72,382 out of 72,475) to identical physical sibling groups present in training. The linear head merely memorized seen (P, v) coordinates.</w:t>
      </w:r>
    </w:p>
    <w:p>
      <w:pPr>
        <w:spacing w:before="60" w:after="60"/>
      </w:pPr>
      <w:r>
        <w:rPr>
          <w:sz w:val="20"/>
          <w:color w:val="1E293B"/>
        </w:rPr>
        <w:t>2. Absence of Held-Out Process Parameter Testing: The paper never tested whether models could interpolate or extrapolate to unseen laser power or speed groups on known alloys without sibling contamination.</w:t>
      </w:r>
    </w:p>
    <w:p>
      <w:pPr>
        <w:spacing w:before="60" w:after="60"/>
      </w:pPr>
      <w:r>
        <w:rPr>
          <w:sz w:val="20"/>
          <w:color w:val="1E293B"/>
        </w:rPr>
        <w:t>3. Absence of Out-of-Distribution (OOD) Cross-Alloy Evaluation: The paper evaluated zero cross-material transfer. It never tested whether a model trained on steels and titanium could predict defect regimes on superalloys or aluminum.</w:t>
      </w:r>
    </w:p>
    <w:p>
      <w:pPr>
        <w:spacing w:before="60" w:after="60"/>
      </w:pPr>
      <w:r>
        <w:rPr>
          <w:sz w:val="20"/>
          <w:color w:val="1E293B"/>
        </w:rPr>
        <w:t>4. Lack of Physical Grounding and Domain Invariance: Pure black-box token embeddings ignore fundamental thermophysical properties (thermal conductivity k, optical absorptivity A, density \rho, specific heat C_p, and melting point T_m).</w:t>
      </w:r>
    </w:p>
    <w:p>
      <w:pPr>
        <w:spacing w:before="60" w:after="60"/>
      </w:pPr>
      <w:r>
        <w:rPr>
          <w:sz w:val="20"/>
          <w:color w:val="1E293B"/>
        </w:rPr>
        <w:t>5. No Statistical Significance Testing: The paper reported single-seed point estimates without standard deviations, paired hypothesis tests, or confidence intervals.</w:t>
      </w:r>
    </w:p>
    <w:p>
      <w:pPr>
        <w:spacing w:before="60" w:after="60"/>
      </w:pPr>
      <w:r>
        <w:rPr>
          <w:sz w:val="20"/>
          <w:color w:val="1E293B"/>
        </w:rPr>
        <w:t>6. Fragile Prompt Formatting: In natural language prompt mode, the paper's reported accuracy dropped by 12.01% (from 94.23% to 82.22%), indicating vulnerability to tokenization perturbations.</w:t>
      </w:r>
    </w:p>
    <w:p>
      <w:pPr>
        <w:spacing w:before="60" w:after="60"/>
      </w:pPr>
      <w:r>
        <w:rPr>
          <w:sz w:val="20"/>
          <w:color w:val="1E293B"/>
        </w:rPr>
        <w:t>7. No Real-Time Interactive Verification: The paper provided no interactive deployment platform or API to evaluate model behavior across continuous physical parameter sliders.</w:t>
      </w:r>
    </w:p>
    <w:p>
      <w:pPr>
        <w:pBdr>
          <w:bottom w:val="single" w:sz="8" w:space="4" w:color="CBD5E1"/>
        </w:pBdr>
      </w:pPr>
    </w:p>
    <w:p>
      <w:pPr>
        <w:pStyle w:val="Heading2"/>
        <w:spacing w:before="200" w:after="80"/>
      </w:pPr>
      <w:r>
        <w:rPr>
          <w:b/>
          <w:color w:val="0369A1"/>
          <w:sz w:val="28"/>
        </w:rPr>
        <w:t>4. Background Theory</w:t>
      </w:r>
    </w:p>
    <w:p>
      <w:pPr>
        <w:pStyle w:val="Heading3"/>
        <w:spacing w:before="160" w:after="60"/>
      </w:pPr>
      <w:r>
        <w:rPr>
          <w:b/>
          <w:color w:val="334155"/>
          <w:sz w:val="24"/>
        </w:rPr>
        <w:t>4.1. Analytical Melt Pool Conduction (The Rosenthal Solution)</w:t>
      </w:r>
    </w:p>
    <w:p>
      <w:pPr>
        <w:spacing w:before="60" w:after="60"/>
      </w:pPr>
      <w:r>
        <w:rPr>
          <w:sz w:val="20"/>
          <w:color w:val="1E293B"/>
        </w:rPr>
        <w:t>To provide first-principles physical grounding without empirical label contamination, we implement the classical 3D steady-state Rosenthal moving heat-source conduction model (Rosenthal, 1946). Assuming a semi-infinite isotropic medium with temperature-independent thermal properties:</w:t>
      </w:r>
    </w:p>
    <w:p>
      <w:pPr>
        <w:spacing w:before="60" w:after="60"/>
      </w:pPr>
      <w:r>
        <w:rPr>
          <w:sz w:val="20"/>
          <w:color w:val="1E293B"/>
        </w:rPr>
        <w:t>$T(x,y,z) - T_0 = \frac{A P}{2 \pi k R} \exp\left(-\frac{v (R + x)}{2 \alpha}\right)$</w:t>
      </w:r>
    </w:p>
    <w:p>
      <w:pPr>
        <w:spacing w:before="60" w:after="60"/>
      </w:pPr>
      <w:r>
        <w:rPr>
          <w:sz w:val="20"/>
          <w:color w:val="1E293B"/>
        </w:rPr>
        <w:t>where R = \sqrt{x^2 + y^2 + z^2} is the radial distance from the laser focal point, P is laser power, v is scan velocity, A is optical absorptivity at 1070 nm wavelength, k is thermal conductivity, \alpha = k / (\rho C_p) is thermal diffusivity, and T_0 is ambient substrate temperature (300 K).</w:t>
      </w:r>
    </w:p>
    <w:p>
      <w:pPr>
        <w:spacing w:before="60" w:after="60"/>
      </w:pPr>
      <w:r>
        <w:rPr>
          <w:sz w:val="20"/>
          <w:color w:val="1E293B"/>
        </w:rPr>
        <w:t>From this classical field, closed-form expressions for melt-pool dimensions are derived:</w:t>
      </w:r>
    </w:p>
    <w:p>
      <w:pPr>
        <w:spacing w:before="60" w:after="60"/>
      </w:pPr>
      <w:r>
        <w:rPr>
          <w:sz w:val="20"/>
          <w:color w:val="1E293B"/>
        </w:rPr>
        <w:t>$w_{\text{Rosenthal}} = \sqrt{\frac{8 A P}{\pi e \rho C_p (T_m - T_0) v} + 4 \sigma^2}$</w:t>
      </w:r>
    </w:p>
    <w:p>
      <w:pPr>
        <w:spacing w:before="60" w:after="60"/>
      </w:pPr>
      <w:r>
        <w:rPr>
          <w:sz w:val="20"/>
          <w:color w:val="1E293B"/>
        </w:rPr>
        <w:t>$d_{\text{Rosenthal}} = \frac{w_{\text{Rosenthal}}}{2.1} \cdot \left[1.0 + 1.2 \max(0, \beta - 6.0)\right]$</w:t>
      </w:r>
    </w:p>
    <w:p>
      <w:pPr>
        <w:spacing w:before="60" w:after="60"/>
      </w:pPr>
      <w:r>
        <w:rPr>
          <w:sz w:val="20"/>
          <w:color w:val="1E293B"/>
        </w:rPr>
        <w:t>$l_{\text{Rosenthal}} = w_{\text{Rosenthal}} \cdot \left[1.8 + 0.6 \left(\frac{v}{1.0}\right) \sqrt{\frac{100}{P + 10^{-4}}}\right]$</w:t>
      </w:r>
    </w:p>
    <w:p>
      <w:pPr>
        <w:spacing w:before="60" w:after="60"/>
      </w:pPr>
      <w:r>
        <w:rPr>
          <w:sz w:val="20"/>
          <w:color w:val="1E293B"/>
        </w:rPr>
        <w:t>where \sigma = d_{\text{beam}} / 2 is the laser spot radius, T_m is the alloy melting point, and \beta is the normalized enthalpy:</w:t>
      </w:r>
    </w:p>
    <w:p>
      <w:pPr>
        <w:spacing w:before="60" w:after="60"/>
      </w:pPr>
      <w:r>
        <w:rPr>
          <w:sz w:val="20"/>
          <w:color w:val="1E293B"/>
        </w:rPr>
        <w:t>$\beta = \frac{A P}{\pi \rho C_p (T_m - T_0) \sqrt{\alpha v \sigma^3}}$</w:t>
      </w:r>
    </w:p>
    <w:p>
      <w:pPr>
        <w:spacing w:before="60" w:after="60"/>
      </w:pPr>
      <w:r>
        <w:rPr>
          <w:sz w:val="20"/>
          <w:color w:val="1E293B"/>
        </w:rPr>
        <w:t>Dimensionless transport numbers further characterize advection and thermal boundary layers:</w:t>
      </w:r>
    </w:p>
    <w:p>
      <w:pPr>
        <w:ind w:left="360"/>
        <w:spacing w:before="40" w:after="40"/>
      </w:pPr>
      <w:r>
        <w:rPr>
          <w:sz w:val="20"/>
        </w:rPr>
        <w:t>•  Thermal Péclet Number (Pe): Pe = (v \cdot \sigma) / \alpha, measuring the ratio of advective to diffusive thermal transport.</w:t>
      </w:r>
    </w:p>
    <w:p>
      <w:pPr>
        <w:ind w:left="360"/>
        <w:spacing w:before="40" w:after="40"/>
      </w:pPr>
      <w:r>
        <w:rPr>
          <w:sz w:val="20"/>
        </w:rPr>
        <w:t>•  Volumetric Energy Density (VED): \text{VED} = P / (v \cdot h \cdot t), characterizing nominal energy input per unit volume (J/\text{mm}^3).</w:t>
      </w:r>
    </w:p>
    <w:p>
      <w:pPr>
        <w:pStyle w:val="Heading3"/>
        <w:spacing w:before="160" w:after="60"/>
      </w:pPr>
      <w:r>
        <w:rPr>
          <w:b/>
          <w:color w:val="334155"/>
          <w:sz w:val="24"/>
        </w:rPr>
        <w:t>4.2. Machine Learning Concepts in the PGHP Stack</w:t>
      </w:r>
    </w:p>
    <w:p>
      <w:pPr>
        <w:spacing w:before="60" w:after="60"/>
      </w:pPr>
      <w:r>
        <w:rPr>
          <w:sz w:val="20"/>
          <w:color w:val="1E293B"/>
        </w:rPr>
        <w:t>1. Low-Rank Adaptation (LoRA): LoRA (Hu et al., 2021) freezes pre-trained transformer backbones (W_0 \in \mathbb{R}^{d \times k}) and injects trainable low-rank rank-decomposition matrices B \in \mathbb{R}^{d \times r} and A \in \mathbb{R}^{r \times k} (r=8, \alpha=16):</w:t>
      </w:r>
    </w:p>
    <w:p>
      <w:pPr>
        <w:spacing w:before="60" w:after="60"/>
      </w:pPr>
      <w:r>
        <w:rPr>
          <w:sz w:val="20"/>
          <w:color w:val="1E293B"/>
        </w:rPr>
        <w:t>$W_{\text{eff}} = W_0 + \frac{\alpha}{r} (B \cdot A)$</w:t>
      </w:r>
    </w:p>
    <w:p>
      <w:pPr>
        <w:spacing w:before="60" w:after="60"/>
      </w:pPr>
      <w:r>
        <w:rPr>
          <w:sz w:val="20"/>
          <w:color w:val="1E293B"/>
        </w:rPr>
        <w:t>This reduces trainable parameters by &gt;98% while preventing catastrophic forgetting.</w:t>
      </w:r>
    </w:p>
    <w:p>
      <w:pPr>
        <w:spacing w:before="60" w:after="60"/>
      </w:pPr>
      <w:r>
        <w:rPr>
          <w:sz w:val="20"/>
          <w:color w:val="1E293B"/>
        </w:rPr>
        <w:t>2. Attention-Mask-Weighted Mean Pooling: In text backbones, raw [CLS] token pooling can exhibit length and padding sensitivity. Mask-weighted pooling computes:</w:t>
      </w:r>
    </w:p>
    <w:p>
      <w:pPr>
        <w:spacing w:before="60" w:after="60"/>
      </w:pPr>
      <w:r>
        <w:rPr>
          <w:sz w:val="20"/>
          <w:color w:val="1E293B"/>
        </w:rPr>
        <w:t>$e = \frac{\sum_{i=1}^L m_i h_i}{\sum_{i=1}^L m_i}$</w:t>
      </w:r>
    </w:p>
    <w:p>
      <w:pPr>
        <w:spacing w:before="60" w:after="60"/>
      </w:pPr>
      <w:r>
        <w:rPr>
          <w:sz w:val="20"/>
          <w:color w:val="1E293B"/>
        </w:rPr>
        <w:t>where h_i is the hidden state and m_i \in \{0, 1\} is the attention mask.</w:t>
      </w:r>
    </w:p>
    <w:p>
      <w:pPr>
        <w:spacing w:before="60" w:after="60"/>
      </w:pPr>
      <w:r>
        <w:rPr>
          <w:sz w:val="20"/>
          <w:color w:val="1E293B"/>
        </w:rPr>
        <w:t>3. Gradient-Boosted Decision Trees (LightGBM &amp; XGBoost): Asymmetric gradient boosting on histogram-binned numerical features learns sharp, discontinuous defect boundaries governed by non-linear physical ratios without requiring feature normalization.</w:t>
      </w:r>
    </w:p>
    <w:p>
      <w:pPr>
        <w:spacing w:before="60" w:after="60"/>
      </w:pPr>
      <w:r>
        <w:rPr>
          <w:sz w:val="20"/>
          <w:color w:val="1E293B"/>
        </w:rPr>
        <w:t>4. Tri-Model Stacking and Decision Calibration: Out-of-fold probability estimates from heterogeneous learners (LightGBM, XGBoost, CatBoost) are blended and calibrated using per-class probability thresholds to optimize macro F1 under severe class imbalances.</w:t>
      </w:r>
    </w:p>
    <w:p>
      <w:pPr>
        <w:pBdr>
          <w:bottom w:val="single" w:sz="8" w:space="4" w:color="CBD5E1"/>
        </w:pBdr>
      </w:pPr>
    </w:p>
    <w:p>
      <w:pPr>
        <w:pStyle w:val="Heading2"/>
        <w:spacing w:before="200" w:after="80"/>
      </w:pPr>
      <w:r>
        <w:rPr>
          <w:b/>
          <w:color w:val="0369A1"/>
          <w:sz w:val="28"/>
        </w:rPr>
        <w:t>5. Methodology / Implementation Details</w:t>
      </w:r>
    </w:p>
    <w:p>
      <w:pPr>
        <w:pStyle w:val="Heading3"/>
        <w:spacing w:before="160" w:after="60"/>
      </w:pPr>
      <w:r>
        <w:rPr>
          <w:b/>
          <w:color w:val="334155"/>
          <w:sz w:val="24"/>
        </w:rPr>
        <w:t>5.1. Dataset Architecture &amp; Group-Safe Leakage-Free Splitting</w:t>
      </w:r>
    </w:p>
    <w:p>
      <w:pPr>
        <w:spacing w:before="60" w:after="60"/>
      </w:pPr>
      <w:r>
        <w:rPr>
          <w:sz w:val="20"/>
          <w:color w:val="1E293B"/>
        </w:rPr>
        <w:t>The experimental database aggregates single-track simulation and experimental measurements from MeltpoolNet and high-fidelity FLOW-3D multi-physics fluid simulations, comprising 472,655 training rows and 252,106 held-out test rows across 30 unique alloys (results/material_properties.csv).</w:t>
      </w:r>
    </w:p>
    <w:p>
      <w:pPr>
        <w:spacing w:before="60" w:after="60"/>
      </w:pPr>
      <w:r>
        <w:rPr>
          <w:sz w:val="20"/>
          <w:color w:val="1E293B"/>
        </w:rPr>
        <w:t>To eradicate augmented sibling leakage, we implemented the Group-Safe Splitting Protocol:</w:t>
      </w:r>
    </w:p>
    <w:p>
      <w:pPr>
        <w:ind w:left="360"/>
        <w:spacing w:before="40" w:after="40"/>
      </w:pPr>
      <w:r>
        <w:rPr>
          <w:sz w:val="20"/>
        </w:rPr>
        <w:t>•  Group A Physical Key: Defined as the unique tuple of primary single-track variables:</w:t>
      </w:r>
    </w:p>
    <w:p>
      <w:pPr>
        <w:spacing w:before="60" w:after="60"/>
      </w:pPr>
      <w:r>
        <w:rPr>
          <w:sz w:val="20"/>
          <w:color w:val="1E293B"/>
        </w:rPr>
        <w:t>$\text{Key}_{\text{phys}} = (\text{Material}, \text{Power } P, \text{Velocity } v, \text{Beam Diameter } d_{\text{beam}})$</w:t>
      </w:r>
    </w:p>
    <w:p>
      <w:pPr>
        <w:ind w:left="360"/>
        <w:spacing w:before="40" w:after="40"/>
      </w:pPr>
      <w:r>
        <w:rPr>
          <w:sz w:val="20"/>
        </w:rPr>
        <w:t>•  Group B Secondary Augmentation Variables: Grid variations in hatch spacing (h) and layer thickness (t).</w:t>
      </w:r>
    </w:p>
    <w:p>
      <w:pPr>
        <w:spacing w:before="60" w:after="60"/>
      </w:pPr>
      <w:r>
        <w:rPr>
          <w:sz w:val="20"/>
          <w:color w:val="1E293B"/>
        </w:rPr>
        <w:t>All augmented siblings sharing the identical Group A physical key are strictly quarantined into the same partition:</w:t>
      </w:r>
    </w:p>
    <w:p>
      <w:pPr>
        <w:spacing w:before="60" w:after="60"/>
      </w:pPr>
      <w:r>
        <w:rPr>
          <w:sz w:val="20"/>
          <w:color w:val="1E293B"/>
        </w:rPr>
        <w:t>1. Tier A (In-Distribution Validation, N=83,074): Same alloys as training, but partitioned such that validation Group A keys are completely absent from training. Measures interpolation within seen parameter ranges.</w:t>
      </w:r>
    </w:p>
    <w:p>
      <w:pPr>
        <w:spacing w:before="60" w:after="60"/>
      </w:pPr>
      <w:r>
        <w:rPr>
          <w:sz w:val="20"/>
          <w:color w:val="1E293B"/>
        </w:rPr>
        <w:t>2. Tier B (Held-Out Physical Parameter Groups, N=130,135): Completely unseen (P, v, d_{\text{beam}}) combinations on seen alloys, with zero physical sibling rows in training. Tests generalization across operating process windows.</w:t>
      </w:r>
    </w:p>
    <w:p>
      <w:pPr>
        <w:spacing w:before="60" w:after="60"/>
      </w:pPr>
      <w:r>
        <w:rPr>
          <w:sz w:val="20"/>
          <w:color w:val="1E293B"/>
        </w:rPr>
        <w:t>3. Tier C (Held-Out Metallurgical Superalloys, N=38,897): Entire alloy families (Inconel 625, \text{AlSi10Mg}) completely withheld from training. Tests true zero-shot cross-material generalization across divergent thermal conductivities and optical absorptivities.</w:t>
      </w:r>
    </w:p>
    <w:p>
      <w:pPr>
        <w:shd w:val="clear" w:color="auto" w:fill="F1F5F9"/>
        <w:spacing w:before="60" w:after="60"/>
      </w:pPr>
      <w:r>
        <w:rPr>
          <w:b/>
          <w:color w:val="0284C7"/>
          <w:sz w:val="18"/>
        </w:rPr>
        <w:t>+----------------------------------------------------------------------------------------------------+</w:t>
      </w:r>
    </w:p>
    <w:tbl>
      <w:tblPr>
        <w:tblBorders>
          <w:top w:val="single" w:sz="4" w:space="0" w:color="CCCCCC"/>
          <w:left w:val="none"/>
          <w:bottom w:val="single" w:sz="4" w:space="0" w:color="CCCCCC"/>
          <w:right w:val="none"/>
          <w:insideH w:val="single" w:sz="4" w:space="0" w:color="EEEEEE"/>
          <w:insideV w:val="none"/>
        </w:tblBorders>
      </w:tblPr>
      <w:tr>
        <w:tc>
          <w:tcPr>
            <w:shd w:val="clear" w:color="auto" w:fill="1E293B"/>
            <w:tcMar>
              <w:top w:w="120" w:type="dxa"/>
              <w:bottom w:w="120" w:type="dxa"/>
              <w:left w:w="150" w:type="dxa"/>
              <w:right w:w="150" w:type="dxa"/>
            </w:tcMar>
          </w:tcPr>
          <w:p>
            <w:r>
              <w:rPr>
                <w:b/>
                <w:color w:val="FFFFFF"/>
                <w:sz w:val="18"/>
              </w:rPr>
              <w:t>FIGURE 1: DATA PREPROCESSING AND ARCHITECTURE PIPELINE</w:t>
            </w:r>
          </w:p>
        </w:tc>
      </w:tr>
      <w:tr>
        <w:tc>
          <w:tcPr>
            <w:shd w:val="clear" w:color="auto" w:fill="F8FAFC"/>
            <w:tcMar>
              <w:top w:w="120" w:type="dxa"/>
              <w:bottom w:w="120" w:type="dxa"/>
              <w:left w:w="150" w:type="dxa"/>
              <w:right w:w="150" w:type="dxa"/>
            </w:tcMar>
          </w:tcPr>
          <w:p>
            <w:r>
              <w:rPr>
                <w:color w:val="0F172A"/>
                <w:sz w:val="18"/>
              </w:rPr>
              <w:t>(File: results/pghp_preprocessing_pipeline.png)</w:t>
            </w:r>
          </w:p>
        </w:tc>
      </w:tr>
    </w:tbl>
    <w:p>
      <w:pPr>
        <w:shd w:val="clear" w:color="auto" w:fill="F1F5F9"/>
        <w:spacing w:before="60" w:after="60"/>
      </w:pPr>
      <w:r>
        <w:rPr>
          <w:b/>
          <w:color w:val="0284C7"/>
          <w:sz w:val="18"/>
        </w:rPr>
        <w:t>+----------------------------------------------------------------------------------------------------+</w:t>
      </w:r>
    </w:p>
    <w:p>
      <w:pPr>
        <w:spacing w:before="60" w:after="60"/>
      </w:pPr>
      <w:r>
        <w:rPr>
          <w:sz w:val="20"/>
          <w:color w:val="1E293B"/>
        </w:rPr>
        <w:t>(Reference: results/pghp_preprocessing_pipeline.png)</w:t>
      </w:r>
    </w:p>
    <w:p>
      <w:pPr>
        <w:pStyle w:val="Heading3"/>
        <w:spacing w:before="160" w:after="60"/>
      </w:pPr>
      <w:r>
        <w:rPr>
          <w:b/>
          <w:color w:val="334155"/>
          <w:sz w:val="24"/>
        </w:rPr>
        <w:t>5.2. Physics-Grounded Hybrid Predictor (PGHP) Architecture</w:t>
      </w:r>
    </w:p>
    <w:p>
      <w:pPr>
        <w:spacing w:before="60" w:after="60"/>
      </w:pPr>
      <w:r>
        <w:rPr>
          <w:sz w:val="20"/>
          <w:color w:val="1E293B"/>
        </w:rPr>
        <w:t>PGHP operates as a multi-stage hybrid system combining deterministic first-principles physics with learned residual corrections:</w:t>
      </w:r>
    </w:p>
    <w:p>
      <w:pPr>
        <w:spacing w:before="60" w:after="60"/>
      </w:pPr>
      <w:r>
        <w:rPr>
          <w:sz w:val="20"/>
          <w:color w:val="1E293B"/>
        </w:rPr>
        <w:t>1. Unified Input Layer: Ingests structured G-code machine parameters (P, v, d, h, t) or free-form natural language text extracted via Gemini Pro into normalized engineering units.</w:t>
      </w:r>
    </w:p>
    <w:p>
      <w:pPr>
        <w:spacing w:before="60" w:after="60"/>
      </w:pPr>
      <w:r>
        <w:rPr>
          <w:sz w:val="20"/>
          <w:color w:val="1E293B"/>
        </w:rPr>
        <w:t>2. Material Property Knowledge Layer: Queries verified literature thermophysical handbook constants (k, A, \rho, C_p, T_m) for 30 alloys (results/material_properties.csv).</w:t>
      </w:r>
    </w:p>
    <w:p>
      <w:pPr>
        <w:spacing w:before="60" w:after="60"/>
      </w:pPr>
      <w:r>
        <w:rPr>
          <w:sz w:val="20"/>
          <w:color w:val="1E293B"/>
        </w:rPr>
        <w:t>3. Rosenthal Physics Prior Engine: Solves the closed-form 3D Rosenthal conduction equations deterministically, generating analytical width (w), depth (d), length (l), normalized enthalpy (\beta), and Péclet number (Pe).</w:t>
      </w:r>
    </w:p>
    <w:p>
      <w:pPr>
        <w:spacing w:before="60" w:after="60"/>
      </w:pPr>
      <w:r>
        <w:rPr>
          <w:sz w:val="20"/>
          <w:color w:val="1E293B"/>
        </w:rPr>
        <w:t>4. 20 Certified Leakage-Free Feature Vector: Merges 5 normalized machine parameters, 1 material index, 6 process energy/aspect ratios (LED, VED, AED, P/d, h/d, t/d), and 8 Rosenthal priors and dimensionless ratios.</w:t>
      </w:r>
    </w:p>
    <w:p>
      <w:pPr>
        <w:spacing w:before="60" w:after="60"/>
      </w:pPr>
      <w:r>
        <w:rPr>
          <w:sz w:val="20"/>
          <w:color w:val="1E293B"/>
        </w:rPr>
        <w:t>5. Learned Residual-Correction Ensemble: A 5-seed ensemble of tuned LightGBM (350\text{ trees}, \text{lr}=0.04, 63\text{ leaves}) and XGBoost (250\text{ trees}, \text{lr}=0.05, \text{depth}=6) models trained on out-of-fold clean data with calibrated decision thresholds [0.50, 0.62, 0.50, 0.65].</w:t>
      </w:r>
    </w:p>
    <w:p>
      <w:pPr>
        <w:pStyle w:val="Heading3"/>
        <w:spacing w:before="160" w:after="60"/>
      </w:pPr>
      <w:r>
        <w:rPr>
          <w:b/>
          <w:color w:val="334155"/>
          <w:sz w:val="24"/>
        </w:rPr>
        <w:t>5.3. Open-Domain Extraction Pipeline (Gemini-Based Prompt Mode)</w:t>
      </w:r>
    </w:p>
    <w:p>
      <w:pPr>
        <w:spacing w:before="60" w:after="60"/>
      </w:pPr>
      <w:r>
        <w:rPr>
          <w:sz w:val="20"/>
          <w:color w:val="1E293B"/>
        </w:rPr>
        <w:t>To support natural language queries, an open-domain two-stage parser classifies inputs into three categories:</w:t>
      </w:r>
    </w:p>
    <w:p>
      <w:pPr>
        <w:ind w:left="360"/>
        <w:spacing w:before="40" w:after="40"/>
      </w:pPr>
      <w:r>
        <w:rPr>
          <w:sz w:val="20"/>
        </w:rPr>
        <w:t>•  in-domain-complete: Extracts all six parameters, maps alloy strings, and passes directly to the PGHP numeric engine.</w:t>
      </w:r>
    </w:p>
    <w:p>
      <w:pPr>
        <w:ind w:left="360"/>
        <w:spacing w:before="40" w:after="40"/>
      </w:pPr>
      <w:r>
        <w:rPr>
          <w:sz w:val="20"/>
        </w:rPr>
        <w:t>•  in-domain-partial: Identifies missing parameters and prompts the user with clarifying guidance.</w:t>
      </w:r>
    </w:p>
    <w:p>
      <w:pPr>
        <w:ind w:left="360"/>
        <w:spacing w:before="40" w:after="40"/>
      </w:pPr>
      <w:r>
        <w:rPr>
          <w:sz w:val="20"/>
        </w:rPr>
        <w:t>•  off-domain: Rejects non-AM queries with an informative error message.</w:t>
      </w:r>
    </w:p>
    <w:p>
      <w:pPr>
        <w:pBdr>
          <w:bottom w:val="single" w:sz="8" w:space="4" w:color="CBD5E1"/>
        </w:pBdr>
      </w:pPr>
    </w:p>
    <w:p>
      <w:pPr>
        <w:pStyle w:val="Heading2"/>
        <w:spacing w:before="200" w:after="80"/>
      </w:pPr>
      <w:r>
        <w:rPr>
          <w:b/>
          <w:color w:val="0369A1"/>
          <w:sz w:val="28"/>
        </w:rPr>
        <w:t>6. Experimental Setup</w:t>
      </w:r>
    </w:p>
    <w:p>
      <w:pPr>
        <w:pStyle w:val="Heading3"/>
        <w:spacing w:before="160" w:after="60"/>
      </w:pPr>
      <w:r>
        <w:rPr>
          <w:b/>
          <w:color w:val="334155"/>
          <w:sz w:val="24"/>
        </w:rPr>
        <w:t>6.1. Computational Hardware and Software Environment</w:t>
      </w:r>
    </w:p>
    <w:p>
      <w:pPr>
        <w:ind w:left="360"/>
        <w:spacing w:before="40" w:after="40"/>
      </w:pPr>
      <w:r>
        <w:rPr>
          <w:sz w:val="20"/>
        </w:rPr>
        <w:t>•  Hardware Architecture: Apple Silicon M5, Metal Performance Shaders (MPS) unified memory acceleration.</w:t>
      </w:r>
    </w:p>
    <w:p>
      <w:pPr>
        <w:ind w:left="360"/>
        <w:spacing w:before="40" w:after="40"/>
      </w:pPr>
      <w:r>
        <w:rPr>
          <w:sz w:val="20"/>
        </w:rPr>
        <w:t>•  Software Stack: Python 3.9, PyTorch 2.8.0, LightGBM 4.6.0, XGBoost 2.1.4, CatBoost 1.2.10, HuggingFace Transformers 4.49.0.</w:t>
      </w:r>
    </w:p>
    <w:p>
      <w:pPr>
        <w:ind w:left="360"/>
        <w:spacing w:before="40" w:after="40"/>
      </w:pPr>
      <w:r>
        <w:rPr>
          <w:sz w:val="20"/>
        </w:rPr>
        <w:t>•  Random Seeds Evaluated: Five independent seeds (13, 42, 123, 2024, 7) evaluated for all configurations to compute exact mean \pm standard deviation.</w:t>
      </w:r>
    </w:p>
    <w:p>
      <w:pPr>
        <w:pStyle w:val="Heading3"/>
        <w:spacing w:before="160" w:after="60"/>
      </w:pPr>
      <w:r>
        <w:rPr>
          <w:b/>
          <w:color w:val="334155"/>
          <w:sz w:val="24"/>
        </w:rPr>
        <w:t>6.2. Evaluation Metrics Protocol</w:t>
      </w:r>
    </w:p>
    <w:p>
      <w:pPr>
        <w:ind w:left="360"/>
        <w:spacing w:before="40" w:after="40"/>
      </w:pPr>
      <w:r>
        <w:rPr>
          <w:sz w:val="20"/>
        </w:rPr>
        <w:t>•  Exact Match Multi-Class Row Accuracy (%): All four defect flags must match ground truth simultaneously:</w:t>
      </w:r>
    </w:p>
    <w:p>
      <w:pPr>
        <w:spacing w:before="60" w:after="60"/>
      </w:pPr>
      <w:r>
        <w:rPr>
          <w:sz w:val="20"/>
          <w:color w:val="1E293B"/>
        </w:rPr>
        <w:t>$\text{Acc} = \frac{1}{N} \sum_{i=1}^N \mathbb{I}(\hat{y}_i = y_i)$</w:t>
      </w:r>
    </w:p>
    <w:p>
      <w:pPr>
        <w:ind w:left="360"/>
        <w:spacing w:before="40" w:after="40"/>
      </w:pPr>
      <w:r>
        <w:rPr>
          <w:sz w:val="20"/>
        </w:rPr>
        <w:t>•  Macro-Averaged F1 Score: Unweighted harmonic mean of precision and recall across all four classes, preventing minority class masking.</w:t>
      </w:r>
    </w:p>
    <w:p>
      <w:pPr>
        <w:ind w:left="360"/>
        <w:spacing w:before="40" w:after="40"/>
      </w:pPr>
      <w:r>
        <w:rPr>
          <w:sz w:val="20"/>
        </w:rPr>
        <w:t>•  Expected Calibration Error (ECE): Measures discrepancy between predicted confidence and empirical accuracy across 10 probability bins.</w:t>
      </w:r>
    </w:p>
    <w:p>
      <w:pPr>
        <w:ind w:left="360"/>
        <w:spacing w:before="40" w:after="40"/>
      </w:pPr>
      <w:r>
        <w:rPr>
          <w:sz w:val="20"/>
        </w:rPr>
        <w:t>•  Confusion Matrices: Real confusion matrices computed by evaluating frozen models directly on held-out test sets (results/confusion_matrices/).</w:t>
      </w:r>
    </w:p>
    <w:p>
      <w:pPr>
        <w:shd w:val="clear" w:color="auto" w:fill="F1F5F9"/>
        <w:spacing w:before="60" w:after="60"/>
      </w:pPr>
      <w:r>
        <w:rPr>
          <w:b/>
          <w:color w:val="0284C7"/>
          <w:sz w:val="18"/>
        </w:rPr>
        <w:t>+----------------------------------------------------------------------------------------------------+</w:t>
      </w:r>
    </w:p>
    <w:tbl>
      <w:tblPr>
        <w:tblBorders>
          <w:top w:val="single" w:sz="4" w:space="0" w:color="CCCCCC"/>
          <w:left w:val="none"/>
          <w:bottom w:val="single" w:sz="4" w:space="0" w:color="CCCCCC"/>
          <w:right w:val="none"/>
          <w:insideH w:val="single" w:sz="4" w:space="0" w:color="EEEEEE"/>
          <w:insideV w:val="none"/>
        </w:tblBorders>
      </w:tblPr>
      <w:tr>
        <w:tc>
          <w:tcPr>
            <w:shd w:val="clear" w:color="auto" w:fill="1E293B"/>
            <w:tcMar>
              <w:top w:w="120" w:type="dxa"/>
              <w:bottom w:w="120" w:type="dxa"/>
              <w:left w:w="150" w:type="dxa"/>
              <w:right w:w="150" w:type="dxa"/>
            </w:tcMar>
          </w:tcPr>
          <w:p>
            <w:r>
              <w:rPr>
                <w:b/>
                <w:color w:val="FFFFFF"/>
                <w:sz w:val="18"/>
              </w:rPr>
              <w:t>FIGURE 2: LEAKAGE AUDIT CONFIRMING ZERO LABEL-DERIVED FEATURES</w:t>
            </w:r>
          </w:p>
        </w:tc>
      </w:tr>
      <w:tr>
        <w:tc>
          <w:tcPr>
            <w:shd w:val="clear" w:color="auto" w:fill="F8FAFC"/>
            <w:tcMar>
              <w:top w:w="120" w:type="dxa"/>
              <w:bottom w:w="120" w:type="dxa"/>
              <w:left w:w="150" w:type="dxa"/>
              <w:right w:w="150" w:type="dxa"/>
            </w:tcMar>
          </w:tcPr>
          <w:p>
            <w:r>
              <w:rPr>
                <w:color w:val="0F172A"/>
                <w:sz w:val="18"/>
              </w:rPr>
              <w:t>(File: results/leakage_audit_summary_table.png)</w:t>
            </w:r>
          </w:p>
        </w:tc>
      </w:tr>
    </w:tbl>
    <w:p>
      <w:pPr>
        <w:shd w:val="clear" w:color="auto" w:fill="F1F5F9"/>
        <w:spacing w:before="60" w:after="60"/>
      </w:pPr>
      <w:r>
        <w:rPr>
          <w:b/>
          <w:color w:val="0284C7"/>
          <w:sz w:val="18"/>
        </w:rPr>
        <w:t>+----------------------------------------------------------------------------------------------------+</w:t>
      </w:r>
    </w:p>
    <w:p>
      <w:pPr>
        <w:spacing w:before="60" w:after="60"/>
      </w:pPr>
      <w:r>
        <w:rPr>
          <w:sz w:val="20"/>
          <w:color w:val="1E293B"/>
        </w:rPr>
        <w:t>(Reference: results/leakage_audit_summary_table.png)</w:t>
      </w:r>
    </w:p>
    <w:p>
      <w:pPr>
        <w:pStyle w:val="Heading3"/>
        <w:spacing w:before="160" w:after="60"/>
      </w:pPr>
      <w:r>
        <w:rPr>
          <w:b/>
          <w:color w:val="334155"/>
          <w:sz w:val="24"/>
        </w:rPr>
        <w:t>6.3. Mandatory Anti-Leakage Audit</w:t>
      </w:r>
    </w:p>
    <w:p>
      <w:pPr>
        <w:spacing w:before="60" w:after="60"/>
      </w:pPr>
      <w:r>
        <w:rPr>
          <w:sz w:val="20"/>
          <w:color w:val="1E293B"/>
        </w:rPr>
        <w:t>Per the project's zero-leakage mandate, results/leakage_audit_final.csv audits all 20 features input to the PGHP model. The audit confirms:</w:t>
      </w:r>
    </w:p>
    <w:p>
      <w:pPr>
        <w:ind w:left="360"/>
        <w:spacing w:before="40" w:after="40"/>
      </w:pPr>
      <w:r>
        <w:rPr>
          <w:sz w:val="20"/>
        </w:rPr>
        <w:t>•  0 features are derived from or equal to ground-truth labels.</w:t>
      </w:r>
    </w:p>
    <w:p>
      <w:pPr>
        <w:ind w:left="360"/>
        <w:spacing w:before="40" w:after="40"/>
      </w:pPr>
      <w:r>
        <w:rPr>
          <w:sz w:val="20"/>
        </w:rPr>
        <w:t>•  0 features contain simulated melt-pool dimensions (w, d, l).</w:t>
      </w:r>
    </w:p>
    <w:p>
      <w:pPr>
        <w:ind w:left="360"/>
        <w:spacing w:before="40" w:after="40"/>
      </w:pPr>
      <w:r>
        <w:rPr>
          <w:sz w:val="20"/>
        </w:rPr>
        <w:t>•  All features are computed strictly from machine input parameters and literature-verified handbook constants.</w:t>
      </w:r>
    </w:p>
    <w:p>
      <w:pPr>
        <w:pBdr>
          <w:bottom w:val="single" w:sz="8" w:space="4" w:color="CBD5E1"/>
        </w:pBdr>
      </w:pPr>
    </w:p>
    <w:p>
      <w:pPr>
        <w:pStyle w:val="Heading2"/>
        <w:spacing w:before="200" w:after="80"/>
      </w:pPr>
      <w:r>
        <w:rPr>
          <w:b/>
          <w:color w:val="0369A1"/>
          <w:sz w:val="28"/>
        </w:rPr>
        <w:t>7. Results and Analysis</w:t>
      </w:r>
    </w:p>
    <w:p>
      <w:pPr>
        <w:pStyle w:val="Heading3"/>
        <w:spacing w:before="160" w:after="60"/>
      </w:pPr>
      <w:r>
        <w:rPr>
          <w:b/>
          <w:color w:val="334155"/>
          <w:sz w:val="24"/>
        </w:rPr>
        <w:t>7.1. Final Master Results Table</w:t>
      </w:r>
    </w:p>
    <w:p>
      <w:pPr>
        <w:spacing w:before="60" w:after="60"/>
      </w:pPr>
      <w:r>
        <w:rPr>
          <w:sz w:val="20"/>
          <w:color w:val="1E293B"/>
        </w:rPr>
        <w:t>The frozen performance benchmarks for Model A (PGHP) and Model B (v2 Hybrid) are compiled side-by-side in Table 1 (results/FINAL_MASTER_RESULTS.csv):</w:t>
      </w:r>
    </w:p>
    <w:p>
      <w:pPr>
        <w:spacing w:before="60" w:after="60"/>
      </w:pPr>
      <w:r>
        <w:rPr>
          <w:sz w:val="20"/>
          <w:color w:val="1E293B"/>
        </w:rPr>
        <w:t>Table 1: Master Results Across All Evaluation Partitions (results/FINAL_MASTER_RESULTS.csv)</w:t>
      </w:r>
    </w:p>
    <w:tbl>
      <w:tblPr>
        <w:tblBorders>
          <w:top w:val="single" w:sz="4" w:space="0" w:color="CCCCCC"/>
          <w:left w:val="none"/>
          <w:bottom w:val="single" w:sz="4" w:space="0" w:color="CCCCCC"/>
          <w:right w:val="none"/>
          <w:insideH w:val="single" w:sz="4" w:space="0" w:color="EEEEEE"/>
          <w:insideV w:val="none"/>
        </w:tblBorders>
      </w:tblPr>
      <w:tr>
        <w:tc>
          <w:tcPr>
            <w:shd w:val="clear" w:color="auto" w:fill="1E293B"/>
            <w:tcMar>
              <w:top w:w="120" w:type="dxa"/>
              <w:bottom w:w="120" w:type="dxa"/>
              <w:left w:w="150" w:type="dxa"/>
              <w:right w:w="150" w:type="dxa"/>
            </w:tcMar>
          </w:tcPr>
          <w:p>
            <w:r>
              <w:rPr>
                <w:b/>
                <w:color w:val="FFFFFF"/>
                <w:sz w:val="18"/>
              </w:rPr>
              <w:t>Evaluation Domain</w:t>
            </w:r>
          </w:p>
        </w:tc>
        <w:tc>
          <w:tcPr>
            <w:shd w:val="clear" w:color="auto" w:fill="1E293B"/>
            <w:tcMar>
              <w:top w:w="120" w:type="dxa"/>
              <w:bottom w:w="120" w:type="dxa"/>
              <w:left w:w="150" w:type="dxa"/>
              <w:right w:w="150" w:type="dxa"/>
            </w:tcMar>
          </w:tcPr>
          <w:p>
            <w:r>
              <w:rPr>
                <w:b/>
                <w:color w:val="FFFFFF"/>
                <w:sz w:val="18"/>
              </w:rPr>
              <w:t>Model Architecture</w:t>
            </w:r>
          </w:p>
        </w:tc>
        <w:tc>
          <w:tcPr>
            <w:shd w:val="clear" w:color="auto" w:fill="1E293B"/>
            <w:tcMar>
              <w:top w:w="120" w:type="dxa"/>
              <w:bottom w:w="120" w:type="dxa"/>
              <w:left w:w="150" w:type="dxa"/>
              <w:right w:w="150" w:type="dxa"/>
            </w:tcMar>
          </w:tcPr>
          <w:p>
            <w:r>
              <w:rPr>
                <w:b/>
                <w:color w:val="FFFFFF"/>
                <w:sz w:val="18"/>
              </w:rPr>
              <w:t>Purpose &amp; Scope</w:t>
            </w:r>
          </w:p>
        </w:tc>
        <w:tc>
          <w:tcPr>
            <w:shd w:val="clear" w:color="auto" w:fill="1E293B"/>
            <w:tcMar>
              <w:top w:w="120" w:type="dxa"/>
              <w:bottom w:w="120" w:type="dxa"/>
              <w:left w:w="150" w:type="dxa"/>
              <w:right w:w="150" w:type="dxa"/>
            </w:tcMar>
          </w:tcPr>
          <w:p>
            <w:r>
              <w:rPr>
                <w:b/>
                <w:color w:val="FFFFFF"/>
                <w:sz w:val="18"/>
              </w:rPr>
              <w:t>Test Samples</w:t>
            </w:r>
          </w:p>
        </w:tc>
        <w:tc>
          <w:tcPr>
            <w:shd w:val="clear" w:color="auto" w:fill="1E293B"/>
            <w:tcMar>
              <w:top w:w="120" w:type="dxa"/>
              <w:bottom w:w="120" w:type="dxa"/>
              <w:left w:w="150" w:type="dxa"/>
              <w:right w:w="150" w:type="dxa"/>
            </w:tcMar>
          </w:tcPr>
          <w:p>
            <w:r>
              <w:rPr>
                <w:b/>
                <w:color w:val="FFFFFF"/>
                <w:sz w:val="18"/>
              </w:rPr>
              <w:t>5-Seed Mean ± Std</w:t>
            </w:r>
          </w:p>
        </w:tc>
        <w:tc>
          <w:tcPr>
            <w:shd w:val="clear" w:color="auto" w:fill="1E293B"/>
            <w:tcMar>
              <w:top w:w="120" w:type="dxa"/>
              <w:bottom w:w="120" w:type="dxa"/>
              <w:left w:w="150" w:type="dxa"/>
              <w:right w:w="150" w:type="dxa"/>
            </w:tcMar>
          </w:tcPr>
          <w:p>
            <w:r>
              <w:rPr>
                <w:b/>
                <w:color w:val="FFFFFF"/>
                <w:sz w:val="18"/>
              </w:rPr>
              <w:t>Final Ensemble Acc</w:t>
            </w:r>
          </w:p>
        </w:tc>
        <w:tc>
          <w:tcPr>
            <w:shd w:val="clear" w:color="auto" w:fill="1E293B"/>
            <w:tcMar>
              <w:top w:w="120" w:type="dxa"/>
              <w:bottom w:w="120" w:type="dxa"/>
              <w:left w:w="150" w:type="dxa"/>
              <w:right w:w="150" w:type="dxa"/>
            </w:tcMar>
          </w:tcPr>
          <w:p>
            <w:r>
              <w:rPr>
                <w:b/>
                <w:color w:val="FFFFFF"/>
                <w:sz w:val="18"/>
              </w:rPr>
              <w:t>Final Ensemble Macro F1</w:t>
            </w:r>
          </w:p>
        </w:tc>
        <w:tc>
          <w:tcPr>
            <w:shd w:val="clear" w:color="auto" w:fill="1E293B"/>
            <w:tcMar>
              <w:top w:w="120" w:type="dxa"/>
              <w:bottom w:w="120" w:type="dxa"/>
              <w:left w:w="150" w:type="dxa"/>
              <w:right w:w="150" w:type="dxa"/>
            </w:tcMar>
          </w:tcPr>
          <w:p>
            <w:r>
              <w:rPr>
                <w:b/>
                <w:color w:val="FFFFFF"/>
                <w:sz w:val="18"/>
              </w:rPr>
              <w:t>Win Gate Status</w:t>
            </w:r>
          </w:p>
        </w:tc>
        <w:tc>
          <w:tcPr>
            <w:shd w:val="clear" w:color="auto" w:fill="1E293B"/>
            <w:tcMar>
              <w:top w:w="120" w:type="dxa"/>
              <w:bottom w:w="120" w:type="dxa"/>
              <w:left w:w="150" w:type="dxa"/>
              <w:right w:w="150" w:type="dxa"/>
            </w:tcMar>
          </w:tcPr>
          <w:p>
            <w:r>
              <w:rPr>
                <w:b/>
                <w:color w:val="FFFFFF"/>
                <w:sz w:val="18"/>
              </w:rPr>
              <w:t>Source File</w:t>
            </w:r>
          </w:p>
        </w:tc>
      </w:tr>
      <w:tr>
        <w:tc>
          <w:tcPr>
            <w:shd w:val="clear" w:color="auto" w:fill="F8FAFC"/>
            <w:tcMar>
              <w:top w:w="120" w:type="dxa"/>
              <w:bottom w:w="120" w:type="dxa"/>
              <w:left w:w="150" w:type="dxa"/>
              <w:right w:w="150" w:type="dxa"/>
            </w:tcMar>
          </w:tcPr>
          <w:p>
            <w:r>
              <w:rPr>
                <w:color w:val="0F172A"/>
                <w:sz w:val="18"/>
              </w:rPr>
              <w:t>Tier A (In-Distribution)</w:t>
            </w:r>
          </w:p>
        </w:tc>
        <w:tc>
          <w:tcPr>
            <w:shd w:val="clear" w:color="auto" w:fill="F8FAFC"/>
            <w:tcMar>
              <w:top w:w="120" w:type="dxa"/>
              <w:bottom w:w="120" w:type="dxa"/>
              <w:left w:w="150" w:type="dxa"/>
              <w:right w:w="150" w:type="dxa"/>
            </w:tcMar>
          </w:tcPr>
          <w:p>
            <w:r>
              <w:rPr>
                <w:color w:val="0F172A"/>
                <w:sz w:val="18"/>
              </w:rPr>
              <w:t>Model A: PGHP</w:t>
            </w:r>
          </w:p>
        </w:tc>
        <w:tc>
          <w:tcPr>
            <w:shd w:val="clear" w:color="auto" w:fill="F8FAFC"/>
            <w:tcMar>
              <w:top w:w="120" w:type="dxa"/>
              <w:bottom w:w="120" w:type="dxa"/>
              <w:left w:w="150" w:type="dxa"/>
              <w:right w:w="150" w:type="dxa"/>
            </w:tcMar>
          </w:tcPr>
          <w:p>
            <w:r>
              <w:rPr>
                <w:color w:val="0F172A"/>
                <w:sz w:val="18"/>
              </w:rPr>
              <w:t>Production deployment (seen materials)</w:t>
            </w:r>
          </w:p>
        </w:tc>
        <w:tc>
          <w:tcPr>
            <w:shd w:val="clear" w:color="auto" w:fill="F8FAFC"/>
            <w:tcMar>
              <w:top w:w="120" w:type="dxa"/>
              <w:bottom w:w="120" w:type="dxa"/>
              <w:left w:w="150" w:type="dxa"/>
              <w:right w:w="150" w:type="dxa"/>
            </w:tcMar>
          </w:tcPr>
          <w:p>
            <w:r>
              <w:rPr>
                <w:color w:val="0F172A"/>
                <w:sz w:val="18"/>
              </w:rPr>
              <w:t>83,074</w:t>
            </w:r>
          </w:p>
        </w:tc>
        <w:tc>
          <w:tcPr>
            <w:shd w:val="clear" w:color="auto" w:fill="F8FAFC"/>
            <w:tcMar>
              <w:top w:w="120" w:type="dxa"/>
              <w:bottom w:w="120" w:type="dxa"/>
              <w:left w:w="150" w:type="dxa"/>
              <w:right w:w="150" w:type="dxa"/>
            </w:tcMar>
          </w:tcPr>
          <w:p>
            <w:r>
              <w:rPr>
                <w:color w:val="0F172A"/>
                <w:sz w:val="18"/>
              </w:rPr>
              <w:t>99.29% ± 0.005%</w:t>
            </w:r>
          </w:p>
        </w:tc>
        <w:tc>
          <w:tcPr>
            <w:shd w:val="clear" w:color="auto" w:fill="F8FAFC"/>
            <w:tcMar>
              <w:top w:w="120" w:type="dxa"/>
              <w:bottom w:w="120" w:type="dxa"/>
              <w:left w:w="150" w:type="dxa"/>
              <w:right w:w="150" w:type="dxa"/>
            </w:tcMar>
          </w:tcPr>
          <w:p>
            <w:r>
              <w:rPr>
                <w:color w:val="0F172A"/>
                <w:sz w:val="18"/>
              </w:rPr>
              <w:t>99.32%</w:t>
            </w:r>
          </w:p>
        </w:tc>
        <w:tc>
          <w:tcPr>
            <w:shd w:val="clear" w:color="auto" w:fill="F8FAFC"/>
            <w:tcMar>
              <w:top w:w="120" w:type="dxa"/>
              <w:bottom w:w="120" w:type="dxa"/>
              <w:left w:w="150" w:type="dxa"/>
              <w:right w:w="150" w:type="dxa"/>
            </w:tcMar>
          </w:tcPr>
          <w:p>
            <w:r>
              <w:rPr>
                <w:color w:val="0F172A"/>
                <w:sz w:val="18"/>
              </w:rPr>
              <w:t>0.9943</w:t>
            </w:r>
          </w:p>
        </w:tc>
        <w:tc>
          <w:tcPr>
            <w:shd w:val="clear" w:color="auto" w:fill="F8FAFC"/>
            <w:tcMar>
              <w:top w:w="120" w:type="dxa"/>
              <w:bottom w:w="120" w:type="dxa"/>
              <w:left w:w="150" w:type="dxa"/>
              <w:right w:w="150" w:type="dxa"/>
            </w:tcMar>
          </w:tcPr>
          <w:p>
            <w:r>
              <w:rPr>
                <w:color w:val="0F172A"/>
                <w:sz w:val="18"/>
              </w:rPr>
              <w:t>PASSED (&gt;97%)</w:t>
            </w:r>
          </w:p>
        </w:tc>
        <w:tc>
          <w:tcPr>
            <w:shd w:val="clear" w:color="auto" w:fill="F8FAFC"/>
            <w:tcMar>
              <w:top w:w="120" w:type="dxa"/>
              <w:bottom w:w="120" w:type="dxa"/>
              <w:left w:w="150" w:type="dxa"/>
              <w:right w:w="150" w:type="dxa"/>
            </w:tcMar>
          </w:tcPr>
          <w:p>
            <w:r>
              <w:rPr>
                <w:color w:val="0F172A"/>
                <w:sz w:val="18"/>
              </w:rPr>
              <w:t>results/final_freeze_verification_pghp.csv</w:t>
            </w:r>
          </w:p>
        </w:tc>
      </w:tr>
      <w:tr>
        <w:tc>
          <w:tcPr>
            <w:tcMar>
              <w:top w:w="120" w:type="dxa"/>
              <w:bottom w:w="120" w:type="dxa"/>
              <w:left w:w="150" w:type="dxa"/>
              <w:right w:w="150" w:type="dxa"/>
            </w:tcMar>
          </w:tcPr>
          <w:p>
            <w:r>
              <w:rPr>
                <w:color w:val="0F172A"/>
                <w:sz w:val="18"/>
              </w:rPr>
              <w:t>Tier B (Held-Out Melt Pools)</w:t>
            </w:r>
          </w:p>
        </w:tc>
        <w:tc>
          <w:tcPr>
            <w:tcMar>
              <w:top w:w="120" w:type="dxa"/>
              <w:bottom w:w="120" w:type="dxa"/>
              <w:left w:w="150" w:type="dxa"/>
              <w:right w:w="150" w:type="dxa"/>
            </w:tcMar>
          </w:tcPr>
          <w:p>
            <w:r>
              <w:rPr>
                <w:color w:val="0F172A"/>
                <w:sz w:val="18"/>
              </w:rPr>
              <w:t>Model A: PGHP</w:t>
            </w:r>
          </w:p>
        </w:tc>
        <w:tc>
          <w:tcPr>
            <w:tcMar>
              <w:top w:w="120" w:type="dxa"/>
              <w:bottom w:w="120" w:type="dxa"/>
              <w:left w:w="150" w:type="dxa"/>
              <w:right w:w="150" w:type="dxa"/>
            </w:tcMar>
          </w:tcPr>
          <w:p>
            <w:r>
              <w:rPr>
                <w:color w:val="0F172A"/>
                <w:sz w:val="18"/>
              </w:rPr>
              <w:t>Production deployment (unseen process groups)</w:t>
            </w:r>
          </w:p>
        </w:tc>
        <w:tc>
          <w:tcPr>
            <w:tcMar>
              <w:top w:w="120" w:type="dxa"/>
              <w:bottom w:w="120" w:type="dxa"/>
              <w:left w:w="150" w:type="dxa"/>
              <w:right w:w="150" w:type="dxa"/>
            </w:tcMar>
          </w:tcPr>
          <w:p>
            <w:r>
              <w:rPr>
                <w:color w:val="0F172A"/>
                <w:sz w:val="18"/>
              </w:rPr>
              <w:t>130,135</w:t>
            </w:r>
          </w:p>
        </w:tc>
        <w:tc>
          <w:tcPr>
            <w:tcMar>
              <w:top w:w="120" w:type="dxa"/>
              <w:bottom w:w="120" w:type="dxa"/>
              <w:left w:w="150" w:type="dxa"/>
              <w:right w:w="150" w:type="dxa"/>
            </w:tcMar>
          </w:tcPr>
          <w:p>
            <w:r>
              <w:rPr>
                <w:color w:val="0F172A"/>
                <w:sz w:val="18"/>
              </w:rPr>
              <w:t>90.81% ± 0.308%</w:t>
            </w:r>
          </w:p>
        </w:tc>
        <w:tc>
          <w:tcPr>
            <w:tcMar>
              <w:top w:w="120" w:type="dxa"/>
              <w:bottom w:w="120" w:type="dxa"/>
              <w:left w:w="150" w:type="dxa"/>
              <w:right w:w="150" w:type="dxa"/>
            </w:tcMar>
          </w:tcPr>
          <w:p>
            <w:r>
              <w:rPr>
                <w:color w:val="0F172A"/>
                <w:sz w:val="18"/>
              </w:rPr>
              <w:t>91.12%</w:t>
            </w:r>
          </w:p>
        </w:tc>
        <w:tc>
          <w:tcPr>
            <w:tcMar>
              <w:top w:w="120" w:type="dxa"/>
              <w:bottom w:w="120" w:type="dxa"/>
              <w:left w:w="150" w:type="dxa"/>
              <w:right w:w="150" w:type="dxa"/>
            </w:tcMar>
          </w:tcPr>
          <w:p>
            <w:r>
              <w:rPr>
                <w:color w:val="0F172A"/>
                <w:sz w:val="18"/>
              </w:rPr>
              <w:t>0.9246</w:t>
            </w:r>
          </w:p>
        </w:tc>
        <w:tc>
          <w:tcPr>
            <w:tcMar>
              <w:top w:w="120" w:type="dxa"/>
              <w:bottom w:w="120" w:type="dxa"/>
              <w:left w:w="150" w:type="dxa"/>
              <w:right w:w="150" w:type="dxa"/>
            </w:tcMar>
          </w:tcPr>
          <w:p>
            <w:r>
              <w:rPr>
                <w:color w:val="0F172A"/>
                <w:sz w:val="18"/>
              </w:rPr>
              <w:t>PASSED (&gt;90%)</w:t>
            </w:r>
          </w:p>
        </w:tc>
        <w:tc>
          <w:tcPr>
            <w:tcMar>
              <w:top w:w="120" w:type="dxa"/>
              <w:bottom w:w="120" w:type="dxa"/>
              <w:left w:w="150" w:type="dxa"/>
              <w:right w:w="150" w:type="dxa"/>
            </w:tcMar>
          </w:tcPr>
          <w:p>
            <w:r>
              <w:rPr>
                <w:color w:val="0F172A"/>
                <w:sz w:val="18"/>
              </w:rPr>
              <w:t>results/final_freeze_verification_pghp.csv</w:t>
            </w:r>
          </w:p>
        </w:tc>
      </w:tr>
      <w:tr>
        <w:tc>
          <w:tcPr>
            <w:shd w:val="clear" w:color="auto" w:fill="F8FAFC"/>
            <w:tcMar>
              <w:top w:w="120" w:type="dxa"/>
              <w:bottom w:w="120" w:type="dxa"/>
              <w:left w:w="150" w:type="dxa"/>
              <w:right w:w="150" w:type="dxa"/>
            </w:tcMar>
          </w:tcPr>
          <w:p>
            <w:r>
              <w:rPr>
                <w:color w:val="0F172A"/>
                <w:sz w:val="18"/>
              </w:rPr>
              <w:t>PRIMARY Deployment (A+B Pooled)</w:t>
            </w:r>
          </w:p>
        </w:tc>
        <w:tc>
          <w:tcPr>
            <w:shd w:val="clear" w:color="auto" w:fill="F8FAFC"/>
            <w:tcMar>
              <w:top w:w="120" w:type="dxa"/>
              <w:bottom w:w="120" w:type="dxa"/>
              <w:left w:w="150" w:type="dxa"/>
              <w:right w:w="150" w:type="dxa"/>
            </w:tcMar>
          </w:tcPr>
          <w:p>
            <w:r>
              <w:rPr>
                <w:color w:val="0F172A"/>
                <w:sz w:val="18"/>
              </w:rPr>
              <w:t>Model A: PGHP</w:t>
            </w:r>
          </w:p>
        </w:tc>
        <w:tc>
          <w:tcPr>
            <w:shd w:val="clear" w:color="auto" w:fill="F8FAFC"/>
            <w:tcMar>
              <w:top w:w="120" w:type="dxa"/>
              <w:bottom w:w="120" w:type="dxa"/>
              <w:left w:w="150" w:type="dxa"/>
              <w:right w:w="150" w:type="dxa"/>
            </w:tcMar>
          </w:tcPr>
          <w:p>
            <w:r>
              <w:rPr>
                <w:color w:val="0F172A"/>
                <w:sz w:val="18"/>
              </w:rPr>
              <w:t>HEADLINE PRIMARY METRIC</w:t>
            </w:r>
          </w:p>
        </w:tc>
        <w:tc>
          <w:tcPr>
            <w:shd w:val="clear" w:color="auto" w:fill="F8FAFC"/>
            <w:tcMar>
              <w:top w:w="120" w:type="dxa"/>
              <w:bottom w:w="120" w:type="dxa"/>
              <w:left w:w="150" w:type="dxa"/>
              <w:right w:w="150" w:type="dxa"/>
            </w:tcMar>
          </w:tcPr>
          <w:p>
            <w:r>
              <w:rPr>
                <w:color w:val="0F172A"/>
                <w:sz w:val="18"/>
              </w:rPr>
              <w:t>213,209</w:t>
            </w:r>
          </w:p>
        </w:tc>
        <w:tc>
          <w:tcPr>
            <w:shd w:val="clear" w:color="auto" w:fill="F8FAFC"/>
            <w:tcMar>
              <w:top w:w="120" w:type="dxa"/>
              <w:bottom w:w="120" w:type="dxa"/>
              <w:left w:w="150" w:type="dxa"/>
              <w:right w:w="150" w:type="dxa"/>
            </w:tcMar>
          </w:tcPr>
          <w:p>
            <w:r>
              <w:rPr>
                <w:color w:val="0F172A"/>
                <w:sz w:val="18"/>
              </w:rPr>
              <w:t>94.12% ± 0.190%</w:t>
            </w:r>
          </w:p>
        </w:tc>
        <w:tc>
          <w:tcPr>
            <w:shd w:val="clear" w:color="auto" w:fill="F8FAFC"/>
            <w:tcMar>
              <w:top w:w="120" w:type="dxa"/>
              <w:bottom w:w="120" w:type="dxa"/>
              <w:left w:w="150" w:type="dxa"/>
              <w:right w:w="150" w:type="dxa"/>
            </w:tcMar>
          </w:tcPr>
          <w:p>
            <w:r>
              <w:rPr>
                <w:color w:val="0F172A"/>
                <w:sz w:val="18"/>
              </w:rPr>
              <w:t>94.32%</w:t>
            </w:r>
          </w:p>
        </w:tc>
        <w:tc>
          <w:tcPr>
            <w:shd w:val="clear" w:color="auto" w:fill="F8FAFC"/>
            <w:tcMar>
              <w:top w:w="120" w:type="dxa"/>
              <w:bottom w:w="120" w:type="dxa"/>
              <w:left w:w="150" w:type="dxa"/>
              <w:right w:w="150" w:type="dxa"/>
            </w:tcMar>
          </w:tcPr>
          <w:p>
            <w:r>
              <w:rPr>
                <w:color w:val="0F172A"/>
                <w:sz w:val="18"/>
              </w:rPr>
              <w:t>0.9528</w:t>
            </w:r>
          </w:p>
        </w:tc>
        <w:tc>
          <w:tcPr>
            <w:shd w:val="clear" w:color="auto" w:fill="F8FAFC"/>
            <w:tcMar>
              <w:top w:w="120" w:type="dxa"/>
              <w:bottom w:w="120" w:type="dxa"/>
              <w:left w:w="150" w:type="dxa"/>
              <w:right w:w="150" w:type="dxa"/>
            </w:tcMar>
          </w:tcPr>
          <w:p>
            <w:r>
              <w:rPr>
                <w:color w:val="0F172A"/>
                <w:sz w:val="18"/>
              </w:rPr>
              <w:t>PASSED (&gt;90%)</w:t>
            </w:r>
          </w:p>
        </w:tc>
        <w:tc>
          <w:tcPr>
            <w:shd w:val="clear" w:color="auto" w:fill="F8FAFC"/>
            <w:tcMar>
              <w:top w:w="120" w:type="dxa"/>
              <w:bottom w:w="120" w:type="dxa"/>
              <w:left w:w="150" w:type="dxa"/>
              <w:right w:w="150" w:type="dxa"/>
            </w:tcMar>
          </w:tcPr>
          <w:p>
            <w:r>
              <w:rPr>
                <w:color w:val="0F172A"/>
                <w:sz w:val="18"/>
              </w:rPr>
              <w:t>results/final_freeze_verification_pghp.csv</w:t>
            </w:r>
          </w:p>
        </w:tc>
      </w:tr>
      <w:tr>
        <w:tc>
          <w:tcPr>
            <w:tcMar>
              <w:top w:w="120" w:type="dxa"/>
              <w:bottom w:w="120" w:type="dxa"/>
              <w:left w:w="150" w:type="dxa"/>
              <w:right w:w="150" w:type="dxa"/>
            </w:tcMar>
          </w:tcPr>
          <w:p>
            <w:r>
              <w:rPr>
                <w:color w:val="0F172A"/>
                <w:sz w:val="18"/>
              </w:rPr>
              <w:t>Tier C (Held-Out Superalloys)</w:t>
            </w:r>
          </w:p>
        </w:tc>
        <w:tc>
          <w:tcPr>
            <w:tcMar>
              <w:top w:w="120" w:type="dxa"/>
              <w:bottom w:w="120" w:type="dxa"/>
              <w:left w:w="150" w:type="dxa"/>
              <w:right w:w="150" w:type="dxa"/>
            </w:tcMar>
          </w:tcPr>
          <w:p>
            <w:r>
              <w:rPr>
                <w:color w:val="0F172A"/>
                <w:sz w:val="18"/>
              </w:rPr>
              <w:t>Model B: v2 Hybrid</w:t>
            </w:r>
          </w:p>
        </w:tc>
        <w:tc>
          <w:tcPr>
            <w:tcMar>
              <w:top w:w="120" w:type="dxa"/>
              <w:bottom w:w="120" w:type="dxa"/>
              <w:left w:w="150" w:type="dxa"/>
              <w:right w:w="150" w:type="dxa"/>
            </w:tcMar>
          </w:tcPr>
          <w:p>
            <w:r>
              <w:rPr>
                <w:color w:val="0F172A"/>
                <w:sz w:val="18"/>
              </w:rPr>
              <w:t>BEST AVAILABLE ZERO-SHOT RESULT</w:t>
            </w:r>
          </w:p>
        </w:tc>
        <w:tc>
          <w:tcPr>
            <w:tcMar>
              <w:top w:w="120" w:type="dxa"/>
              <w:bottom w:w="120" w:type="dxa"/>
              <w:left w:w="150" w:type="dxa"/>
              <w:right w:w="150" w:type="dxa"/>
            </w:tcMar>
          </w:tcPr>
          <w:p>
            <w:r>
              <w:rPr>
                <w:color w:val="0F172A"/>
                <w:sz w:val="18"/>
              </w:rPr>
              <w:t>38,897</w:t>
            </w:r>
          </w:p>
        </w:tc>
        <w:tc>
          <w:tcPr>
            <w:tcMar>
              <w:top w:w="120" w:type="dxa"/>
              <w:bottom w:w="120" w:type="dxa"/>
              <w:left w:w="150" w:type="dxa"/>
              <w:right w:w="150" w:type="dxa"/>
            </w:tcMar>
          </w:tcPr>
          <w:p>
            <w:r>
              <w:rPr>
                <w:color w:val="0F172A"/>
                <w:sz w:val="18"/>
              </w:rPr>
              <w:t>64.80% ± 1.791%</w:t>
            </w:r>
          </w:p>
        </w:tc>
        <w:tc>
          <w:tcPr>
            <w:tcMar>
              <w:top w:w="120" w:type="dxa"/>
              <w:bottom w:w="120" w:type="dxa"/>
              <w:left w:w="150" w:type="dxa"/>
              <w:right w:w="150" w:type="dxa"/>
            </w:tcMar>
          </w:tcPr>
          <w:p>
            <w:r>
              <w:rPr>
                <w:color w:val="0F172A"/>
                <w:sz w:val="18"/>
              </w:rPr>
              <w:t>65.61%</w:t>
            </w:r>
          </w:p>
        </w:tc>
        <w:tc>
          <w:tcPr>
            <w:tcMar>
              <w:top w:w="120" w:type="dxa"/>
              <w:bottom w:w="120" w:type="dxa"/>
              <w:left w:w="150" w:type="dxa"/>
              <w:right w:w="150" w:type="dxa"/>
            </w:tcMar>
          </w:tcPr>
          <w:p>
            <w:r>
              <w:rPr>
                <w:color w:val="0F172A"/>
                <w:sz w:val="18"/>
              </w:rPr>
              <w:t>0.5256</w:t>
            </w:r>
          </w:p>
        </w:tc>
        <w:tc>
          <w:tcPr>
            <w:tcMar>
              <w:top w:w="120" w:type="dxa"/>
              <w:bottom w:w="120" w:type="dxa"/>
              <w:left w:w="150" w:type="dxa"/>
              <w:right w:w="150" w:type="dxa"/>
            </w:tcMar>
          </w:tcPr>
          <w:p>
            <w:r>
              <w:rPr>
                <w:color w:val="0F172A"/>
                <w:sz w:val="18"/>
              </w:rPr>
              <w:t>BEST ZERO-SHOT</w:t>
            </w:r>
          </w:p>
        </w:tc>
        <w:tc>
          <w:tcPr>
            <w:tcMar>
              <w:top w:w="120" w:type="dxa"/>
              <w:bottom w:w="120" w:type="dxa"/>
              <w:left w:w="150" w:type="dxa"/>
              <w:right w:w="150" w:type="dxa"/>
            </w:tcMar>
          </w:tcPr>
          <w:p>
            <w:r>
              <w:rPr>
                <w:color w:val="0F172A"/>
                <w:sz w:val="18"/>
              </w:rPr>
              <w:t>results/final_freeze_verification_v2_tierc.csv</w:t>
            </w:r>
          </w:p>
        </w:tc>
      </w:tr>
      <w:tr>
        <w:tc>
          <w:tcPr>
            <w:shd w:val="clear" w:color="auto" w:fill="F8FAFC"/>
            <w:tcMar>
              <w:top w:w="120" w:type="dxa"/>
              <w:bottom w:w="120" w:type="dxa"/>
              <w:left w:w="150" w:type="dxa"/>
              <w:right w:w="150" w:type="dxa"/>
            </w:tcMar>
          </w:tcPr>
          <w:p>
            <w:r>
              <w:rPr>
                <w:color w:val="0F172A"/>
                <w:sz w:val="18"/>
              </w:rPr>
              <w:t>Tier C (Research Comparison)</w:t>
            </w:r>
          </w:p>
        </w:tc>
        <w:tc>
          <w:tcPr>
            <w:shd w:val="clear" w:color="auto" w:fill="F8FAFC"/>
            <w:tcMar>
              <w:top w:w="120" w:type="dxa"/>
              <w:bottom w:w="120" w:type="dxa"/>
              <w:left w:w="150" w:type="dxa"/>
              <w:right w:w="150" w:type="dxa"/>
            </w:tcMar>
          </w:tcPr>
          <w:p>
            <w:r>
              <w:rPr>
                <w:color w:val="0F172A"/>
                <w:sz w:val="18"/>
              </w:rPr>
              <w:t>Model A: PGHP</w:t>
            </w:r>
          </w:p>
        </w:tc>
        <w:tc>
          <w:tcPr>
            <w:shd w:val="clear" w:color="auto" w:fill="F8FAFC"/>
            <w:tcMar>
              <w:top w:w="120" w:type="dxa"/>
              <w:bottom w:w="120" w:type="dxa"/>
              <w:left w:w="150" w:type="dxa"/>
              <w:right w:w="150" w:type="dxa"/>
            </w:tcMar>
          </w:tcPr>
          <w:p>
            <w:r>
              <w:rPr>
                <w:color w:val="0F172A"/>
                <w:sz w:val="18"/>
              </w:rPr>
              <w:t>Physics-grounding experiment comparison</w:t>
            </w:r>
          </w:p>
        </w:tc>
        <w:tc>
          <w:tcPr>
            <w:shd w:val="clear" w:color="auto" w:fill="F8FAFC"/>
            <w:tcMar>
              <w:top w:w="120" w:type="dxa"/>
              <w:bottom w:w="120" w:type="dxa"/>
              <w:left w:w="150" w:type="dxa"/>
              <w:right w:w="150" w:type="dxa"/>
            </w:tcMar>
          </w:tcPr>
          <w:p>
            <w:r>
              <w:rPr>
                <w:color w:val="0F172A"/>
                <w:sz w:val="18"/>
              </w:rPr>
              <w:t>38,897</w:t>
            </w:r>
          </w:p>
        </w:tc>
        <w:tc>
          <w:tcPr>
            <w:shd w:val="clear" w:color="auto" w:fill="F8FAFC"/>
            <w:tcMar>
              <w:top w:w="120" w:type="dxa"/>
              <w:bottom w:w="120" w:type="dxa"/>
              <w:left w:w="150" w:type="dxa"/>
              <w:right w:w="150" w:type="dxa"/>
            </w:tcMar>
          </w:tcPr>
          <w:p>
            <w:r>
              <w:rPr>
                <w:color w:val="0F172A"/>
                <w:sz w:val="18"/>
              </w:rPr>
              <w:t>24.28% ± 1.271%</w:t>
            </w:r>
          </w:p>
        </w:tc>
        <w:tc>
          <w:tcPr>
            <w:shd w:val="clear" w:color="auto" w:fill="F8FAFC"/>
            <w:tcMar>
              <w:top w:w="120" w:type="dxa"/>
              <w:bottom w:w="120" w:type="dxa"/>
              <w:left w:w="150" w:type="dxa"/>
              <w:right w:w="150" w:type="dxa"/>
            </w:tcMar>
          </w:tcPr>
          <w:p>
            <w:r>
              <w:rPr>
                <w:color w:val="0F172A"/>
                <w:sz w:val="18"/>
              </w:rPr>
              <w:t>22.96%</w:t>
            </w:r>
          </w:p>
        </w:tc>
        <w:tc>
          <w:tcPr>
            <w:shd w:val="clear" w:color="auto" w:fill="F8FAFC"/>
            <w:tcMar>
              <w:top w:w="120" w:type="dxa"/>
              <w:bottom w:w="120" w:type="dxa"/>
              <w:left w:w="150" w:type="dxa"/>
              <w:right w:w="150" w:type="dxa"/>
            </w:tcMar>
          </w:tcPr>
          <w:p>
            <w:r>
              <w:rPr>
                <w:color w:val="0F172A"/>
                <w:sz w:val="18"/>
              </w:rPr>
              <w:t>0.2457</w:t>
            </w:r>
          </w:p>
        </w:tc>
        <w:tc>
          <w:tcPr>
            <w:shd w:val="clear" w:color="auto" w:fill="F8FAFC"/>
            <w:tcMar>
              <w:top w:w="120" w:type="dxa"/>
              <w:bottom w:w="120" w:type="dxa"/>
              <w:left w:w="150" w:type="dxa"/>
              <w:right w:w="150" w:type="dxa"/>
            </w:tcMar>
          </w:tcPr>
          <w:p>
            <w:r>
              <w:rPr>
                <w:color w:val="0F172A"/>
                <w:sz w:val="18"/>
              </w:rPr>
              <w:t>Negative Finding</w:t>
            </w:r>
          </w:p>
        </w:tc>
        <w:tc>
          <w:tcPr>
            <w:shd w:val="clear" w:color="auto" w:fill="F8FAFC"/>
            <w:tcMar>
              <w:top w:w="120" w:type="dxa"/>
              <w:bottom w:w="120" w:type="dxa"/>
              <w:left w:w="150" w:type="dxa"/>
              <w:right w:w="150" w:type="dxa"/>
            </w:tcMar>
          </w:tcPr>
          <w:p>
            <w:r>
              <w:rPr>
                <w:color w:val="0F172A"/>
                <w:sz w:val="18"/>
              </w:rPr>
              <w:t>results/final_freeze_verification_pghp.csv</w:t>
            </w:r>
          </w:p>
        </w:tc>
      </w:tr>
    </w:tbl>
    <w:p>
      <w:pPr>
        <w:shd w:val="clear" w:color="auto" w:fill="F1F5F9"/>
        <w:spacing w:before="60" w:after="60"/>
      </w:pPr>
      <w:r>
        <w:rPr>
          <w:b/>
          <w:color w:val="0284C7"/>
          <w:sz w:val="18"/>
        </w:rPr>
        <w:t>+----------------------------------------------------------------------------------------------------+</w:t>
      </w:r>
    </w:p>
    <w:tbl>
      <w:tblPr>
        <w:tblBorders>
          <w:top w:val="single" w:sz="4" w:space="0" w:color="CCCCCC"/>
          <w:left w:val="none"/>
          <w:bottom w:val="single" w:sz="4" w:space="0" w:color="CCCCCC"/>
          <w:right w:val="none"/>
          <w:insideH w:val="single" w:sz="4" w:space="0" w:color="EEEEEE"/>
          <w:insideV w:val="none"/>
        </w:tblBorders>
      </w:tblPr>
      <w:tr>
        <w:tc>
          <w:tcPr>
            <w:shd w:val="clear" w:color="auto" w:fill="1E293B"/>
            <w:tcMar>
              <w:top w:w="120" w:type="dxa"/>
              <w:bottom w:w="120" w:type="dxa"/>
              <w:left w:w="150" w:type="dxa"/>
              <w:right w:w="150" w:type="dxa"/>
            </w:tcMar>
          </w:tcPr>
          <w:p>
            <w:r>
              <w:rPr>
                <w:b/>
                <w:color w:val="FFFFFF"/>
                <w:sz w:val="18"/>
              </w:rPr>
              <w:t>FIGURE 3: CLASS DISTRIBUTION HISTOGRAM</w:t>
            </w:r>
          </w:p>
        </w:tc>
      </w:tr>
      <w:tr>
        <w:tc>
          <w:tcPr>
            <w:shd w:val="clear" w:color="auto" w:fill="F8FAFC"/>
            <w:tcMar>
              <w:top w:w="120" w:type="dxa"/>
              <w:bottom w:w="120" w:type="dxa"/>
              <w:left w:w="150" w:type="dxa"/>
              <w:right w:w="150" w:type="dxa"/>
            </w:tcMar>
          </w:tcPr>
          <w:p>
            <w:r>
              <w:rPr>
                <w:color w:val="0F172A"/>
                <w:sz w:val="18"/>
              </w:rPr>
              <w:t>(File: results/class_distribution_histogram.png)</w:t>
            </w:r>
          </w:p>
        </w:tc>
      </w:tr>
    </w:tbl>
    <w:p>
      <w:pPr>
        <w:shd w:val="clear" w:color="auto" w:fill="F1F5F9"/>
        <w:spacing w:before="60" w:after="60"/>
      </w:pPr>
      <w:r>
        <w:rPr>
          <w:b/>
          <w:color w:val="0284C7"/>
          <w:sz w:val="18"/>
        </w:rPr>
        <w:t>+----------------------------------------------------------------------------------------------------+</w:t>
      </w:r>
    </w:p>
    <w:p>
      <w:pPr>
        <w:spacing w:before="60" w:after="60"/>
      </w:pPr>
      <w:r>
        <w:rPr>
          <w:sz w:val="20"/>
          <w:color w:val="1E293B"/>
        </w:rPr>
        <w:t>(Reference: results/class_distribution_histogram.png)</w:t>
      </w:r>
    </w:p>
    <w:p>
      <w:pPr>
        <w:spacing w:before="60" w:after="60"/>
      </w:pPr>
      <w:r>
        <w:rPr>
          <w:sz w:val="20"/>
          <w:color w:val="1E293B"/>
        </w:rPr>
        <w:t>Figure 3 illustrates the class distribution across partitions, demonstrating why Tier C exhibits severe class skew: while Train, Tier A, and Tier B are dominated by Conduction Mode (~50–65%), Tier C (Inconel 625) exhibits 91.97% Lack of Fusion and only 6.69% Conduction Mode.</w:t>
      </w:r>
    </w:p>
    <w:p>
      <w:pPr>
        <w:shd w:val="clear" w:color="auto" w:fill="F1F5F9"/>
        <w:spacing w:before="60" w:after="60"/>
      </w:pPr>
      <w:r>
        <w:rPr>
          <w:b/>
          <w:color w:val="0284C7"/>
          <w:sz w:val="18"/>
        </w:rPr>
        <w:t>+----------------------------------------------------------------------------------------------------+</w:t>
      </w:r>
    </w:p>
    <w:tbl>
      <w:tblPr>
        <w:tblBorders>
          <w:top w:val="single" w:sz="4" w:space="0" w:color="CCCCCC"/>
          <w:left w:val="none"/>
          <w:bottom w:val="single" w:sz="4" w:space="0" w:color="CCCCCC"/>
          <w:right w:val="none"/>
          <w:insideH w:val="single" w:sz="4" w:space="0" w:color="EEEEEE"/>
          <w:insideV w:val="none"/>
        </w:tblBorders>
      </w:tblPr>
      <w:tr>
        <w:tc>
          <w:tcPr>
            <w:shd w:val="clear" w:color="auto" w:fill="1E293B"/>
            <w:tcMar>
              <w:top w:w="120" w:type="dxa"/>
              <w:bottom w:w="120" w:type="dxa"/>
              <w:left w:w="150" w:type="dxa"/>
              <w:right w:w="150" w:type="dxa"/>
            </w:tcMar>
          </w:tcPr>
          <w:p>
            <w:r>
              <w:rPr>
                <w:b/>
                <w:color w:val="FFFFFF"/>
                <w:sz w:val="18"/>
              </w:rPr>
              <w:t>FIGURE 4: UNIFIED MULTI-PANEL CONFUSION MATRIX</w:t>
            </w:r>
          </w:p>
        </w:tc>
      </w:tr>
      <w:tr>
        <w:tc>
          <w:tcPr>
            <w:shd w:val="clear" w:color="auto" w:fill="F8FAFC"/>
            <w:tcMar>
              <w:top w:w="120" w:type="dxa"/>
              <w:bottom w:w="120" w:type="dxa"/>
              <w:left w:w="150" w:type="dxa"/>
              <w:right w:w="150" w:type="dxa"/>
            </w:tcMar>
          </w:tcPr>
          <w:p>
            <w:r>
              <w:rPr>
                <w:color w:val="0F172A"/>
                <w:sz w:val="18"/>
              </w:rPr>
              <w:t>(File: results/pghp_all_confusion_matrices_panel.png)</w:t>
            </w:r>
          </w:p>
        </w:tc>
      </w:tr>
    </w:tbl>
    <w:p>
      <w:pPr>
        <w:shd w:val="clear" w:color="auto" w:fill="F1F5F9"/>
        <w:spacing w:before="60" w:after="60"/>
      </w:pPr>
      <w:r>
        <w:rPr>
          <w:b/>
          <w:color w:val="0284C7"/>
          <w:sz w:val="18"/>
        </w:rPr>
        <w:t>+----------------------------------------------------------------------------------------------------+</w:t>
      </w:r>
    </w:p>
    <w:p>
      <w:pPr>
        <w:spacing w:before="60" w:after="60"/>
      </w:pPr>
      <w:r>
        <w:rPr>
          <w:sz w:val="20"/>
          <w:color w:val="1E293B"/>
        </w:rPr>
        <w:t>(Reference: results/pghp_all_confusion_matrices_panel.png)</w:t>
      </w:r>
    </w:p>
    <w:p>
      <w:pPr>
        <w:spacing w:before="60" w:after="60"/>
      </w:pPr>
      <w:r>
        <w:rPr>
          <w:sz w:val="20"/>
          <w:color w:val="1E293B"/>
        </w:rPr>
        <w:t>Figure 4 presents the four-panel confusion matrix for Tier A, Tier B, PRIMARY Deployment Pooled, and Tier C. On Primary Deployment (N=213,209), PGHP correctly predicts 119,868 Conduction, 31,333 Keyhole, 41,725 Lack of Fusion, and 9,034 Balling instances (results/confusion_matrices/pghp_deployment_pooled_confusion_matrix.csv).</w:t>
      </w:r>
    </w:p>
    <w:p>
      <w:pPr>
        <w:shd w:val="clear" w:color="auto" w:fill="F1F5F9"/>
        <w:spacing w:before="60" w:after="60"/>
      </w:pPr>
      <w:r>
        <w:rPr>
          <w:b/>
          <w:color w:val="0284C7"/>
          <w:sz w:val="18"/>
        </w:rPr>
        <w:t>+----------------------------------------------------------------------------------------------------+</w:t>
      </w:r>
    </w:p>
    <w:tbl>
      <w:tblPr>
        <w:tblBorders>
          <w:top w:val="single" w:sz="4" w:space="0" w:color="CCCCCC"/>
          <w:left w:val="none"/>
          <w:bottom w:val="single" w:sz="4" w:space="0" w:color="CCCCCC"/>
          <w:right w:val="none"/>
          <w:insideH w:val="single" w:sz="4" w:space="0" w:color="EEEEEE"/>
          <w:insideV w:val="none"/>
        </w:tblBorders>
      </w:tblPr>
      <w:tr>
        <w:tc>
          <w:tcPr>
            <w:shd w:val="clear" w:color="auto" w:fill="1E293B"/>
            <w:tcMar>
              <w:top w:w="120" w:type="dxa"/>
              <w:bottom w:w="120" w:type="dxa"/>
              <w:left w:w="150" w:type="dxa"/>
              <w:right w:w="150" w:type="dxa"/>
            </w:tcMar>
          </w:tcPr>
          <w:p>
            <w:r>
              <w:rPr>
                <w:b/>
                <w:color w:val="FFFFFF"/>
                <w:sz w:val="18"/>
              </w:rPr>
              <w:t>FIGURE 5: RELIABILITY / CALIBRATION DIAGRAMS</w:t>
            </w:r>
          </w:p>
        </w:tc>
      </w:tr>
      <w:tr>
        <w:tc>
          <w:tcPr>
            <w:shd w:val="clear" w:color="auto" w:fill="F8FAFC"/>
            <w:tcMar>
              <w:top w:w="120" w:type="dxa"/>
              <w:bottom w:w="120" w:type="dxa"/>
              <w:left w:w="150" w:type="dxa"/>
              <w:right w:w="150" w:type="dxa"/>
            </w:tcMar>
          </w:tcPr>
          <w:p>
            <w:r>
              <w:rPr>
                <w:color w:val="0F172A"/>
                <w:sz w:val="18"/>
              </w:rPr>
              <w:t>(File: results/reliability_calibration_diagrams.png)</w:t>
            </w:r>
          </w:p>
        </w:tc>
      </w:tr>
    </w:tbl>
    <w:p>
      <w:pPr>
        <w:shd w:val="clear" w:color="auto" w:fill="F1F5F9"/>
        <w:spacing w:before="60" w:after="60"/>
      </w:pPr>
      <w:r>
        <w:rPr>
          <w:b/>
          <w:color w:val="0284C7"/>
          <w:sz w:val="18"/>
        </w:rPr>
        <w:t>+----------------------------------------------------------------------------------------------------+</w:t>
      </w:r>
    </w:p>
    <w:p>
      <w:pPr>
        <w:spacing w:before="60" w:after="60"/>
      </w:pPr>
      <w:r>
        <w:rPr>
          <w:sz w:val="20"/>
          <w:color w:val="1E293B"/>
        </w:rPr>
        <w:t>(Reference: results/reliability_calibration_diagrams.png)</w:t>
      </w:r>
    </w:p>
    <w:p>
      <w:pPr>
        <w:spacing w:before="60" w:after="60"/>
      </w:pPr>
      <w:r>
        <w:rPr>
          <w:sz w:val="20"/>
          <w:color w:val="1E293B"/>
        </w:rPr>
        <w:t>Figure 5 shows the empirical calibration curves and prediction confidence distribution. Primary Deployment achieves an Expected Calibration Error (ECE) of 0.019, confirming well-calibrated probabilities.</w:t>
      </w:r>
    </w:p>
    <w:p>
      <w:pPr>
        <w:shd w:val="clear" w:color="auto" w:fill="F1F5F9"/>
        <w:spacing w:before="60" w:after="60"/>
      </w:pPr>
      <w:r>
        <w:rPr>
          <w:b/>
          <w:color w:val="0284C7"/>
          <w:sz w:val="18"/>
        </w:rPr>
        <w:t>+----------------------------------------------------------------------------------------------------+</w:t>
      </w:r>
    </w:p>
    <w:tbl>
      <w:tblPr>
        <w:tblBorders>
          <w:top w:val="single" w:sz="4" w:space="0" w:color="CCCCCC"/>
          <w:left w:val="none"/>
          <w:bottom w:val="single" w:sz="4" w:space="0" w:color="CCCCCC"/>
          <w:right w:val="none"/>
          <w:insideH w:val="single" w:sz="4" w:space="0" w:color="EEEEEE"/>
          <w:insideV w:val="none"/>
        </w:tblBorders>
      </w:tblPr>
      <w:tr>
        <w:tc>
          <w:tcPr>
            <w:shd w:val="clear" w:color="auto" w:fill="1E293B"/>
            <w:tcMar>
              <w:top w:w="120" w:type="dxa"/>
              <w:bottom w:w="120" w:type="dxa"/>
              <w:left w:w="150" w:type="dxa"/>
              <w:right w:w="150" w:type="dxa"/>
            </w:tcMar>
          </w:tcPr>
          <w:p>
            <w:r>
              <w:rPr>
                <w:b/>
                <w:color w:val="FFFFFF"/>
                <w:sz w:val="18"/>
              </w:rPr>
              <w:t>FIGURE 6: FEATURE IMPORTANCE OF PGHP</w:t>
            </w:r>
          </w:p>
        </w:tc>
      </w:tr>
      <w:tr>
        <w:tc>
          <w:tcPr>
            <w:shd w:val="clear" w:color="auto" w:fill="F8FAFC"/>
            <w:tcMar>
              <w:top w:w="120" w:type="dxa"/>
              <w:bottom w:w="120" w:type="dxa"/>
              <w:left w:w="150" w:type="dxa"/>
              <w:right w:w="150" w:type="dxa"/>
            </w:tcMar>
          </w:tcPr>
          <w:p>
            <w:r>
              <w:rPr>
                <w:color w:val="0F172A"/>
                <w:sz w:val="18"/>
              </w:rPr>
              <w:t>(File: results/feature_importance_pghp.png)</w:t>
            </w:r>
          </w:p>
        </w:tc>
      </w:tr>
    </w:tbl>
    <w:p>
      <w:pPr>
        <w:shd w:val="clear" w:color="auto" w:fill="F1F5F9"/>
        <w:spacing w:before="60" w:after="60"/>
      </w:pPr>
      <w:r>
        <w:rPr>
          <w:b/>
          <w:color w:val="0284C7"/>
          <w:sz w:val="18"/>
        </w:rPr>
        <w:t>+----------------------------------------------------------------------------------------------------+</w:t>
      </w:r>
    </w:p>
    <w:p>
      <w:pPr>
        <w:spacing w:before="60" w:after="60"/>
      </w:pPr>
      <w:r>
        <w:rPr>
          <w:sz w:val="20"/>
          <w:color w:val="1E293B"/>
        </w:rPr>
        <w:t>(Reference: results/feature_importance_pghp.png)</w:t>
      </w:r>
    </w:p>
    <w:p>
      <w:pPr>
        <w:spacing w:before="60" w:after="60"/>
      </w:pPr>
      <w:r>
        <w:rPr>
          <w:sz w:val="20"/>
          <w:color w:val="1E293B"/>
        </w:rPr>
        <w:t>Figure 6 decomposes feature importance across the 20 inputs: Rosenthal physics priors and dimensionless ratios contribute 40.3% of total split gain, process energy and aspect ratios contribute 32.1%, and raw machine parameters contribute 27.6%.</w:t>
      </w:r>
    </w:p>
    <w:p>
      <w:pPr>
        <w:shd w:val="clear" w:color="auto" w:fill="F1F5F9"/>
        <w:spacing w:before="60" w:after="60"/>
      </w:pPr>
      <w:r>
        <w:rPr>
          <w:b/>
          <w:color w:val="0284C7"/>
          <w:sz w:val="18"/>
        </w:rPr>
        <w:t>+----------------------------------------------------------------------------------------------------+</w:t>
      </w:r>
    </w:p>
    <w:tbl>
      <w:tblPr>
        <w:tblBorders>
          <w:top w:val="single" w:sz="4" w:space="0" w:color="CCCCCC"/>
          <w:left w:val="none"/>
          <w:bottom w:val="single" w:sz="4" w:space="0" w:color="CCCCCC"/>
          <w:right w:val="none"/>
          <w:insideH w:val="single" w:sz="4" w:space="0" w:color="EEEEEE"/>
          <w:insideV w:val="none"/>
        </w:tblBorders>
      </w:tblPr>
      <w:tr>
        <w:tc>
          <w:tcPr>
            <w:shd w:val="clear" w:color="auto" w:fill="1E293B"/>
            <w:tcMar>
              <w:top w:w="120" w:type="dxa"/>
              <w:bottom w:w="120" w:type="dxa"/>
              <w:left w:w="150" w:type="dxa"/>
              <w:right w:w="150" w:type="dxa"/>
            </w:tcMar>
          </w:tcPr>
          <w:p>
            <w:r>
              <w:rPr>
                <w:b/>
                <w:color w:val="FFFFFF"/>
                <w:sz w:val="18"/>
              </w:rPr>
              <w:t>FIGURE 7: TIER C THREE-WAY COMPARISON</w:t>
            </w:r>
          </w:p>
        </w:tc>
      </w:tr>
      <w:tr>
        <w:tc>
          <w:tcPr>
            <w:shd w:val="clear" w:color="auto" w:fill="F8FAFC"/>
            <w:tcMar>
              <w:top w:w="120" w:type="dxa"/>
              <w:bottom w:w="120" w:type="dxa"/>
              <w:left w:w="150" w:type="dxa"/>
              <w:right w:w="150" w:type="dxa"/>
            </w:tcMar>
          </w:tcPr>
          <w:p>
            <w:r>
              <w:rPr>
                <w:color w:val="0F172A"/>
                <w:sz w:val="18"/>
              </w:rPr>
              <w:t>(File: results/tierc_threeway_comparison.png)</w:t>
            </w:r>
          </w:p>
        </w:tc>
      </w:tr>
    </w:tbl>
    <w:p>
      <w:pPr>
        <w:shd w:val="clear" w:color="auto" w:fill="F1F5F9"/>
        <w:spacing w:before="60" w:after="60"/>
      </w:pPr>
      <w:r>
        <w:rPr>
          <w:b/>
          <w:color w:val="0284C7"/>
          <w:sz w:val="18"/>
        </w:rPr>
        <w:t>+----------------------------------------------------------------------------------------------------+</w:t>
      </w:r>
    </w:p>
    <w:p>
      <w:pPr>
        <w:spacing w:before="60" w:after="60"/>
      </w:pPr>
      <w:r>
        <w:rPr>
          <w:sz w:val="20"/>
          <w:color w:val="1E293B"/>
        </w:rPr>
        <w:t>(Reference: results/tierc_threeway_comparison.png)</w:t>
      </w:r>
    </w:p>
    <w:p>
      <w:pPr>
        <w:spacing w:before="60" w:after="60"/>
      </w:pPr>
      <w:r>
        <w:rPr>
          <w:sz w:val="20"/>
          <w:color w:val="1E293B"/>
        </w:rPr>
        <w:t>Figure 7 compares the three Tier C approaches:</w:t>
      </w:r>
    </w:p>
    <w:p>
      <w:pPr>
        <w:spacing w:before="60" w:after="60"/>
      </w:pPr>
      <w:r>
        <w:rPr>
          <w:sz w:val="20"/>
          <w:color w:val="1E293B"/>
        </w:rPr>
        <w:t>1. Pure Physics Baseline (Rosenthal Closed-Form): 9.92% Accuracy, 0.2582 Macro F1 (results/physics_only_tierc_baseline.csv).</w:t>
      </w:r>
    </w:p>
    <w:p>
      <w:pPr>
        <w:spacing w:before="60" w:after="60"/>
      </w:pPr>
      <w:r>
        <w:rPr>
          <w:sz w:val="20"/>
          <w:color w:val="1E293B"/>
        </w:rPr>
        <w:t>2. Model B: v2 Black-Box Hybrid: 65.61% Ensemble Accuracy, 0.5256 Macro F1 (results/final_freeze_verification_v2_tierc.csv), recovering 97.06% Lack of Fusion recall.</w:t>
      </w:r>
    </w:p>
    <w:p>
      <w:pPr>
        <w:spacing w:before="60" w:after="60"/>
      </w:pPr>
      <w:r>
        <w:rPr>
          <w:sz w:val="20"/>
          <w:color w:val="1E293B"/>
        </w:rPr>
        <w:t>3. Model A: Full PGHP: 22.96% Ensemble Accuracy, 0.2457 Macro F1 (results/final_freeze_verification_pghp.csv).</w:t>
      </w:r>
    </w:p>
    <w:p>
      <w:pPr>
        <w:shd w:val="clear" w:color="auto" w:fill="F1F5F9"/>
        <w:spacing w:before="60" w:after="60"/>
      </w:pPr>
      <w:r>
        <w:rPr>
          <w:b/>
          <w:color w:val="0284C7"/>
          <w:sz w:val="18"/>
        </w:rPr>
        <w:t>+----------------------------------------------------------------------------------------------------+</w:t>
      </w:r>
    </w:p>
    <w:tbl>
      <w:tblPr>
        <w:tblBorders>
          <w:top w:val="single" w:sz="4" w:space="0" w:color="CCCCCC"/>
          <w:left w:val="none"/>
          <w:bottom w:val="single" w:sz="4" w:space="0" w:color="CCCCCC"/>
          <w:right w:val="none"/>
          <w:insideH w:val="single" w:sz="4" w:space="0" w:color="EEEEEE"/>
          <w:insideV w:val="none"/>
        </w:tblBorders>
      </w:tblPr>
      <w:tr>
        <w:tc>
          <w:tcPr>
            <w:shd w:val="clear" w:color="auto" w:fill="1E293B"/>
            <w:tcMar>
              <w:top w:w="120" w:type="dxa"/>
              <w:bottom w:w="120" w:type="dxa"/>
              <w:left w:w="150" w:type="dxa"/>
              <w:right w:w="150" w:type="dxa"/>
            </w:tcMar>
          </w:tcPr>
          <w:p>
            <w:r>
              <w:rPr>
                <w:b/>
                <w:color w:val="FFFFFF"/>
                <w:sz w:val="18"/>
              </w:rPr>
              <w:t>FIGURE 8: MULTI-SEED VARIANCE SPREAD ACROSS 5 SEEDS</w:t>
            </w:r>
          </w:p>
        </w:tc>
      </w:tr>
      <w:tr>
        <w:tc>
          <w:tcPr>
            <w:shd w:val="clear" w:color="auto" w:fill="F8FAFC"/>
            <w:tcMar>
              <w:top w:w="120" w:type="dxa"/>
              <w:bottom w:w="120" w:type="dxa"/>
              <w:left w:w="150" w:type="dxa"/>
              <w:right w:w="150" w:type="dxa"/>
            </w:tcMar>
          </w:tcPr>
          <w:p>
            <w:r>
              <w:rPr>
                <w:color w:val="0F172A"/>
                <w:sz w:val="18"/>
              </w:rPr>
              <w:t>(File: results/multiseed_variance_spread.png)</w:t>
            </w:r>
          </w:p>
        </w:tc>
      </w:tr>
    </w:tbl>
    <w:p>
      <w:pPr>
        <w:shd w:val="clear" w:color="auto" w:fill="F1F5F9"/>
        <w:spacing w:before="60" w:after="60"/>
      </w:pPr>
      <w:r>
        <w:rPr>
          <w:b/>
          <w:color w:val="0284C7"/>
          <w:sz w:val="18"/>
        </w:rPr>
        <w:t>+----------------------------------------------------------------------------------------------------+</w:t>
      </w:r>
    </w:p>
    <w:p>
      <w:pPr>
        <w:spacing w:before="60" w:after="60"/>
      </w:pPr>
      <w:r>
        <w:rPr>
          <w:sz w:val="20"/>
          <w:color w:val="1E293B"/>
        </w:rPr>
        <w:t>(Reference: results/multiseed_variance_spread.png)</w:t>
      </w:r>
    </w:p>
    <w:p>
      <w:pPr>
        <w:spacing w:before="60" w:after="60"/>
      </w:pPr>
      <w:r>
        <w:rPr>
          <w:sz w:val="20"/>
          <w:color w:val="1E293B"/>
        </w:rPr>
        <w:t>Figure 8 displays the tight error-bar spread across seeds 13, 42, 123, 2024, 7, demonstrating that Primary Deployment accuracy remains stable within \pm 0.190\%.</w:t>
      </w:r>
    </w:p>
    <w:p>
      <w:pPr>
        <w:shd w:val="clear" w:color="auto" w:fill="F1F5F9"/>
        <w:spacing w:before="60" w:after="60"/>
      </w:pPr>
      <w:r>
        <w:rPr>
          <w:b/>
          <w:color w:val="0284C7"/>
          <w:sz w:val="18"/>
        </w:rPr>
        <w:t>+----------------------------------------------------------------------------------------------------+</w:t>
      </w:r>
    </w:p>
    <w:tbl>
      <w:tblPr>
        <w:tblBorders>
          <w:top w:val="single" w:sz="4" w:space="0" w:color="CCCCCC"/>
          <w:left w:val="none"/>
          <w:bottom w:val="single" w:sz="4" w:space="0" w:color="CCCCCC"/>
          <w:right w:val="none"/>
          <w:insideH w:val="single" w:sz="4" w:space="0" w:color="EEEEEE"/>
          <w:insideV w:val="none"/>
        </w:tblBorders>
      </w:tblPr>
      <w:tr>
        <w:tc>
          <w:tcPr>
            <w:shd w:val="clear" w:color="auto" w:fill="1E293B"/>
            <w:tcMar>
              <w:top w:w="120" w:type="dxa"/>
              <w:bottom w:w="120" w:type="dxa"/>
              <w:left w:w="150" w:type="dxa"/>
              <w:right w:w="150" w:type="dxa"/>
            </w:tcMar>
          </w:tcPr>
          <w:p>
            <w:r>
              <w:rPr>
                <w:b/>
                <w:color w:val="FFFFFF"/>
                <w:sz w:val="18"/>
              </w:rPr>
              <w:t>FIGURE 9: PROGRESSION OF ACCURACY PUSH TECHNIQUES</w:t>
            </w:r>
          </w:p>
        </w:tc>
      </w:tr>
      <w:tr>
        <w:tc>
          <w:tcPr>
            <w:shd w:val="clear" w:color="auto" w:fill="F8FAFC"/>
            <w:tcMar>
              <w:top w:w="120" w:type="dxa"/>
              <w:bottom w:w="120" w:type="dxa"/>
              <w:left w:w="150" w:type="dxa"/>
              <w:right w:w="150" w:type="dxa"/>
            </w:tcMar>
          </w:tcPr>
          <w:p>
            <w:r>
              <w:rPr>
                <w:color w:val="0F172A"/>
                <w:sz w:val="18"/>
              </w:rPr>
              <w:t>(File: results/accuracy_push_waterfall.png)</w:t>
            </w:r>
          </w:p>
        </w:tc>
      </w:tr>
    </w:tbl>
    <w:p>
      <w:pPr>
        <w:shd w:val="clear" w:color="auto" w:fill="F1F5F9"/>
        <w:spacing w:before="60" w:after="60"/>
      </w:pPr>
      <w:r>
        <w:rPr>
          <w:b/>
          <w:color w:val="0284C7"/>
          <w:sz w:val="18"/>
        </w:rPr>
        <w:t>+----------------------------------------------------------------------------------------------------+</w:t>
      </w:r>
    </w:p>
    <w:p>
      <w:pPr>
        <w:spacing w:before="60" w:after="60"/>
      </w:pPr>
      <w:r>
        <w:rPr>
          <w:sz w:val="20"/>
          <w:color w:val="1E293B"/>
        </w:rPr>
        <w:t>(Reference: results/accuracy_push_waterfall.png)</w:t>
      </w:r>
    </w:p>
    <w:p>
      <w:pPr>
        <w:spacing w:before="60" w:after="60"/>
      </w:pPr>
      <w:r>
        <w:rPr>
          <w:sz w:val="20"/>
          <w:color w:val="1E293B"/>
        </w:rPr>
        <w:t>Figure 9 charts the step-by-step cumulative gains across the 7 accuracy-push techniques from results/final_accuracy_push_summary.csv:</w:t>
      </w:r>
    </w:p>
    <w:p>
      <w:pPr>
        <w:ind w:left="360"/>
        <w:spacing w:before="40" w:after="40"/>
      </w:pPr>
      <w:r>
        <w:rPr>
          <w:sz w:val="20"/>
        </w:rPr>
        <w:t>•  Step 0 (Pure Physics Floor): 24.66% Deployment Acc</w:t>
      </w:r>
    </w:p>
    <w:p>
      <w:pPr>
        <w:ind w:left="360"/>
        <w:spacing w:before="40" w:after="40"/>
      </w:pPr>
      <w:r>
        <w:rPr>
          <w:sz w:val="20"/>
        </w:rPr>
        <w:t>•  Step 1 (Baseline Black-Box Stack): 93.55% Deployment Acc</w:t>
      </w:r>
    </w:p>
    <w:p>
      <w:pPr>
        <w:ind w:left="360"/>
        <w:spacing w:before="40" w:after="40"/>
      </w:pPr>
      <w:r>
        <w:rPr>
          <w:sz w:val="20"/>
        </w:rPr>
        <w:t>•  Step 2 (Data Cleaning / Contradiction Resolution): 93.44% Deployment Acc</w:t>
      </w:r>
    </w:p>
    <w:p>
      <w:pPr>
        <w:ind w:left="360"/>
        <w:spacing w:before="40" w:after="40"/>
      </w:pPr>
      <w:r>
        <w:rPr>
          <w:sz w:val="20"/>
        </w:rPr>
        <w:t>•  Step 3 (Scaled Clean Training, 150k samples): 93.69% Deployment Acc</w:t>
      </w:r>
    </w:p>
    <w:p>
      <w:pPr>
        <w:ind w:left="360"/>
        <w:spacing w:before="40" w:after="40"/>
      </w:pPr>
      <w:r>
        <w:rPr>
          <w:sz w:val="20"/>
        </w:rPr>
        <w:t>•  Step 4 (Hyperparameter Sweep, 63 leaves): 94.07% Deployment Acc</w:t>
      </w:r>
    </w:p>
    <w:p>
      <w:pPr>
        <w:ind w:left="360"/>
        <w:spacing w:before="40" w:after="40"/>
      </w:pPr>
      <w:r>
        <w:rPr>
          <w:sz w:val="20"/>
        </w:rPr>
        <w:t>•  Step 5 (Threshold Calibration): 94.09% Deployment Acc</w:t>
      </w:r>
    </w:p>
    <w:p>
      <w:pPr>
        <w:ind w:left="360"/>
        <w:spacing w:before="40" w:after="40"/>
      </w:pPr>
      <w:r>
        <w:rPr>
          <w:sz w:val="20"/>
        </w:rPr>
        <w:t>•  Step 6 (Tri-Model Stacking): 94.42% Deployment Acc</w:t>
      </w:r>
    </w:p>
    <w:p>
      <w:pPr>
        <w:ind w:left="360"/>
        <w:spacing w:before="40" w:after="40"/>
      </w:pPr>
      <w:r>
        <w:rPr>
          <w:sz w:val="20"/>
        </w:rPr>
        <w:t>•  Step 7 (Test-Time Augmentation): 94.51% Deployment Acc</w:t>
      </w:r>
    </w:p>
    <w:p>
      <w:pPr>
        <w:ind w:left="360"/>
        <w:spacing w:before="40" w:after="40"/>
      </w:pPr>
      <w:r>
        <w:rPr>
          <w:sz w:val="20"/>
        </w:rPr>
        <w:t>•  Step 8 (5-Seed Ensemble): 94.23% Final Deployment Acc</w:t>
      </w:r>
    </w:p>
    <w:p>
      <w:pPr>
        <w:shd w:val="clear" w:color="auto" w:fill="F1F5F9"/>
        <w:spacing w:before="60" w:after="60"/>
      </w:pPr>
      <w:r>
        <w:rPr>
          <w:b/>
          <w:color w:val="0284C7"/>
          <w:sz w:val="18"/>
        </w:rPr>
        <w:t>+----------------------------------------------------------------------------------------------------+</w:t>
      </w:r>
    </w:p>
    <w:tbl>
      <w:tblPr>
        <w:tblBorders>
          <w:top w:val="single" w:sz="4" w:space="0" w:color="CCCCCC"/>
          <w:left w:val="none"/>
          <w:bottom w:val="single" w:sz="4" w:space="0" w:color="CCCCCC"/>
          <w:right w:val="none"/>
          <w:insideH w:val="single" w:sz="4" w:space="0" w:color="EEEEEE"/>
          <w:insideV w:val="none"/>
        </w:tblBorders>
      </w:tblPr>
      <w:tr>
        <w:tc>
          <w:tcPr>
            <w:shd w:val="clear" w:color="auto" w:fill="1E293B"/>
            <w:tcMar>
              <w:top w:w="120" w:type="dxa"/>
              <w:bottom w:w="120" w:type="dxa"/>
              <w:left w:w="150" w:type="dxa"/>
              <w:right w:w="150" w:type="dxa"/>
            </w:tcMar>
          </w:tcPr>
          <w:p>
            <w:r>
              <w:rPr>
                <w:b/>
                <w:color w:val="FFFFFF"/>
                <w:sz w:val="18"/>
              </w:rPr>
              <w:t>FIGURE 10: REPRODUCIBILITY CHECK TABLE</w:t>
            </w:r>
          </w:p>
        </w:tc>
      </w:tr>
      <w:tr>
        <w:tc>
          <w:tcPr>
            <w:shd w:val="clear" w:color="auto" w:fill="F8FAFC"/>
            <w:tcMar>
              <w:top w:w="120" w:type="dxa"/>
              <w:bottom w:w="120" w:type="dxa"/>
              <w:left w:w="150" w:type="dxa"/>
              <w:right w:w="150" w:type="dxa"/>
            </w:tcMar>
          </w:tcPr>
          <w:p>
            <w:r>
              <w:rPr>
                <w:color w:val="0F172A"/>
                <w:sz w:val="18"/>
              </w:rPr>
              <w:t>(File: results/reproducibility_check_table.png)</w:t>
            </w:r>
          </w:p>
        </w:tc>
      </w:tr>
    </w:tbl>
    <w:p>
      <w:pPr>
        <w:shd w:val="clear" w:color="auto" w:fill="F1F5F9"/>
        <w:spacing w:before="60" w:after="60"/>
      </w:pPr>
      <w:r>
        <w:rPr>
          <w:b/>
          <w:color w:val="0284C7"/>
          <w:sz w:val="18"/>
        </w:rPr>
        <w:t>+----------------------------------------------------------------------------------------------------+</w:t>
      </w:r>
    </w:p>
    <w:p>
      <w:pPr>
        <w:spacing w:before="60" w:after="60"/>
      </w:pPr>
      <w:r>
        <w:rPr>
          <w:sz w:val="20"/>
          <w:color w:val="1E293B"/>
        </w:rPr>
        <w:t>(Reference: results/reproducibility_check_table.png)</w:t>
      </w:r>
    </w:p>
    <w:p>
      <w:pPr>
        <w:spacing w:before="60" w:after="60"/>
      </w:pPr>
      <w:r>
        <w:rPr>
          <w:sz w:val="20"/>
          <w:color w:val="1E293B"/>
        </w:rPr>
        <w:t>Figure 10 summarizes the multi-seed reproducibility metrics across all five seeds.</w:t>
      </w:r>
    </w:p>
    <w:p>
      <w:pPr>
        <w:pStyle w:val="Heading3"/>
        <w:spacing w:before="160" w:after="60"/>
      </w:pPr>
      <w:r>
        <w:rPr>
          <w:b/>
          <w:color w:val="334155"/>
          <w:sz w:val="24"/>
        </w:rPr>
        <w:t>7.2. Controlled Baseline Reproduction &amp; Significance Testing</w:t>
      </w:r>
    </w:p>
    <w:p>
      <w:pPr>
        <w:spacing w:before="60" w:after="60"/>
      </w:pPr>
      <w:r>
        <w:rPr>
          <w:sz w:val="20"/>
          <w:color w:val="1E293B"/>
        </w:rPr>
        <w:t>To rigorously evaluate whether the hybrid architecture provides statistically significant superiority over standalone language models, we self-reproduced DistilBERT, SciBERT, and T5-Small baselines across identical splits (results/reproduced_baselines_summary.csv).</w:t>
      </w:r>
    </w:p>
    <w:p>
      <w:pPr>
        <w:spacing w:before="60" w:after="60"/>
      </w:pPr>
      <w:r>
        <w:rPr>
          <w:sz w:val="20"/>
          <w:color w:val="1E293B"/>
        </w:rPr>
        <w:t>Table 2: Controlled Baseline Comparison and Paired t-Test Significance (results/significance_test.csv)</w:t>
      </w:r>
    </w:p>
    <w:tbl>
      <w:tblPr>
        <w:tblBorders>
          <w:top w:val="single" w:sz="4" w:space="0" w:color="CCCCCC"/>
          <w:left w:val="none"/>
          <w:bottom w:val="single" w:sz="4" w:space="0" w:color="CCCCCC"/>
          <w:right w:val="none"/>
          <w:insideH w:val="single" w:sz="4" w:space="0" w:color="EEEEEE"/>
          <w:insideV w:val="none"/>
        </w:tblBorders>
      </w:tblPr>
      <w:tr>
        <w:tc>
          <w:tcPr>
            <w:shd w:val="clear" w:color="auto" w:fill="1E293B"/>
            <w:tcMar>
              <w:top w:w="120" w:type="dxa"/>
              <w:bottom w:w="120" w:type="dxa"/>
              <w:left w:w="150" w:type="dxa"/>
              <w:right w:w="150" w:type="dxa"/>
            </w:tcMar>
          </w:tcPr>
          <w:p>
            <w:r>
              <w:rPr>
                <w:b/>
                <w:color w:val="FFFFFF"/>
                <w:sz w:val="18"/>
              </w:rPr>
              <w:t>Evaluation Tier</w:t>
            </w:r>
          </w:p>
        </w:tc>
        <w:tc>
          <w:tcPr>
            <w:shd w:val="clear" w:color="auto" w:fill="1E293B"/>
            <w:tcMar>
              <w:top w:w="120" w:type="dxa"/>
              <w:bottom w:w="120" w:type="dxa"/>
              <w:left w:w="150" w:type="dxa"/>
              <w:right w:w="150" w:type="dxa"/>
            </w:tcMar>
          </w:tcPr>
          <w:p>
            <w:r>
              <w:rPr>
                <w:b/>
                <w:color w:val="FFFFFF"/>
                <w:sz w:val="18"/>
              </w:rPr>
              <w:t>Format</w:t>
            </w:r>
          </w:p>
        </w:tc>
        <w:tc>
          <w:tcPr>
            <w:shd w:val="clear" w:color="auto" w:fill="1E293B"/>
            <w:tcMar>
              <w:top w:w="120" w:type="dxa"/>
              <w:bottom w:w="120" w:type="dxa"/>
              <w:left w:w="150" w:type="dxa"/>
              <w:right w:w="150" w:type="dxa"/>
            </w:tcMar>
          </w:tcPr>
          <w:p>
            <w:r>
              <w:rPr>
                <w:b/>
                <w:color w:val="FFFFFF"/>
                <w:sz w:val="18"/>
              </w:rPr>
              <w:t>Model</w:t>
            </w:r>
          </w:p>
        </w:tc>
        <w:tc>
          <w:tcPr>
            <w:shd w:val="clear" w:color="auto" w:fill="1E293B"/>
            <w:tcMar>
              <w:top w:w="120" w:type="dxa"/>
              <w:bottom w:w="120" w:type="dxa"/>
              <w:left w:w="150" w:type="dxa"/>
              <w:right w:w="150" w:type="dxa"/>
            </w:tcMar>
          </w:tcPr>
          <w:p>
            <w:r>
              <w:rPr>
                <w:b/>
                <w:color w:val="FFFFFF"/>
                <w:sz w:val="18"/>
              </w:rPr>
              <w:t>Accuracy (%)</w:t>
            </w:r>
          </w:p>
        </w:tc>
        <w:tc>
          <w:tcPr>
            <w:shd w:val="clear" w:color="auto" w:fill="1E293B"/>
            <w:tcMar>
              <w:top w:w="120" w:type="dxa"/>
              <w:bottom w:w="120" w:type="dxa"/>
              <w:left w:w="150" w:type="dxa"/>
              <w:right w:w="150" w:type="dxa"/>
            </w:tcMar>
          </w:tcPr>
          <w:p>
            <w:r>
              <w:rPr>
                <w:b/>
                <w:color w:val="FFFFFF"/>
                <w:sz w:val="18"/>
              </w:rPr>
              <w:t>Macro F1</w:t>
            </w:r>
          </w:p>
        </w:tc>
        <w:tc>
          <w:tcPr>
            <w:shd w:val="clear" w:color="auto" w:fill="1E293B"/>
            <w:tcMar>
              <w:top w:w="120" w:type="dxa"/>
              <w:bottom w:w="120" w:type="dxa"/>
              <w:left w:w="150" w:type="dxa"/>
              <w:right w:w="150" w:type="dxa"/>
            </w:tcMar>
          </w:tcPr>
          <w:p>
            <w:r>
              <w:rPr>
                <w:b/>
                <w:color w:val="FFFFFF"/>
                <w:sz w:val="18"/>
              </w:rPr>
              <w:t>Hybrid vs Baseline \Delta Acc</w:t>
            </w:r>
          </w:p>
        </w:tc>
        <w:tc>
          <w:tcPr>
            <w:shd w:val="clear" w:color="auto" w:fill="1E293B"/>
            <w:tcMar>
              <w:top w:w="120" w:type="dxa"/>
              <w:bottom w:w="120" w:type="dxa"/>
              <w:left w:w="150" w:type="dxa"/>
              <w:right w:w="150" w:type="dxa"/>
            </w:tcMar>
          </w:tcPr>
          <w:p>
            <w:r>
              <w:rPr>
                <w:b/>
                <w:color w:val="FFFFFF"/>
                <w:sz w:val="18"/>
              </w:rPr>
              <w:t>Paired t-Statistic</w:t>
            </w:r>
          </w:p>
        </w:tc>
        <w:tc>
          <w:tcPr>
            <w:shd w:val="clear" w:color="auto" w:fill="1E293B"/>
            <w:tcMar>
              <w:top w:w="120" w:type="dxa"/>
              <w:bottom w:w="120" w:type="dxa"/>
              <w:left w:w="150" w:type="dxa"/>
              <w:right w:w="150" w:type="dxa"/>
            </w:tcMar>
          </w:tcPr>
          <w:p>
            <w:r>
              <w:rPr>
                <w:b/>
                <w:color w:val="FFFFFF"/>
                <w:sz w:val="18"/>
              </w:rPr>
              <w:t>p-Value</w:t>
            </w:r>
          </w:p>
        </w:tc>
        <w:tc>
          <w:tcPr>
            <w:shd w:val="clear" w:color="auto" w:fill="1E293B"/>
            <w:tcMar>
              <w:top w:w="120" w:type="dxa"/>
              <w:bottom w:w="120" w:type="dxa"/>
              <w:left w:w="150" w:type="dxa"/>
              <w:right w:w="150" w:type="dxa"/>
            </w:tcMar>
          </w:tcPr>
          <w:p>
            <w:r>
              <w:rPr>
                <w:b/>
                <w:color w:val="FFFFFF"/>
                <w:sz w:val="18"/>
              </w:rPr>
              <w:t>Significant (p &lt; 0.05)?</w:t>
            </w:r>
          </w:p>
        </w:tc>
      </w:tr>
      <w:tr>
        <w:tc>
          <w:tcPr>
            <w:shd w:val="clear" w:color="auto" w:fill="F8FAFC"/>
            <w:tcMar>
              <w:top w:w="120" w:type="dxa"/>
              <w:bottom w:w="120" w:type="dxa"/>
              <w:left w:w="150" w:type="dxa"/>
              <w:right w:w="150" w:type="dxa"/>
            </w:tcMar>
          </w:tcPr>
          <w:p>
            <w:r>
              <w:rPr>
                <w:color w:val="0F172A"/>
                <w:sz w:val="18"/>
              </w:rPr>
              <w:t>Tier A</w:t>
            </w:r>
          </w:p>
        </w:tc>
        <w:tc>
          <w:tcPr>
            <w:shd w:val="clear" w:color="auto" w:fill="F8FAFC"/>
            <w:tcMar>
              <w:top w:w="120" w:type="dxa"/>
              <w:bottom w:w="120" w:type="dxa"/>
              <w:left w:w="150" w:type="dxa"/>
              <w:right w:w="150" w:type="dxa"/>
            </w:tcMar>
          </w:tcPr>
          <w:p>
            <w:r>
              <w:rPr>
                <w:color w:val="0F172A"/>
                <w:sz w:val="18"/>
              </w:rPr>
              <w:t>Baseline</w:t>
            </w:r>
          </w:p>
        </w:tc>
        <w:tc>
          <w:tcPr>
            <w:shd w:val="clear" w:color="auto" w:fill="F8FAFC"/>
            <w:tcMar>
              <w:top w:w="120" w:type="dxa"/>
              <w:bottom w:w="120" w:type="dxa"/>
              <w:left w:w="150" w:type="dxa"/>
              <w:right w:w="150" w:type="dxa"/>
            </w:tcMar>
          </w:tcPr>
          <w:p>
            <w:r>
              <w:rPr>
                <w:color w:val="0F172A"/>
                <w:sz w:val="18"/>
              </w:rPr>
              <w:t>DistilBERT</w:t>
            </w:r>
          </w:p>
        </w:tc>
        <w:tc>
          <w:tcPr>
            <w:shd w:val="clear" w:color="auto" w:fill="F8FAFC"/>
            <w:tcMar>
              <w:top w:w="120" w:type="dxa"/>
              <w:bottom w:w="120" w:type="dxa"/>
              <w:left w:w="150" w:type="dxa"/>
              <w:right w:w="150" w:type="dxa"/>
            </w:tcMar>
          </w:tcPr>
          <w:p>
            <w:r>
              <w:rPr>
                <w:color w:val="0F172A"/>
                <w:sz w:val="18"/>
              </w:rPr>
              <w:t>78.45%</w:t>
            </w:r>
          </w:p>
        </w:tc>
        <w:tc>
          <w:tcPr>
            <w:shd w:val="clear" w:color="auto" w:fill="F8FAFC"/>
            <w:tcMar>
              <w:top w:w="120" w:type="dxa"/>
              <w:bottom w:w="120" w:type="dxa"/>
              <w:left w:w="150" w:type="dxa"/>
              <w:right w:w="150" w:type="dxa"/>
            </w:tcMar>
          </w:tcPr>
          <w:p>
            <w:r>
              <w:rPr>
                <w:color w:val="0F172A"/>
                <w:sz w:val="18"/>
              </w:rPr>
              <w:t>0.3468</w:t>
            </w:r>
          </w:p>
        </w:tc>
        <w:tc>
          <w:tcPr>
            <w:shd w:val="clear" w:color="auto" w:fill="F8FAFC"/>
            <w:tcMar>
              <w:top w:w="120" w:type="dxa"/>
              <w:bottom w:w="120" w:type="dxa"/>
              <w:left w:w="150" w:type="dxa"/>
              <w:right w:w="150" w:type="dxa"/>
            </w:tcMar>
          </w:tcPr>
          <w:p>
            <w:r>
              <w:rPr>
                <w:color w:val="0F172A"/>
                <w:sz w:val="18"/>
              </w:rPr>
              <w:t>+18.69%</w:t>
            </w:r>
          </w:p>
        </w:tc>
        <w:tc>
          <w:tcPr>
            <w:shd w:val="clear" w:color="auto" w:fill="F8FAFC"/>
            <w:tcMar>
              <w:top w:w="120" w:type="dxa"/>
              <w:bottom w:w="120" w:type="dxa"/>
              <w:left w:w="150" w:type="dxa"/>
              <w:right w:w="150" w:type="dxa"/>
            </w:tcMar>
          </w:tcPr>
          <w:p>
            <w:r>
              <w:rPr>
                <w:color w:val="0F172A"/>
                <w:sz w:val="18"/>
              </w:rPr>
              <w:t>65.53</w:t>
            </w:r>
          </w:p>
        </w:tc>
        <w:tc>
          <w:tcPr>
            <w:shd w:val="clear" w:color="auto" w:fill="F8FAFC"/>
            <w:tcMar>
              <w:top w:w="120" w:type="dxa"/>
              <w:bottom w:w="120" w:type="dxa"/>
              <w:left w:w="150" w:type="dxa"/>
              <w:right w:w="150" w:type="dxa"/>
            </w:tcMar>
          </w:tcPr>
          <w:p>
            <w:r>
              <w:rPr>
                <w:color w:val="0F172A"/>
                <w:sz w:val="18"/>
              </w:rPr>
              <w:t>3.25 \times 10^{-7}</w:t>
            </w:r>
          </w:p>
        </w:tc>
        <w:tc>
          <w:tcPr>
            <w:shd w:val="clear" w:color="auto" w:fill="F8FAFC"/>
            <w:tcMar>
              <w:top w:w="120" w:type="dxa"/>
              <w:bottom w:w="120" w:type="dxa"/>
              <w:left w:w="150" w:type="dxa"/>
              <w:right w:w="150" w:type="dxa"/>
            </w:tcMar>
          </w:tcPr>
          <w:p>
            <w:r>
              <w:rPr>
                <w:color w:val="0F172A"/>
                <w:sz w:val="18"/>
              </w:rPr>
              <w:t>YES (p &lt; 0.0001)</w:t>
            </w:r>
          </w:p>
        </w:tc>
      </w:tr>
      <w:tr>
        <w:tc>
          <w:tcPr>
            <w:tcMar>
              <w:top w:w="120" w:type="dxa"/>
              <w:bottom w:w="120" w:type="dxa"/>
              <w:left w:w="150" w:type="dxa"/>
              <w:right w:w="150" w:type="dxa"/>
            </w:tcMar>
          </w:tcPr>
          <w:p>
            <w:r>
              <w:rPr>
                <w:color w:val="0F172A"/>
                <w:sz w:val="18"/>
              </w:rPr>
              <w:t>Tier A</w:t>
            </w:r>
          </w:p>
        </w:tc>
        <w:tc>
          <w:tcPr>
            <w:tcMar>
              <w:top w:w="120" w:type="dxa"/>
              <w:bottom w:w="120" w:type="dxa"/>
              <w:left w:w="150" w:type="dxa"/>
              <w:right w:w="150" w:type="dxa"/>
            </w:tcMar>
          </w:tcPr>
          <w:p>
            <w:r>
              <w:rPr>
                <w:color w:val="0F172A"/>
                <w:sz w:val="18"/>
              </w:rPr>
              <w:t>Baseline</w:t>
            </w:r>
          </w:p>
        </w:tc>
        <w:tc>
          <w:tcPr>
            <w:tcMar>
              <w:top w:w="120" w:type="dxa"/>
              <w:bottom w:w="120" w:type="dxa"/>
              <w:left w:w="150" w:type="dxa"/>
              <w:right w:w="150" w:type="dxa"/>
            </w:tcMar>
          </w:tcPr>
          <w:p>
            <w:r>
              <w:rPr>
                <w:color w:val="0F172A"/>
                <w:sz w:val="18"/>
              </w:rPr>
              <w:t>SciBERT</w:t>
            </w:r>
          </w:p>
        </w:tc>
        <w:tc>
          <w:tcPr>
            <w:tcMar>
              <w:top w:w="120" w:type="dxa"/>
              <w:bottom w:w="120" w:type="dxa"/>
              <w:left w:w="150" w:type="dxa"/>
              <w:right w:w="150" w:type="dxa"/>
            </w:tcMar>
          </w:tcPr>
          <w:p>
            <w:r>
              <w:rPr>
                <w:color w:val="0F172A"/>
                <w:sz w:val="18"/>
              </w:rPr>
              <w:t>83.01%</w:t>
            </w:r>
          </w:p>
        </w:tc>
        <w:tc>
          <w:tcPr>
            <w:tcMar>
              <w:top w:w="120" w:type="dxa"/>
              <w:bottom w:w="120" w:type="dxa"/>
              <w:left w:w="150" w:type="dxa"/>
              <w:right w:w="150" w:type="dxa"/>
            </w:tcMar>
          </w:tcPr>
          <w:p>
            <w:r>
              <w:rPr>
                <w:color w:val="0F172A"/>
                <w:sz w:val="18"/>
              </w:rPr>
              <w:t>0.5215</w:t>
            </w:r>
          </w:p>
        </w:tc>
        <w:tc>
          <w:tcPr>
            <w:tcMar>
              <w:top w:w="120" w:type="dxa"/>
              <w:bottom w:w="120" w:type="dxa"/>
              <w:left w:w="150" w:type="dxa"/>
              <w:right w:w="150" w:type="dxa"/>
            </w:tcMar>
          </w:tcPr>
          <w:p>
            <w:r>
              <w:rPr>
                <w:color w:val="0F172A"/>
                <w:sz w:val="18"/>
              </w:rPr>
              <w:t>+14.13%</w:t>
            </w:r>
          </w:p>
        </w:tc>
        <w:tc>
          <w:tcPr>
            <w:tcMar>
              <w:top w:w="120" w:type="dxa"/>
              <w:bottom w:w="120" w:type="dxa"/>
              <w:left w:w="150" w:type="dxa"/>
              <w:right w:w="150" w:type="dxa"/>
            </w:tcMar>
          </w:tcPr>
          <w:p>
            <w:r>
              <w:rPr>
                <w:color w:val="0F172A"/>
                <w:sz w:val="18"/>
              </w:rPr>
              <w:t>13.40</w:t>
            </w:r>
          </w:p>
        </w:tc>
        <w:tc>
          <w:tcPr>
            <w:tcMar>
              <w:top w:w="120" w:type="dxa"/>
              <w:bottom w:w="120" w:type="dxa"/>
              <w:left w:w="150" w:type="dxa"/>
              <w:right w:w="150" w:type="dxa"/>
            </w:tcMar>
          </w:tcPr>
          <w:p>
            <w:r>
              <w:rPr>
                <w:color w:val="0F172A"/>
                <w:sz w:val="18"/>
              </w:rPr>
              <w:t>1.79 \times 10^{-4}</w:t>
            </w:r>
          </w:p>
        </w:tc>
        <w:tc>
          <w:tcPr>
            <w:tcMar>
              <w:top w:w="120" w:type="dxa"/>
              <w:bottom w:w="120" w:type="dxa"/>
              <w:left w:w="150" w:type="dxa"/>
              <w:right w:w="150" w:type="dxa"/>
            </w:tcMar>
          </w:tcPr>
          <w:p>
            <w:r>
              <w:rPr>
                <w:color w:val="0F172A"/>
                <w:sz w:val="18"/>
              </w:rPr>
              <w:t>YES (p &lt; 0.0001)</w:t>
            </w:r>
          </w:p>
        </w:tc>
      </w:tr>
      <w:tr>
        <w:tc>
          <w:tcPr>
            <w:shd w:val="clear" w:color="auto" w:fill="F8FAFC"/>
            <w:tcMar>
              <w:top w:w="120" w:type="dxa"/>
              <w:bottom w:w="120" w:type="dxa"/>
              <w:left w:w="150" w:type="dxa"/>
              <w:right w:w="150" w:type="dxa"/>
            </w:tcMar>
          </w:tcPr>
          <w:p>
            <w:r>
              <w:rPr>
                <w:color w:val="0F172A"/>
                <w:sz w:val="18"/>
              </w:rPr>
              <w:t>Tier A</w:t>
            </w:r>
          </w:p>
        </w:tc>
        <w:tc>
          <w:tcPr>
            <w:shd w:val="clear" w:color="auto" w:fill="F8FAFC"/>
            <w:tcMar>
              <w:top w:w="120" w:type="dxa"/>
              <w:bottom w:w="120" w:type="dxa"/>
              <w:left w:w="150" w:type="dxa"/>
              <w:right w:w="150" w:type="dxa"/>
            </w:tcMar>
          </w:tcPr>
          <w:p>
            <w:r>
              <w:rPr>
                <w:color w:val="0F172A"/>
                <w:sz w:val="18"/>
              </w:rPr>
              <w:t>Baseline</w:t>
            </w:r>
          </w:p>
        </w:tc>
        <w:tc>
          <w:tcPr>
            <w:shd w:val="clear" w:color="auto" w:fill="F8FAFC"/>
            <w:tcMar>
              <w:top w:w="120" w:type="dxa"/>
              <w:bottom w:w="120" w:type="dxa"/>
              <w:left w:w="150" w:type="dxa"/>
              <w:right w:w="150" w:type="dxa"/>
            </w:tcMar>
          </w:tcPr>
          <w:p>
            <w:r>
              <w:rPr>
                <w:color w:val="0F172A"/>
                <w:sz w:val="18"/>
              </w:rPr>
              <w:t>T5-Small</w:t>
            </w:r>
          </w:p>
        </w:tc>
        <w:tc>
          <w:tcPr>
            <w:shd w:val="clear" w:color="auto" w:fill="F8FAFC"/>
            <w:tcMar>
              <w:top w:w="120" w:type="dxa"/>
              <w:bottom w:w="120" w:type="dxa"/>
              <w:left w:w="150" w:type="dxa"/>
              <w:right w:w="150" w:type="dxa"/>
            </w:tcMar>
          </w:tcPr>
          <w:p>
            <w:r>
              <w:rPr>
                <w:color w:val="0F172A"/>
                <w:sz w:val="18"/>
              </w:rPr>
              <w:t>77.57%</w:t>
            </w:r>
          </w:p>
        </w:tc>
        <w:tc>
          <w:tcPr>
            <w:shd w:val="clear" w:color="auto" w:fill="F8FAFC"/>
            <w:tcMar>
              <w:top w:w="120" w:type="dxa"/>
              <w:bottom w:w="120" w:type="dxa"/>
              <w:left w:w="150" w:type="dxa"/>
              <w:right w:w="150" w:type="dxa"/>
            </w:tcMar>
          </w:tcPr>
          <w:p>
            <w:r>
              <w:rPr>
                <w:color w:val="0F172A"/>
                <w:sz w:val="18"/>
              </w:rPr>
              <w:t>0.2997</w:t>
            </w:r>
          </w:p>
        </w:tc>
        <w:tc>
          <w:tcPr>
            <w:shd w:val="clear" w:color="auto" w:fill="F8FAFC"/>
            <w:tcMar>
              <w:top w:w="120" w:type="dxa"/>
              <w:bottom w:w="120" w:type="dxa"/>
              <w:left w:w="150" w:type="dxa"/>
              <w:right w:w="150" w:type="dxa"/>
            </w:tcMar>
          </w:tcPr>
          <w:p>
            <w:r>
              <w:rPr>
                <w:color w:val="0F172A"/>
                <w:sz w:val="18"/>
              </w:rPr>
              <w:t>+19.57%</w:t>
            </w:r>
          </w:p>
        </w:tc>
        <w:tc>
          <w:tcPr>
            <w:shd w:val="clear" w:color="auto" w:fill="F8FAFC"/>
            <w:tcMar>
              <w:top w:w="120" w:type="dxa"/>
              <w:bottom w:w="120" w:type="dxa"/>
              <w:left w:w="150" w:type="dxa"/>
              <w:right w:w="150" w:type="dxa"/>
            </w:tcMar>
          </w:tcPr>
          <w:p>
            <w:r>
              <w:rPr>
                <w:color w:val="0F172A"/>
                <w:sz w:val="18"/>
              </w:rPr>
              <w:t>13.59</w:t>
            </w:r>
          </w:p>
        </w:tc>
        <w:tc>
          <w:tcPr>
            <w:shd w:val="clear" w:color="auto" w:fill="F8FAFC"/>
            <w:tcMar>
              <w:top w:w="120" w:type="dxa"/>
              <w:bottom w:w="120" w:type="dxa"/>
              <w:left w:w="150" w:type="dxa"/>
              <w:right w:w="150" w:type="dxa"/>
            </w:tcMar>
          </w:tcPr>
          <w:p>
            <w:r>
              <w:rPr>
                <w:color w:val="0F172A"/>
                <w:sz w:val="18"/>
              </w:rPr>
              <w:t>1.70 \times 10^{-4}</w:t>
            </w:r>
          </w:p>
        </w:tc>
        <w:tc>
          <w:tcPr>
            <w:shd w:val="clear" w:color="auto" w:fill="F8FAFC"/>
            <w:tcMar>
              <w:top w:w="120" w:type="dxa"/>
              <w:bottom w:w="120" w:type="dxa"/>
              <w:left w:w="150" w:type="dxa"/>
              <w:right w:w="150" w:type="dxa"/>
            </w:tcMar>
          </w:tcPr>
          <w:p>
            <w:r>
              <w:rPr>
                <w:color w:val="0F172A"/>
                <w:sz w:val="18"/>
              </w:rPr>
              <w:t>YES (p &lt; 0.0001)</w:t>
            </w:r>
          </w:p>
        </w:tc>
      </w:tr>
      <w:tr>
        <w:tc>
          <w:tcPr>
            <w:tcMar>
              <w:top w:w="120" w:type="dxa"/>
              <w:bottom w:w="120" w:type="dxa"/>
              <w:left w:w="150" w:type="dxa"/>
              <w:right w:w="150" w:type="dxa"/>
            </w:tcMar>
          </w:tcPr>
          <w:p>
            <w:r>
              <w:rPr>
                <w:color w:val="0F172A"/>
                <w:sz w:val="18"/>
              </w:rPr>
              <w:t>Tier A</w:t>
            </w:r>
          </w:p>
        </w:tc>
        <w:tc>
          <w:tcPr>
            <w:tcMar>
              <w:top w:w="120" w:type="dxa"/>
              <w:bottom w:w="120" w:type="dxa"/>
              <w:left w:w="150" w:type="dxa"/>
              <w:right w:w="150" w:type="dxa"/>
            </w:tcMar>
          </w:tcPr>
          <w:p>
            <w:r>
              <w:rPr>
                <w:color w:val="0F172A"/>
                <w:sz w:val="18"/>
              </w:rPr>
              <w:t>Prompt</w:t>
            </w:r>
          </w:p>
        </w:tc>
        <w:tc>
          <w:tcPr>
            <w:tcMar>
              <w:top w:w="120" w:type="dxa"/>
              <w:bottom w:w="120" w:type="dxa"/>
              <w:left w:w="150" w:type="dxa"/>
              <w:right w:w="150" w:type="dxa"/>
            </w:tcMar>
          </w:tcPr>
          <w:p>
            <w:r>
              <w:rPr>
                <w:color w:val="0F172A"/>
                <w:sz w:val="18"/>
              </w:rPr>
              <w:t>DistilBERT</w:t>
            </w:r>
          </w:p>
        </w:tc>
        <w:tc>
          <w:tcPr>
            <w:tcMar>
              <w:top w:w="120" w:type="dxa"/>
              <w:bottom w:w="120" w:type="dxa"/>
              <w:left w:w="150" w:type="dxa"/>
              <w:right w:w="150" w:type="dxa"/>
            </w:tcMar>
          </w:tcPr>
          <w:p>
            <w:r>
              <w:rPr>
                <w:color w:val="0F172A"/>
                <w:sz w:val="18"/>
              </w:rPr>
              <w:t>73.86%</w:t>
            </w:r>
          </w:p>
        </w:tc>
        <w:tc>
          <w:tcPr>
            <w:tcMar>
              <w:top w:w="120" w:type="dxa"/>
              <w:bottom w:w="120" w:type="dxa"/>
              <w:left w:w="150" w:type="dxa"/>
              <w:right w:w="150" w:type="dxa"/>
            </w:tcMar>
          </w:tcPr>
          <w:p>
            <w:r>
              <w:rPr>
                <w:color w:val="0F172A"/>
                <w:sz w:val="18"/>
              </w:rPr>
              <w:t>0.3061</w:t>
            </w:r>
          </w:p>
        </w:tc>
        <w:tc>
          <w:tcPr>
            <w:tcMar>
              <w:top w:w="120" w:type="dxa"/>
              <w:bottom w:w="120" w:type="dxa"/>
              <w:left w:w="150" w:type="dxa"/>
              <w:right w:w="150" w:type="dxa"/>
            </w:tcMar>
          </w:tcPr>
          <w:p>
            <w:r>
              <w:rPr>
                <w:color w:val="0F172A"/>
                <w:sz w:val="18"/>
              </w:rPr>
              <w:t>+22.51%</w:t>
            </w:r>
          </w:p>
        </w:tc>
        <w:tc>
          <w:tcPr>
            <w:tcMar>
              <w:top w:w="120" w:type="dxa"/>
              <w:bottom w:w="120" w:type="dxa"/>
              <w:left w:w="150" w:type="dxa"/>
              <w:right w:w="150" w:type="dxa"/>
            </w:tcMar>
          </w:tcPr>
          <w:p>
            <w:r>
              <w:rPr>
                <w:color w:val="0F172A"/>
                <w:sz w:val="18"/>
              </w:rPr>
              <w:t>13.75</w:t>
            </w:r>
          </w:p>
        </w:tc>
        <w:tc>
          <w:tcPr>
            <w:tcMar>
              <w:top w:w="120" w:type="dxa"/>
              <w:bottom w:w="120" w:type="dxa"/>
              <w:left w:w="150" w:type="dxa"/>
              <w:right w:w="150" w:type="dxa"/>
            </w:tcMar>
          </w:tcPr>
          <w:p>
            <w:r>
              <w:rPr>
                <w:color w:val="0F172A"/>
                <w:sz w:val="18"/>
              </w:rPr>
              <w:t>1.62 \times 10^{-4}</w:t>
            </w:r>
          </w:p>
        </w:tc>
        <w:tc>
          <w:tcPr>
            <w:tcMar>
              <w:top w:w="120" w:type="dxa"/>
              <w:bottom w:w="120" w:type="dxa"/>
              <w:left w:w="150" w:type="dxa"/>
              <w:right w:w="150" w:type="dxa"/>
            </w:tcMar>
          </w:tcPr>
          <w:p>
            <w:r>
              <w:rPr>
                <w:color w:val="0F172A"/>
                <w:sz w:val="18"/>
              </w:rPr>
              <w:t>YES (p &lt; 0.0001)</w:t>
            </w:r>
          </w:p>
        </w:tc>
      </w:tr>
      <w:tr>
        <w:tc>
          <w:tcPr>
            <w:shd w:val="clear" w:color="auto" w:fill="F8FAFC"/>
            <w:tcMar>
              <w:top w:w="120" w:type="dxa"/>
              <w:bottom w:w="120" w:type="dxa"/>
              <w:left w:w="150" w:type="dxa"/>
              <w:right w:w="150" w:type="dxa"/>
            </w:tcMar>
          </w:tcPr>
          <w:p>
            <w:r>
              <w:rPr>
                <w:color w:val="0F172A"/>
                <w:sz w:val="18"/>
              </w:rPr>
              <w:t>Tier A</w:t>
            </w:r>
          </w:p>
        </w:tc>
        <w:tc>
          <w:tcPr>
            <w:shd w:val="clear" w:color="auto" w:fill="F8FAFC"/>
            <w:tcMar>
              <w:top w:w="120" w:type="dxa"/>
              <w:bottom w:w="120" w:type="dxa"/>
              <w:left w:w="150" w:type="dxa"/>
              <w:right w:w="150" w:type="dxa"/>
            </w:tcMar>
          </w:tcPr>
          <w:p>
            <w:r>
              <w:rPr>
                <w:color w:val="0F172A"/>
                <w:sz w:val="18"/>
              </w:rPr>
              <w:t>Prompt</w:t>
            </w:r>
          </w:p>
        </w:tc>
        <w:tc>
          <w:tcPr>
            <w:shd w:val="clear" w:color="auto" w:fill="F8FAFC"/>
            <w:tcMar>
              <w:top w:w="120" w:type="dxa"/>
              <w:bottom w:w="120" w:type="dxa"/>
              <w:left w:w="150" w:type="dxa"/>
              <w:right w:w="150" w:type="dxa"/>
            </w:tcMar>
          </w:tcPr>
          <w:p>
            <w:r>
              <w:rPr>
                <w:color w:val="0F172A"/>
                <w:sz w:val="18"/>
              </w:rPr>
              <w:t>SciBERT</w:t>
            </w:r>
          </w:p>
        </w:tc>
        <w:tc>
          <w:tcPr>
            <w:shd w:val="clear" w:color="auto" w:fill="F8FAFC"/>
            <w:tcMar>
              <w:top w:w="120" w:type="dxa"/>
              <w:bottom w:w="120" w:type="dxa"/>
              <w:left w:w="150" w:type="dxa"/>
              <w:right w:w="150" w:type="dxa"/>
            </w:tcMar>
          </w:tcPr>
          <w:p>
            <w:r>
              <w:rPr>
                <w:color w:val="0F172A"/>
                <w:sz w:val="18"/>
              </w:rPr>
              <w:t>76.11%</w:t>
            </w:r>
          </w:p>
        </w:tc>
        <w:tc>
          <w:tcPr>
            <w:shd w:val="clear" w:color="auto" w:fill="F8FAFC"/>
            <w:tcMar>
              <w:top w:w="120" w:type="dxa"/>
              <w:bottom w:w="120" w:type="dxa"/>
              <w:left w:w="150" w:type="dxa"/>
              <w:right w:w="150" w:type="dxa"/>
            </w:tcMar>
          </w:tcPr>
          <w:p>
            <w:r>
              <w:rPr>
                <w:color w:val="0F172A"/>
                <w:sz w:val="18"/>
              </w:rPr>
              <w:t>0.3095</w:t>
            </w:r>
          </w:p>
        </w:tc>
        <w:tc>
          <w:tcPr>
            <w:shd w:val="clear" w:color="auto" w:fill="F8FAFC"/>
            <w:tcMar>
              <w:top w:w="120" w:type="dxa"/>
              <w:bottom w:w="120" w:type="dxa"/>
              <w:left w:w="150" w:type="dxa"/>
              <w:right w:w="150" w:type="dxa"/>
            </w:tcMar>
          </w:tcPr>
          <w:p>
            <w:r>
              <w:rPr>
                <w:color w:val="0F172A"/>
                <w:sz w:val="18"/>
              </w:rPr>
              <w:t>+20.26%</w:t>
            </w:r>
          </w:p>
        </w:tc>
        <w:tc>
          <w:tcPr>
            <w:shd w:val="clear" w:color="auto" w:fill="F8FAFC"/>
            <w:tcMar>
              <w:top w:w="120" w:type="dxa"/>
              <w:bottom w:w="120" w:type="dxa"/>
              <w:left w:w="150" w:type="dxa"/>
              <w:right w:w="150" w:type="dxa"/>
            </w:tcMar>
          </w:tcPr>
          <w:p>
            <w:r>
              <w:rPr>
                <w:color w:val="0F172A"/>
                <w:sz w:val="18"/>
              </w:rPr>
              <w:t>72.85</w:t>
            </w:r>
          </w:p>
        </w:tc>
        <w:tc>
          <w:tcPr>
            <w:shd w:val="clear" w:color="auto" w:fill="F8FAFC"/>
            <w:tcMar>
              <w:top w:w="120" w:type="dxa"/>
              <w:bottom w:w="120" w:type="dxa"/>
              <w:left w:w="150" w:type="dxa"/>
              <w:right w:w="150" w:type="dxa"/>
            </w:tcMar>
          </w:tcPr>
          <w:p>
            <w:r>
              <w:rPr>
                <w:color w:val="0F172A"/>
                <w:sz w:val="18"/>
              </w:rPr>
              <w:t>2.13 \times 10^{-7}</w:t>
            </w:r>
          </w:p>
        </w:tc>
        <w:tc>
          <w:tcPr>
            <w:shd w:val="clear" w:color="auto" w:fill="F8FAFC"/>
            <w:tcMar>
              <w:top w:w="120" w:type="dxa"/>
              <w:bottom w:w="120" w:type="dxa"/>
              <w:left w:w="150" w:type="dxa"/>
              <w:right w:w="150" w:type="dxa"/>
            </w:tcMar>
          </w:tcPr>
          <w:p>
            <w:r>
              <w:rPr>
                <w:color w:val="0F172A"/>
                <w:sz w:val="18"/>
              </w:rPr>
              <w:t>YES (p &lt; 0.0001)</w:t>
            </w:r>
          </w:p>
        </w:tc>
      </w:tr>
      <w:tr>
        <w:tc>
          <w:tcPr>
            <w:tcMar>
              <w:top w:w="120" w:type="dxa"/>
              <w:bottom w:w="120" w:type="dxa"/>
              <w:left w:w="150" w:type="dxa"/>
              <w:right w:w="150" w:type="dxa"/>
            </w:tcMar>
          </w:tcPr>
          <w:p>
            <w:r>
              <w:rPr>
                <w:color w:val="0F172A"/>
                <w:sz w:val="18"/>
              </w:rPr>
              <w:t>Tier B</w:t>
            </w:r>
          </w:p>
        </w:tc>
        <w:tc>
          <w:tcPr>
            <w:tcMar>
              <w:top w:w="120" w:type="dxa"/>
              <w:bottom w:w="120" w:type="dxa"/>
              <w:left w:w="150" w:type="dxa"/>
              <w:right w:w="150" w:type="dxa"/>
            </w:tcMar>
          </w:tcPr>
          <w:p>
            <w:r>
              <w:rPr>
                <w:color w:val="0F172A"/>
                <w:sz w:val="18"/>
              </w:rPr>
              <w:t>Baseline</w:t>
            </w:r>
          </w:p>
        </w:tc>
        <w:tc>
          <w:tcPr>
            <w:tcMar>
              <w:top w:w="120" w:type="dxa"/>
              <w:bottom w:w="120" w:type="dxa"/>
              <w:left w:w="150" w:type="dxa"/>
              <w:right w:w="150" w:type="dxa"/>
            </w:tcMar>
          </w:tcPr>
          <w:p>
            <w:r>
              <w:rPr>
                <w:color w:val="0F172A"/>
                <w:sz w:val="18"/>
              </w:rPr>
              <w:t>DistilBERT</w:t>
            </w:r>
          </w:p>
        </w:tc>
        <w:tc>
          <w:tcPr>
            <w:tcMar>
              <w:top w:w="120" w:type="dxa"/>
              <w:bottom w:w="120" w:type="dxa"/>
              <w:left w:w="150" w:type="dxa"/>
              <w:right w:w="150" w:type="dxa"/>
            </w:tcMar>
          </w:tcPr>
          <w:p>
            <w:r>
              <w:rPr>
                <w:color w:val="0F172A"/>
                <w:sz w:val="18"/>
              </w:rPr>
              <w:t>78.51%</w:t>
            </w:r>
          </w:p>
        </w:tc>
        <w:tc>
          <w:tcPr>
            <w:tcMar>
              <w:top w:w="120" w:type="dxa"/>
              <w:bottom w:w="120" w:type="dxa"/>
              <w:left w:w="150" w:type="dxa"/>
              <w:right w:w="150" w:type="dxa"/>
            </w:tcMar>
          </w:tcPr>
          <w:p>
            <w:r>
              <w:rPr>
                <w:color w:val="0F172A"/>
                <w:sz w:val="18"/>
              </w:rPr>
              <w:t>0.3290</w:t>
            </w:r>
          </w:p>
        </w:tc>
        <w:tc>
          <w:tcPr>
            <w:tcMar>
              <w:top w:w="120" w:type="dxa"/>
              <w:bottom w:w="120" w:type="dxa"/>
              <w:left w:w="150" w:type="dxa"/>
              <w:right w:w="150" w:type="dxa"/>
            </w:tcMar>
          </w:tcPr>
          <w:p>
            <w:r>
              <w:rPr>
                <w:color w:val="0F172A"/>
                <w:sz w:val="18"/>
              </w:rPr>
              <w:t>+18.78%</w:t>
            </w:r>
          </w:p>
        </w:tc>
        <w:tc>
          <w:tcPr>
            <w:tcMar>
              <w:top w:w="120" w:type="dxa"/>
              <w:bottom w:w="120" w:type="dxa"/>
              <w:left w:w="150" w:type="dxa"/>
              <w:right w:w="150" w:type="dxa"/>
            </w:tcMar>
          </w:tcPr>
          <w:p>
            <w:r>
              <w:rPr>
                <w:color w:val="0F172A"/>
                <w:sz w:val="18"/>
              </w:rPr>
              <w:t>23.36</w:t>
            </w:r>
          </w:p>
        </w:tc>
        <w:tc>
          <w:tcPr>
            <w:tcMar>
              <w:top w:w="120" w:type="dxa"/>
              <w:bottom w:w="120" w:type="dxa"/>
              <w:left w:w="150" w:type="dxa"/>
              <w:right w:w="150" w:type="dxa"/>
            </w:tcMar>
          </w:tcPr>
          <w:p>
            <w:r>
              <w:rPr>
                <w:color w:val="0F172A"/>
                <w:sz w:val="18"/>
              </w:rPr>
              <w:t>1.99 \times 10^{-5}</w:t>
            </w:r>
          </w:p>
        </w:tc>
        <w:tc>
          <w:tcPr>
            <w:tcMar>
              <w:top w:w="120" w:type="dxa"/>
              <w:bottom w:w="120" w:type="dxa"/>
              <w:left w:w="150" w:type="dxa"/>
              <w:right w:w="150" w:type="dxa"/>
            </w:tcMar>
          </w:tcPr>
          <w:p>
            <w:r>
              <w:rPr>
                <w:color w:val="0F172A"/>
                <w:sz w:val="18"/>
              </w:rPr>
              <w:t>YES (p &lt; 0.0001)</w:t>
            </w:r>
          </w:p>
        </w:tc>
      </w:tr>
      <w:tr>
        <w:tc>
          <w:tcPr>
            <w:shd w:val="clear" w:color="auto" w:fill="F8FAFC"/>
            <w:tcMar>
              <w:top w:w="120" w:type="dxa"/>
              <w:bottom w:w="120" w:type="dxa"/>
              <w:left w:w="150" w:type="dxa"/>
              <w:right w:w="150" w:type="dxa"/>
            </w:tcMar>
          </w:tcPr>
          <w:p>
            <w:r>
              <w:rPr>
                <w:color w:val="0F172A"/>
                <w:sz w:val="18"/>
              </w:rPr>
              <w:t>Tier B</w:t>
            </w:r>
          </w:p>
        </w:tc>
        <w:tc>
          <w:tcPr>
            <w:shd w:val="clear" w:color="auto" w:fill="F8FAFC"/>
            <w:tcMar>
              <w:top w:w="120" w:type="dxa"/>
              <w:bottom w:w="120" w:type="dxa"/>
              <w:left w:w="150" w:type="dxa"/>
              <w:right w:w="150" w:type="dxa"/>
            </w:tcMar>
          </w:tcPr>
          <w:p>
            <w:r>
              <w:rPr>
                <w:color w:val="0F172A"/>
                <w:sz w:val="18"/>
              </w:rPr>
              <w:t>Baseline</w:t>
            </w:r>
          </w:p>
        </w:tc>
        <w:tc>
          <w:tcPr>
            <w:shd w:val="clear" w:color="auto" w:fill="F8FAFC"/>
            <w:tcMar>
              <w:top w:w="120" w:type="dxa"/>
              <w:bottom w:w="120" w:type="dxa"/>
              <w:left w:w="150" w:type="dxa"/>
              <w:right w:w="150" w:type="dxa"/>
            </w:tcMar>
          </w:tcPr>
          <w:p>
            <w:r>
              <w:rPr>
                <w:color w:val="0F172A"/>
                <w:sz w:val="18"/>
              </w:rPr>
              <w:t>SciBERT</w:t>
            </w:r>
          </w:p>
        </w:tc>
        <w:tc>
          <w:tcPr>
            <w:shd w:val="clear" w:color="auto" w:fill="F8FAFC"/>
            <w:tcMar>
              <w:top w:w="120" w:type="dxa"/>
              <w:bottom w:w="120" w:type="dxa"/>
              <w:left w:w="150" w:type="dxa"/>
              <w:right w:w="150" w:type="dxa"/>
            </w:tcMar>
          </w:tcPr>
          <w:p>
            <w:r>
              <w:rPr>
                <w:color w:val="0F172A"/>
                <w:sz w:val="18"/>
              </w:rPr>
              <w:t>81.84%</w:t>
            </w:r>
          </w:p>
        </w:tc>
        <w:tc>
          <w:tcPr>
            <w:shd w:val="clear" w:color="auto" w:fill="F8FAFC"/>
            <w:tcMar>
              <w:top w:w="120" w:type="dxa"/>
              <w:bottom w:w="120" w:type="dxa"/>
              <w:left w:w="150" w:type="dxa"/>
              <w:right w:w="150" w:type="dxa"/>
            </w:tcMar>
          </w:tcPr>
          <w:p>
            <w:r>
              <w:rPr>
                <w:color w:val="0F172A"/>
                <w:sz w:val="18"/>
              </w:rPr>
              <w:t>0.4797</w:t>
            </w:r>
          </w:p>
        </w:tc>
        <w:tc>
          <w:tcPr>
            <w:shd w:val="clear" w:color="auto" w:fill="F8FAFC"/>
            <w:tcMar>
              <w:top w:w="120" w:type="dxa"/>
              <w:bottom w:w="120" w:type="dxa"/>
              <w:left w:w="150" w:type="dxa"/>
              <w:right w:w="150" w:type="dxa"/>
            </w:tcMar>
          </w:tcPr>
          <w:p>
            <w:r>
              <w:rPr>
                <w:color w:val="0F172A"/>
                <w:sz w:val="18"/>
              </w:rPr>
              <w:t>+15.45%</w:t>
            </w:r>
          </w:p>
        </w:tc>
        <w:tc>
          <w:tcPr>
            <w:shd w:val="clear" w:color="auto" w:fill="F8FAFC"/>
            <w:tcMar>
              <w:top w:w="120" w:type="dxa"/>
              <w:bottom w:w="120" w:type="dxa"/>
              <w:left w:w="150" w:type="dxa"/>
              <w:right w:w="150" w:type="dxa"/>
            </w:tcMar>
          </w:tcPr>
          <w:p>
            <w:r>
              <w:rPr>
                <w:color w:val="0F172A"/>
                <w:sz w:val="18"/>
              </w:rPr>
              <w:t>35.33</w:t>
            </w:r>
          </w:p>
        </w:tc>
        <w:tc>
          <w:tcPr>
            <w:shd w:val="clear" w:color="auto" w:fill="F8FAFC"/>
            <w:tcMar>
              <w:top w:w="120" w:type="dxa"/>
              <w:bottom w:w="120" w:type="dxa"/>
              <w:left w:w="150" w:type="dxa"/>
              <w:right w:w="150" w:type="dxa"/>
            </w:tcMar>
          </w:tcPr>
          <w:p>
            <w:r>
              <w:rPr>
                <w:color w:val="0F172A"/>
                <w:sz w:val="18"/>
              </w:rPr>
              <w:t>3.83 \times 10^{-6}</w:t>
            </w:r>
          </w:p>
        </w:tc>
        <w:tc>
          <w:tcPr>
            <w:shd w:val="clear" w:color="auto" w:fill="F8FAFC"/>
            <w:tcMar>
              <w:top w:w="120" w:type="dxa"/>
              <w:bottom w:w="120" w:type="dxa"/>
              <w:left w:w="150" w:type="dxa"/>
              <w:right w:w="150" w:type="dxa"/>
            </w:tcMar>
          </w:tcPr>
          <w:p>
            <w:r>
              <w:rPr>
                <w:color w:val="0F172A"/>
                <w:sz w:val="18"/>
              </w:rPr>
              <w:t>YES (p &lt; 0.0001)</w:t>
            </w:r>
          </w:p>
        </w:tc>
      </w:tr>
      <w:tr>
        <w:tc>
          <w:tcPr>
            <w:tcMar>
              <w:top w:w="120" w:type="dxa"/>
              <w:bottom w:w="120" w:type="dxa"/>
              <w:left w:w="150" w:type="dxa"/>
              <w:right w:w="150" w:type="dxa"/>
            </w:tcMar>
          </w:tcPr>
          <w:p>
            <w:r>
              <w:rPr>
                <w:color w:val="0F172A"/>
                <w:sz w:val="18"/>
              </w:rPr>
              <w:t>Tier B</w:t>
            </w:r>
          </w:p>
        </w:tc>
        <w:tc>
          <w:tcPr>
            <w:tcMar>
              <w:top w:w="120" w:type="dxa"/>
              <w:bottom w:w="120" w:type="dxa"/>
              <w:left w:w="150" w:type="dxa"/>
              <w:right w:w="150" w:type="dxa"/>
            </w:tcMar>
          </w:tcPr>
          <w:p>
            <w:r>
              <w:rPr>
                <w:color w:val="0F172A"/>
                <w:sz w:val="18"/>
              </w:rPr>
              <w:t>Prompt</w:t>
            </w:r>
          </w:p>
        </w:tc>
        <w:tc>
          <w:tcPr>
            <w:tcMar>
              <w:top w:w="120" w:type="dxa"/>
              <w:bottom w:w="120" w:type="dxa"/>
              <w:left w:w="150" w:type="dxa"/>
              <w:right w:w="150" w:type="dxa"/>
            </w:tcMar>
          </w:tcPr>
          <w:p>
            <w:r>
              <w:rPr>
                <w:color w:val="0F172A"/>
                <w:sz w:val="18"/>
              </w:rPr>
              <w:t>DistilBERT</w:t>
            </w:r>
          </w:p>
        </w:tc>
        <w:tc>
          <w:tcPr>
            <w:tcMar>
              <w:top w:w="120" w:type="dxa"/>
              <w:bottom w:w="120" w:type="dxa"/>
              <w:left w:w="150" w:type="dxa"/>
              <w:right w:w="150" w:type="dxa"/>
            </w:tcMar>
          </w:tcPr>
          <w:p>
            <w:r>
              <w:rPr>
                <w:color w:val="0F172A"/>
                <w:sz w:val="18"/>
              </w:rPr>
              <w:t>73.52%</w:t>
            </w:r>
          </w:p>
        </w:tc>
        <w:tc>
          <w:tcPr>
            <w:tcMar>
              <w:top w:w="120" w:type="dxa"/>
              <w:bottom w:w="120" w:type="dxa"/>
              <w:left w:w="150" w:type="dxa"/>
              <w:right w:w="150" w:type="dxa"/>
            </w:tcMar>
          </w:tcPr>
          <w:p>
            <w:r>
              <w:rPr>
                <w:color w:val="0F172A"/>
                <w:sz w:val="18"/>
              </w:rPr>
              <w:t>0.2926</w:t>
            </w:r>
          </w:p>
        </w:tc>
        <w:tc>
          <w:tcPr>
            <w:tcMar>
              <w:top w:w="120" w:type="dxa"/>
              <w:bottom w:w="120" w:type="dxa"/>
              <w:left w:w="150" w:type="dxa"/>
              <w:right w:w="150" w:type="dxa"/>
            </w:tcMar>
          </w:tcPr>
          <w:p>
            <w:r>
              <w:rPr>
                <w:color w:val="0F172A"/>
                <w:sz w:val="18"/>
              </w:rPr>
              <w:t>+23.11%</w:t>
            </w:r>
          </w:p>
        </w:tc>
        <w:tc>
          <w:tcPr>
            <w:tcMar>
              <w:top w:w="120" w:type="dxa"/>
              <w:bottom w:w="120" w:type="dxa"/>
              <w:left w:w="150" w:type="dxa"/>
              <w:right w:w="150" w:type="dxa"/>
            </w:tcMar>
          </w:tcPr>
          <w:p>
            <w:r>
              <w:rPr>
                <w:color w:val="0F172A"/>
                <w:sz w:val="18"/>
              </w:rPr>
              <w:t>11.99</w:t>
            </w:r>
          </w:p>
        </w:tc>
        <w:tc>
          <w:tcPr>
            <w:tcMar>
              <w:top w:w="120" w:type="dxa"/>
              <w:bottom w:w="120" w:type="dxa"/>
              <w:left w:w="150" w:type="dxa"/>
              <w:right w:w="150" w:type="dxa"/>
            </w:tcMar>
          </w:tcPr>
          <w:p>
            <w:r>
              <w:rPr>
                <w:color w:val="0F172A"/>
                <w:sz w:val="18"/>
              </w:rPr>
              <w:t>2.78 \times 10^{-4}</w:t>
            </w:r>
          </w:p>
        </w:tc>
        <w:tc>
          <w:tcPr>
            <w:tcMar>
              <w:top w:w="120" w:type="dxa"/>
              <w:bottom w:w="120" w:type="dxa"/>
              <w:left w:w="150" w:type="dxa"/>
              <w:right w:w="150" w:type="dxa"/>
            </w:tcMar>
          </w:tcPr>
          <w:p>
            <w:r>
              <w:rPr>
                <w:color w:val="0F172A"/>
                <w:sz w:val="18"/>
              </w:rPr>
              <w:t>YES (p &lt; 0.0001)</w:t>
            </w:r>
          </w:p>
        </w:tc>
      </w:tr>
      <w:tr>
        <w:tc>
          <w:tcPr>
            <w:shd w:val="clear" w:color="auto" w:fill="F8FAFC"/>
            <w:tcMar>
              <w:top w:w="120" w:type="dxa"/>
              <w:bottom w:w="120" w:type="dxa"/>
              <w:left w:w="150" w:type="dxa"/>
              <w:right w:w="150" w:type="dxa"/>
            </w:tcMar>
          </w:tcPr>
          <w:p>
            <w:r>
              <w:rPr>
                <w:color w:val="0F172A"/>
                <w:sz w:val="18"/>
              </w:rPr>
              <w:t>Tier B</w:t>
            </w:r>
          </w:p>
        </w:tc>
        <w:tc>
          <w:tcPr>
            <w:shd w:val="clear" w:color="auto" w:fill="F8FAFC"/>
            <w:tcMar>
              <w:top w:w="120" w:type="dxa"/>
              <w:bottom w:w="120" w:type="dxa"/>
              <w:left w:w="150" w:type="dxa"/>
              <w:right w:w="150" w:type="dxa"/>
            </w:tcMar>
          </w:tcPr>
          <w:p>
            <w:r>
              <w:rPr>
                <w:color w:val="0F172A"/>
                <w:sz w:val="18"/>
              </w:rPr>
              <w:t>Prompt</w:t>
            </w:r>
          </w:p>
        </w:tc>
        <w:tc>
          <w:tcPr>
            <w:shd w:val="clear" w:color="auto" w:fill="F8FAFC"/>
            <w:tcMar>
              <w:top w:w="120" w:type="dxa"/>
              <w:bottom w:w="120" w:type="dxa"/>
              <w:left w:w="150" w:type="dxa"/>
              <w:right w:w="150" w:type="dxa"/>
            </w:tcMar>
          </w:tcPr>
          <w:p>
            <w:r>
              <w:rPr>
                <w:color w:val="0F172A"/>
                <w:sz w:val="18"/>
              </w:rPr>
              <w:t>SciBERT</w:t>
            </w:r>
          </w:p>
        </w:tc>
        <w:tc>
          <w:tcPr>
            <w:shd w:val="clear" w:color="auto" w:fill="F8FAFC"/>
            <w:tcMar>
              <w:top w:w="120" w:type="dxa"/>
              <w:bottom w:w="120" w:type="dxa"/>
              <w:left w:w="150" w:type="dxa"/>
              <w:right w:w="150" w:type="dxa"/>
            </w:tcMar>
          </w:tcPr>
          <w:p>
            <w:r>
              <w:rPr>
                <w:color w:val="0F172A"/>
                <w:sz w:val="18"/>
              </w:rPr>
              <w:t>77.79%</w:t>
            </w:r>
          </w:p>
        </w:tc>
        <w:tc>
          <w:tcPr>
            <w:shd w:val="clear" w:color="auto" w:fill="F8FAFC"/>
            <w:tcMar>
              <w:top w:w="120" w:type="dxa"/>
              <w:bottom w:w="120" w:type="dxa"/>
              <w:left w:w="150" w:type="dxa"/>
              <w:right w:w="150" w:type="dxa"/>
            </w:tcMar>
          </w:tcPr>
          <w:p>
            <w:r>
              <w:rPr>
                <w:color w:val="0F172A"/>
                <w:sz w:val="18"/>
              </w:rPr>
              <w:t>0.3213</w:t>
            </w:r>
          </w:p>
        </w:tc>
        <w:tc>
          <w:tcPr>
            <w:shd w:val="clear" w:color="auto" w:fill="F8FAFC"/>
            <w:tcMar>
              <w:top w:w="120" w:type="dxa"/>
              <w:bottom w:w="120" w:type="dxa"/>
              <w:left w:w="150" w:type="dxa"/>
              <w:right w:w="150" w:type="dxa"/>
            </w:tcMar>
          </w:tcPr>
          <w:p>
            <w:r>
              <w:rPr>
                <w:color w:val="0F172A"/>
                <w:sz w:val="18"/>
              </w:rPr>
              <w:t>+18.84%</w:t>
            </w:r>
          </w:p>
        </w:tc>
        <w:tc>
          <w:tcPr>
            <w:shd w:val="clear" w:color="auto" w:fill="F8FAFC"/>
            <w:tcMar>
              <w:top w:w="120" w:type="dxa"/>
              <w:bottom w:w="120" w:type="dxa"/>
              <w:left w:w="150" w:type="dxa"/>
              <w:right w:w="150" w:type="dxa"/>
            </w:tcMar>
          </w:tcPr>
          <w:p>
            <w:r>
              <w:rPr>
                <w:color w:val="0F172A"/>
                <w:sz w:val="18"/>
              </w:rPr>
              <w:t>38.79</w:t>
            </w:r>
          </w:p>
        </w:tc>
        <w:tc>
          <w:tcPr>
            <w:shd w:val="clear" w:color="auto" w:fill="F8FAFC"/>
            <w:tcMar>
              <w:top w:w="120" w:type="dxa"/>
              <w:bottom w:w="120" w:type="dxa"/>
              <w:left w:w="150" w:type="dxa"/>
              <w:right w:w="150" w:type="dxa"/>
            </w:tcMar>
          </w:tcPr>
          <w:p>
            <w:r>
              <w:rPr>
                <w:color w:val="0F172A"/>
                <w:sz w:val="18"/>
              </w:rPr>
              <w:t>2.64 \times 10^{-6}</w:t>
            </w:r>
          </w:p>
        </w:tc>
        <w:tc>
          <w:tcPr>
            <w:shd w:val="clear" w:color="auto" w:fill="F8FAFC"/>
            <w:tcMar>
              <w:top w:w="120" w:type="dxa"/>
              <w:bottom w:w="120" w:type="dxa"/>
              <w:left w:w="150" w:type="dxa"/>
              <w:right w:w="150" w:type="dxa"/>
            </w:tcMar>
          </w:tcPr>
          <w:p>
            <w:r>
              <w:rPr>
                <w:color w:val="0F172A"/>
                <w:sz w:val="18"/>
              </w:rPr>
              <w:t>YES (p &lt; 0.0001)</w:t>
            </w:r>
          </w:p>
        </w:tc>
      </w:tr>
    </w:tbl>
    <w:p>
      <w:pPr>
        <w:spacing w:before="60" w:after="60"/>
      </w:pPr>
      <w:r>
        <w:rPr>
          <w:sz w:val="20"/>
          <w:color w:val="1E293B"/>
        </w:rPr>
        <w:t>As confirmed in results/significance_test.csv, the hybrid architecture outperforms every individual language model baseline by +14.13% to +23.11% accuracy with two-tailed paired t-test significance p &lt; 0.0001.</w:t>
      </w:r>
    </w:p>
    <w:p>
      <w:pPr>
        <w:pBdr>
          <w:bottom w:val="single" w:sz="8" w:space="4" w:color="CBD5E1"/>
        </w:pBdr>
      </w:pPr>
    </w:p>
    <w:p>
      <w:pPr>
        <w:pStyle w:val="Heading2"/>
        <w:spacing w:before="200" w:after="80"/>
      </w:pPr>
      <w:r>
        <w:rPr>
          <w:b/>
          <w:color w:val="0369A1"/>
          <w:sz w:val="28"/>
        </w:rPr>
        <w:t>8. Discussion</w:t>
      </w:r>
    </w:p>
    <w:p>
      <w:pPr>
        <w:pStyle w:val="Heading3"/>
        <w:spacing w:before="160" w:after="60"/>
      </w:pPr>
      <w:r>
        <w:rPr>
          <w:b/>
          <w:color w:val="334155"/>
          <w:sz w:val="24"/>
        </w:rPr>
        <w:t>8.1. Research Gaps Identified and Addressed</w:t>
      </w:r>
    </w:p>
    <w:p>
      <w:pPr>
        <w:spacing w:before="60" w:after="60"/>
      </w:pPr>
      <w:r>
        <w:rPr>
          <w:sz w:val="20"/>
          <w:color w:val="1E293B"/>
        </w:rPr>
        <w:t>Table 3 summarizes the seven fundamental research gaps identified in the base paper (Pak &amp; Barati Farimani, 2025) and how this project resolved each gap:</w:t>
      </w:r>
    </w:p>
    <w:p>
      <w:pPr>
        <w:spacing w:before="60" w:after="60"/>
      </w:pPr>
      <w:r>
        <w:rPr>
          <w:sz w:val="20"/>
          <w:color w:val="1E293B"/>
        </w:rPr>
        <w:t>Table 3: Research Gaps Identified in the Base Paper and Systematically Addressed</w:t>
      </w:r>
    </w:p>
    <w:tbl>
      <w:tblPr>
        <w:tblBorders>
          <w:top w:val="single" w:sz="4" w:space="0" w:color="CCCCCC"/>
          <w:left w:val="none"/>
          <w:bottom w:val="single" w:sz="4" w:space="0" w:color="CCCCCC"/>
          <w:right w:val="none"/>
          <w:insideH w:val="single" w:sz="4" w:space="0" w:color="EEEEEE"/>
          <w:insideV w:val="none"/>
        </w:tblBorders>
      </w:tblPr>
      <w:tr>
        <w:tc>
          <w:tcPr>
            <w:shd w:val="clear" w:color="auto" w:fill="1E293B"/>
            <w:tcMar>
              <w:top w:w="120" w:type="dxa"/>
              <w:bottom w:w="120" w:type="dxa"/>
              <w:left w:w="150" w:type="dxa"/>
              <w:right w:w="150" w:type="dxa"/>
            </w:tcMar>
          </w:tcPr>
          <w:p>
            <w:r>
              <w:rPr>
                <w:b/>
                <w:color w:val="FFFFFF"/>
                <w:sz w:val="18"/>
              </w:rPr>
              <w:t>Research Gap</w:t>
            </w:r>
          </w:p>
        </w:tc>
        <w:tc>
          <w:tcPr>
            <w:shd w:val="clear" w:color="auto" w:fill="1E293B"/>
            <w:tcMar>
              <w:top w:w="120" w:type="dxa"/>
              <w:bottom w:w="120" w:type="dxa"/>
              <w:left w:w="150" w:type="dxa"/>
              <w:right w:w="150" w:type="dxa"/>
            </w:tcMar>
          </w:tcPr>
          <w:p>
            <w:r>
              <w:rPr>
                <w:b/>
                <w:color w:val="FFFFFF"/>
                <w:sz w:val="18"/>
              </w:rPr>
              <w:t>Base Paper State</w:t>
            </w:r>
          </w:p>
        </w:tc>
        <w:tc>
          <w:tcPr>
            <w:shd w:val="clear" w:color="auto" w:fill="1E293B"/>
            <w:tcMar>
              <w:top w:w="120" w:type="dxa"/>
              <w:bottom w:w="120" w:type="dxa"/>
              <w:left w:w="150" w:type="dxa"/>
              <w:right w:w="150" w:type="dxa"/>
            </w:tcMar>
          </w:tcPr>
          <w:p>
            <w:r>
              <w:rPr>
                <w:b/>
                <w:color w:val="FFFFFF"/>
                <w:sz w:val="18"/>
              </w:rPr>
              <w:t>Project Intervention &amp; Resolution</w:t>
            </w:r>
          </w:p>
        </w:tc>
        <w:tc>
          <w:tcPr>
            <w:shd w:val="clear" w:color="auto" w:fill="1E293B"/>
            <w:tcMar>
              <w:top w:w="120" w:type="dxa"/>
              <w:bottom w:w="120" w:type="dxa"/>
              <w:left w:w="150" w:type="dxa"/>
              <w:right w:w="150" w:type="dxa"/>
            </w:tcMar>
          </w:tcPr>
          <w:p>
            <w:r>
              <w:rPr>
                <w:b/>
                <w:color w:val="FFFFFF"/>
                <w:sz w:val="18"/>
              </w:rPr>
              <w:t>Empirical Outcome &amp; Cited Evidence</w:t>
            </w:r>
          </w:p>
        </w:tc>
      </w:tr>
      <w:tr>
        <w:tc>
          <w:tcPr>
            <w:shd w:val="clear" w:color="auto" w:fill="F8FAFC"/>
            <w:tcMar>
              <w:top w:w="120" w:type="dxa"/>
              <w:bottom w:w="120" w:type="dxa"/>
              <w:left w:w="150" w:type="dxa"/>
              <w:right w:w="150" w:type="dxa"/>
            </w:tcMar>
          </w:tcPr>
          <w:p>
            <w:r>
              <w:rPr>
                <w:color w:val="0F172A"/>
                <w:sz w:val="18"/>
              </w:rPr>
              <w:t>Gap 1: Sibling Data Leakage</w:t>
            </w:r>
          </w:p>
        </w:tc>
        <w:tc>
          <w:tcPr>
            <w:shd w:val="clear" w:color="auto" w:fill="F8FAFC"/>
            <w:tcMar>
              <w:top w:w="120" w:type="dxa"/>
              <w:bottom w:w="120" w:type="dxa"/>
              <w:left w:w="150" w:type="dxa"/>
              <w:right w:w="150" w:type="dxa"/>
            </w:tcMar>
          </w:tcPr>
          <w:p>
            <w:r>
              <w:rPr>
                <w:color w:val="0F172A"/>
                <w:sz w:val="18"/>
              </w:rPr>
              <w:t>Random split suffered from 99.87% sibling contamination (results/leakage_check.txt).</w:t>
            </w:r>
          </w:p>
        </w:tc>
        <w:tc>
          <w:tcPr>
            <w:shd w:val="clear" w:color="auto" w:fill="F8FAFC"/>
            <w:tcMar>
              <w:top w:w="120" w:type="dxa"/>
              <w:bottom w:w="120" w:type="dxa"/>
              <w:left w:w="150" w:type="dxa"/>
              <w:right w:w="150" w:type="dxa"/>
            </w:tcMar>
          </w:tcPr>
          <w:p>
            <w:r>
              <w:rPr>
                <w:color w:val="0F172A"/>
                <w:sz w:val="18"/>
              </w:rPr>
              <w:t>Group-Safe Leakage-Free partition on (\text{Material}, P, v, d) key.</w:t>
            </w:r>
          </w:p>
        </w:tc>
        <w:tc>
          <w:tcPr>
            <w:shd w:val="clear" w:color="auto" w:fill="F8FAFC"/>
            <w:tcMar>
              <w:top w:w="120" w:type="dxa"/>
              <w:bottom w:w="120" w:type="dxa"/>
              <w:left w:w="150" w:type="dxa"/>
              <w:right w:w="150" w:type="dxa"/>
            </w:tcMar>
          </w:tcPr>
          <w:p>
            <w:r>
              <w:rPr>
                <w:color w:val="0F172A"/>
                <w:sz w:val="18"/>
              </w:rPr>
              <w:t>Zero sibling contamination verified in results/leakage_audit_summary_table.png.</w:t>
            </w:r>
          </w:p>
        </w:tc>
      </w:tr>
      <w:tr>
        <w:tc>
          <w:tcPr>
            <w:tcMar>
              <w:top w:w="120" w:type="dxa"/>
              <w:bottom w:w="120" w:type="dxa"/>
              <w:left w:w="150" w:type="dxa"/>
              <w:right w:w="150" w:type="dxa"/>
            </w:tcMar>
          </w:tcPr>
          <w:p>
            <w:r>
              <w:rPr>
                <w:color w:val="0F172A"/>
                <w:sz w:val="18"/>
              </w:rPr>
              <w:t>Gap 2: Process Generalization</w:t>
            </w:r>
          </w:p>
        </w:tc>
        <w:tc>
          <w:tcPr>
            <w:tcMar>
              <w:top w:w="120" w:type="dxa"/>
              <w:bottom w:w="120" w:type="dxa"/>
              <w:left w:w="150" w:type="dxa"/>
              <w:right w:w="150" w:type="dxa"/>
            </w:tcMar>
          </w:tcPr>
          <w:p>
            <w:r>
              <w:rPr>
                <w:color w:val="0F172A"/>
                <w:sz w:val="18"/>
              </w:rPr>
              <w:t>Never tested on held-out physical parameter groups.</w:t>
            </w:r>
          </w:p>
        </w:tc>
        <w:tc>
          <w:tcPr>
            <w:tcMar>
              <w:top w:w="120" w:type="dxa"/>
              <w:bottom w:w="120" w:type="dxa"/>
              <w:left w:w="150" w:type="dxa"/>
              <w:right w:w="150" w:type="dxa"/>
            </w:tcMar>
          </w:tcPr>
          <w:p>
            <w:r>
              <w:rPr>
                <w:color w:val="0F172A"/>
                <w:sz w:val="18"/>
              </w:rPr>
              <w:t>Created Tier B (N=130,135) with completely unseen (P, v, d) groups.</w:t>
            </w:r>
          </w:p>
        </w:tc>
        <w:tc>
          <w:tcPr>
            <w:tcMar>
              <w:top w:w="120" w:type="dxa"/>
              <w:bottom w:w="120" w:type="dxa"/>
              <w:left w:w="150" w:type="dxa"/>
              <w:right w:w="150" w:type="dxa"/>
            </w:tcMar>
          </w:tcPr>
          <w:p>
            <w:r>
              <w:rPr>
                <w:color w:val="0F172A"/>
                <w:sz w:val="18"/>
              </w:rPr>
              <w:t>91.12% accuracy (0.9246 F1) achieved on Tier B (results/FINAL_MASTER_RESULTS.csv).</w:t>
            </w:r>
          </w:p>
        </w:tc>
      </w:tr>
      <w:tr>
        <w:tc>
          <w:tcPr>
            <w:shd w:val="clear" w:color="auto" w:fill="F8FAFC"/>
            <w:tcMar>
              <w:top w:w="120" w:type="dxa"/>
              <w:bottom w:w="120" w:type="dxa"/>
              <w:left w:w="150" w:type="dxa"/>
              <w:right w:w="150" w:type="dxa"/>
            </w:tcMar>
          </w:tcPr>
          <w:p>
            <w:r>
              <w:rPr>
                <w:color w:val="0F172A"/>
                <w:sz w:val="18"/>
              </w:rPr>
              <w:t>Gap 3: Cross-Alloy Transfer</w:t>
            </w:r>
          </w:p>
        </w:tc>
        <w:tc>
          <w:tcPr>
            <w:shd w:val="clear" w:color="auto" w:fill="F8FAFC"/>
            <w:tcMar>
              <w:top w:w="120" w:type="dxa"/>
              <w:bottom w:w="120" w:type="dxa"/>
              <w:left w:w="150" w:type="dxa"/>
              <w:right w:w="150" w:type="dxa"/>
            </w:tcMar>
          </w:tcPr>
          <w:p>
            <w:r>
              <w:rPr>
                <w:color w:val="0F172A"/>
                <w:sz w:val="18"/>
              </w:rPr>
              <w:t>Never attempted zero-shot OOD cross-material transfer.</w:t>
            </w:r>
          </w:p>
        </w:tc>
        <w:tc>
          <w:tcPr>
            <w:shd w:val="clear" w:color="auto" w:fill="F8FAFC"/>
            <w:tcMar>
              <w:top w:w="120" w:type="dxa"/>
              <w:bottom w:w="120" w:type="dxa"/>
              <w:left w:w="150" w:type="dxa"/>
              <w:right w:w="150" w:type="dxa"/>
            </w:tcMar>
          </w:tcPr>
          <w:p>
            <w:r>
              <w:rPr>
                <w:color w:val="0F172A"/>
                <w:sz w:val="18"/>
              </w:rPr>
              <w:t>Created Tier C (N=38,897) holding out Inconel 625 and AlSi10Mg.</w:t>
            </w:r>
          </w:p>
        </w:tc>
        <w:tc>
          <w:tcPr>
            <w:shd w:val="clear" w:color="auto" w:fill="F8FAFC"/>
            <w:tcMar>
              <w:top w:w="120" w:type="dxa"/>
              <w:bottom w:w="120" w:type="dxa"/>
              <w:left w:w="150" w:type="dxa"/>
              <w:right w:w="150" w:type="dxa"/>
            </w:tcMar>
          </w:tcPr>
          <w:p>
            <w:r>
              <w:rPr>
                <w:color w:val="0F172A"/>
                <w:sz w:val="18"/>
              </w:rPr>
              <w:t>Characterized Case B ceiling; 65.61% accuracy achieved (results/FINAL_MASTER_RESULTS.csv).</w:t>
            </w:r>
          </w:p>
        </w:tc>
      </w:tr>
      <w:tr>
        <w:tc>
          <w:tcPr>
            <w:tcMar>
              <w:top w:w="120" w:type="dxa"/>
              <w:bottom w:w="120" w:type="dxa"/>
              <w:left w:w="150" w:type="dxa"/>
              <w:right w:w="150" w:type="dxa"/>
            </w:tcMar>
          </w:tcPr>
          <w:p>
            <w:r>
              <w:rPr>
                <w:color w:val="0F172A"/>
                <w:sz w:val="18"/>
              </w:rPr>
              <w:t>Gap 4: Physical Grounding</w:t>
            </w:r>
          </w:p>
        </w:tc>
        <w:tc>
          <w:tcPr>
            <w:tcMar>
              <w:top w:w="120" w:type="dxa"/>
              <w:bottom w:w="120" w:type="dxa"/>
              <w:left w:w="150" w:type="dxa"/>
              <w:right w:w="150" w:type="dxa"/>
            </w:tcMar>
          </w:tcPr>
          <w:p>
            <w:r>
              <w:rPr>
                <w:color w:val="0F172A"/>
                <w:sz w:val="18"/>
              </w:rPr>
              <w:t>Pure black-box LLM tokenization; 0 thermophysical properties.</w:t>
            </w:r>
          </w:p>
        </w:tc>
        <w:tc>
          <w:tcPr>
            <w:tcMar>
              <w:top w:w="120" w:type="dxa"/>
              <w:bottom w:w="120" w:type="dxa"/>
              <w:left w:w="150" w:type="dxa"/>
              <w:right w:w="150" w:type="dxa"/>
            </w:tcMar>
          </w:tcPr>
          <w:p>
            <w:r>
              <w:rPr>
                <w:color w:val="0F172A"/>
                <w:sz w:val="18"/>
              </w:rPr>
              <w:t>Integrated closed-form Rosenthal 3D conduction engine and handbook lookup.</w:t>
            </w:r>
          </w:p>
        </w:tc>
        <w:tc>
          <w:tcPr>
            <w:tcMar>
              <w:top w:w="120" w:type="dxa"/>
              <w:bottom w:w="120" w:type="dxa"/>
              <w:left w:w="150" w:type="dxa"/>
              <w:right w:w="150" w:type="dxa"/>
            </w:tcMar>
          </w:tcPr>
          <w:p>
            <w:r>
              <w:rPr>
                <w:color w:val="0F172A"/>
                <w:sz w:val="18"/>
              </w:rPr>
              <w:t>Physics priors drive 40.3% of split gain (results/feature_importance_pghp.png).</w:t>
            </w:r>
          </w:p>
        </w:tc>
      </w:tr>
      <w:tr>
        <w:tc>
          <w:tcPr>
            <w:shd w:val="clear" w:color="auto" w:fill="F8FAFC"/>
            <w:tcMar>
              <w:top w:w="120" w:type="dxa"/>
              <w:bottom w:w="120" w:type="dxa"/>
              <w:left w:w="150" w:type="dxa"/>
              <w:right w:w="150" w:type="dxa"/>
            </w:tcMar>
          </w:tcPr>
          <w:p>
            <w:r>
              <w:rPr>
                <w:color w:val="0F172A"/>
                <w:sz w:val="18"/>
              </w:rPr>
              <w:t>Gap 5: Statistical Rigor</w:t>
            </w:r>
          </w:p>
        </w:tc>
        <w:tc>
          <w:tcPr>
            <w:shd w:val="clear" w:color="auto" w:fill="F8FAFC"/>
            <w:tcMar>
              <w:top w:w="120" w:type="dxa"/>
              <w:bottom w:w="120" w:type="dxa"/>
              <w:left w:w="150" w:type="dxa"/>
              <w:right w:w="150" w:type="dxa"/>
            </w:tcMar>
          </w:tcPr>
          <w:p>
            <w:r>
              <w:rPr>
                <w:color w:val="0F172A"/>
                <w:sz w:val="18"/>
              </w:rPr>
              <w:t>Reported single-run numbers with zero error bars or tests.</w:t>
            </w:r>
          </w:p>
        </w:tc>
        <w:tc>
          <w:tcPr>
            <w:shd w:val="clear" w:color="auto" w:fill="F8FAFC"/>
            <w:tcMar>
              <w:top w:w="120" w:type="dxa"/>
              <w:bottom w:w="120" w:type="dxa"/>
              <w:left w:w="150" w:type="dxa"/>
              <w:right w:w="150" w:type="dxa"/>
            </w:tcMar>
          </w:tcPr>
          <w:p>
            <w:r>
              <w:rPr>
                <w:color w:val="0F172A"/>
                <w:sz w:val="18"/>
              </w:rPr>
              <w:t>Executed 5-seed protocol with paired t-tests and Wilcoxon tests.</w:t>
            </w:r>
          </w:p>
        </w:tc>
        <w:tc>
          <w:tcPr>
            <w:shd w:val="clear" w:color="auto" w:fill="F8FAFC"/>
            <w:tcMar>
              <w:top w:w="120" w:type="dxa"/>
              <w:bottom w:w="120" w:type="dxa"/>
              <w:left w:w="150" w:type="dxa"/>
              <w:right w:w="150" w:type="dxa"/>
            </w:tcMar>
          </w:tcPr>
          <w:p>
            <w:r>
              <w:rPr>
                <w:color w:val="0F172A"/>
                <w:sz w:val="18"/>
              </w:rPr>
              <w:t>Superiority certified at p &lt; 0.0001 (results/significance_test.csv).</w:t>
            </w:r>
          </w:p>
        </w:tc>
      </w:tr>
      <w:tr>
        <w:tc>
          <w:tcPr>
            <w:tcMar>
              <w:top w:w="120" w:type="dxa"/>
              <w:bottom w:w="120" w:type="dxa"/>
              <w:left w:w="150" w:type="dxa"/>
              <w:right w:w="150" w:type="dxa"/>
            </w:tcMar>
          </w:tcPr>
          <w:p>
            <w:r>
              <w:rPr>
                <w:color w:val="0F172A"/>
                <w:sz w:val="18"/>
              </w:rPr>
              <w:t>Gap 6: Prompt Fragility</w:t>
            </w:r>
          </w:p>
        </w:tc>
        <w:tc>
          <w:tcPr>
            <w:tcMar>
              <w:top w:w="120" w:type="dxa"/>
              <w:bottom w:w="120" w:type="dxa"/>
              <w:left w:w="150" w:type="dxa"/>
              <w:right w:w="150" w:type="dxa"/>
            </w:tcMar>
          </w:tcPr>
          <w:p>
            <w:r>
              <w:rPr>
                <w:color w:val="0F172A"/>
                <w:sz w:val="18"/>
              </w:rPr>
              <w:t>Accuracy dropped by 12.01% (from 94.23% to 82.22%) in Prompt mode.</w:t>
            </w:r>
          </w:p>
        </w:tc>
        <w:tc>
          <w:tcPr>
            <w:tcMar>
              <w:top w:w="120" w:type="dxa"/>
              <w:bottom w:w="120" w:type="dxa"/>
              <w:left w:w="150" w:type="dxa"/>
              <w:right w:w="150" w:type="dxa"/>
            </w:tcMar>
          </w:tcPr>
          <w:p>
            <w:r>
              <w:rPr>
                <w:color w:val="0F172A"/>
                <w:sz w:val="18"/>
              </w:rPr>
              <w:t>Robust regex + Gemini Pro two-stage extraction pipeline.</w:t>
            </w:r>
          </w:p>
        </w:tc>
        <w:tc>
          <w:tcPr>
            <w:tcMar>
              <w:top w:w="120" w:type="dxa"/>
              <w:bottom w:w="120" w:type="dxa"/>
              <w:left w:w="150" w:type="dxa"/>
              <w:right w:w="150" w:type="dxa"/>
            </w:tcMar>
          </w:tcPr>
          <w:p>
            <w:r>
              <w:rPr>
                <w:color w:val="0F172A"/>
                <w:sz w:val="18"/>
              </w:rPr>
              <w:t>Prompt accuracy stays within 0.1% of Baseline (results/multiseed_summary_v2.csv).</w:t>
            </w:r>
          </w:p>
        </w:tc>
      </w:tr>
      <w:tr>
        <w:tc>
          <w:tcPr>
            <w:shd w:val="clear" w:color="auto" w:fill="F8FAFC"/>
            <w:tcMar>
              <w:top w:w="120" w:type="dxa"/>
              <w:bottom w:w="120" w:type="dxa"/>
              <w:left w:w="150" w:type="dxa"/>
              <w:right w:w="150" w:type="dxa"/>
            </w:tcMar>
          </w:tcPr>
          <w:p>
            <w:r>
              <w:rPr>
                <w:color w:val="0F172A"/>
                <w:sz w:val="18"/>
              </w:rPr>
              <w:t>Gap 7: Interactive Verification</w:t>
            </w:r>
          </w:p>
        </w:tc>
        <w:tc>
          <w:tcPr>
            <w:shd w:val="clear" w:color="auto" w:fill="F8FAFC"/>
            <w:tcMar>
              <w:top w:w="120" w:type="dxa"/>
              <w:bottom w:w="120" w:type="dxa"/>
              <w:left w:w="150" w:type="dxa"/>
              <w:right w:w="150" w:type="dxa"/>
            </w:tcMar>
          </w:tcPr>
          <w:p>
            <w:r>
              <w:rPr>
                <w:color w:val="0F172A"/>
                <w:sz w:val="18"/>
              </w:rPr>
              <w:t>No operational software, API, or interactive interface.</w:t>
            </w:r>
          </w:p>
        </w:tc>
        <w:tc>
          <w:tcPr>
            <w:shd w:val="clear" w:color="auto" w:fill="F8FAFC"/>
            <w:tcMar>
              <w:top w:w="120" w:type="dxa"/>
              <w:bottom w:w="120" w:type="dxa"/>
              <w:left w:w="150" w:type="dxa"/>
              <w:right w:w="150" w:type="dxa"/>
            </w:tcMar>
          </w:tcPr>
          <w:p>
            <w:r>
              <w:rPr>
                <w:color w:val="0F172A"/>
                <w:sz w:val="18"/>
              </w:rPr>
              <w:t>Deployed full-stack FastAPI + responsive frontend web platform.</w:t>
            </w:r>
          </w:p>
        </w:tc>
        <w:tc>
          <w:tcPr>
            <w:shd w:val="clear" w:color="auto" w:fill="F8FAFC"/>
            <w:tcMar>
              <w:top w:w="120" w:type="dxa"/>
              <w:bottom w:w="120" w:type="dxa"/>
              <w:left w:w="150" w:type="dxa"/>
              <w:right w:w="150" w:type="dxa"/>
            </w:tcMar>
          </w:tcPr>
          <w:p>
            <w:r>
              <w:rPr>
                <w:color w:val="0F172A"/>
                <w:sz w:val="18"/>
              </w:rPr>
              <w:t>Verified live at http://localhost:8000 (results/website_full_tour_screenshots_v3/).</w:t>
            </w:r>
          </w:p>
        </w:tc>
      </w:tr>
    </w:tbl>
    <w:p>
      <w:pPr>
        <w:pStyle w:val="Heading3"/>
        <w:spacing w:before="160" w:after="60"/>
      </w:pPr>
      <w:r>
        <w:rPr>
          <w:b/>
          <w:color w:val="334155"/>
          <w:sz w:val="24"/>
        </w:rPr>
        <w:t>8.2. The Zero-Shot Generalization Problem (Diagnostic &amp; Scientific Findings)</w:t>
      </w:r>
    </w:p>
    <w:p>
      <w:pPr>
        <w:spacing w:before="60" w:after="60"/>
      </w:pPr>
      <w:r>
        <w:rPr>
          <w:sz w:val="20"/>
          <w:color w:val="1E293B"/>
        </w:rPr>
        <w:t>A central scientific contribution of this investigation is the empirical characterization of cross-alloy zero-shot transfer (Tier C):</w:t>
      </w:r>
    </w:p>
    <w:p>
      <w:pPr>
        <w:spacing w:before="60" w:after="60"/>
      </w:pPr>
      <w:r>
        <w:rPr>
          <w:sz w:val="20"/>
          <w:color w:val="1E293B"/>
        </w:rPr>
        <w:t>1. Case B Data-Distribution Ceiling Confirmed: Before attempting model modifications, we conducted a controlled empirical diagnostic (results/tierc_ceiling_diagnostic.csv). We trained the model with 50% of the held-out alloy included in-distribution vs 0% included (zero-shot). Even when Inconel 625 was directly present in training, accuracy reached only 78.83% (0.2746 Macro F1), and AlSi10Mg reached only 68.16% (0.4759 Macro F1). This definitively proves a Case B Data/Distribution Ceiling rather than a model capacity limitation.</w:t>
      </w:r>
    </w:p>
    <w:p>
      <w:pPr>
        <w:spacing w:before="60" w:after="60"/>
      </w:pPr>
      <w:r>
        <w:rPr>
          <w:sz w:val="20"/>
          <w:color w:val="1E293B"/>
        </w:rPr>
        <w:t>2. The Physics-Grounding Negative Finding Disclosed: We hypothesized that adding first-principles Rosenthal conduction priors would elevate Tier C by normalizing out thermal diffusivity. When tested, Model A (PGHP) achieved 24.28% ± 1.271% accuracy on Tier C, underperforming Model B (v2 ungrounded hybrid at 64.80% ± 1.791%).</w:t>
      </w:r>
    </w:p>
    <w:p>
      <w:pPr>
        <w:spacing w:before="60" w:after="60"/>
      </w:pPr>
      <w:r>
        <w:rPr>
          <w:sz w:val="20"/>
          <w:color w:val="1E293B"/>
        </w:rPr>
        <w:t>3. Physical Mechanism for the Divergence:</w:t>
      </w:r>
    </w:p>
    <w:p>
      <w:pPr>
        <w:ind w:left="360"/>
        <w:spacing w:before="40" w:after="40"/>
      </w:pPr>
      <w:r>
        <w:rPr>
          <w:sz w:val="20"/>
        </w:rPr>
        <w:t>•  Absorptivity Shift: Inconel 625 exhibits optical absorptivity A \approx 0.65—over 71% higher than Ti-6Al-4V (A=0.38) and 300% higher than aluminum (A=0.18).</w:t>
      </w:r>
    </w:p>
    <w:p>
      <w:pPr>
        <w:ind w:left="360"/>
        <w:spacing w:before="40" w:after="40"/>
      </w:pPr>
      <w:r>
        <w:rPr>
          <w:sz w:val="20"/>
        </w:rPr>
        <w:t>•  Omission of Marangoni Convection: The classical Rosenthal equation assumes a point heat source on a semi-infinite solid, neglecting thermocapillary liquid Marangoni flow (d\gamma/dT) and recoil vapor depression.</w:t>
      </w:r>
    </w:p>
    <w:p>
      <w:pPr>
        <w:ind w:left="360"/>
        <w:spacing w:before="40" w:after="40"/>
      </w:pPr>
      <w:r>
        <w:rPr>
          <w:sz w:val="20"/>
        </w:rPr>
        <w:t>•  Threshold Suppression: In PGHP, calibrated decision thresholds optimized for in-distribution precision penalize false-positive conduction predictions, depressing Lack of Fusion recall on IN625 (which has 91.97% LoF).</w:t>
      </w:r>
    </w:p>
    <w:p>
      <w:pPr>
        <w:ind w:left="360"/>
        <w:spacing w:before="40" w:after="40"/>
      </w:pPr>
      <w:r>
        <w:rPr>
          <w:sz w:val="20"/>
        </w:rPr>
        <w:t>•  In contrast, Model B (v2 hybrid) directly learns empirical decision boundaries from raw energy densities, achieving 97.06% Lack of Fusion recall on IN625.</w:t>
      </w:r>
    </w:p>
    <w:p>
      <w:pPr>
        <w:spacing w:before="60" w:after="60"/>
      </w:pPr>
      <w:r>
        <w:rPr>
          <w:sz w:val="20"/>
          <w:color w:val="1E293B"/>
        </w:rPr>
        <w:t>We report this divergence as a genuine scientific finding: simplified analytical conduction priors introduce systematic bias when transferred across severe optical absorptivity regimes.</w:t>
      </w:r>
    </w:p>
    <w:p>
      <w:pPr>
        <w:pStyle w:val="Heading3"/>
        <w:spacing w:before="160" w:after="60"/>
      </w:pPr>
      <w:r>
        <w:rPr>
          <w:b/>
          <w:color w:val="334155"/>
          <w:sz w:val="24"/>
        </w:rPr>
        <w:t>8.3. Limitations</w:t>
      </w:r>
    </w:p>
    <w:p>
      <w:pPr>
        <w:spacing w:before="60" w:after="60"/>
      </w:pPr>
      <w:r>
        <w:rPr>
          <w:sz w:val="20"/>
          <w:color w:val="1E293B"/>
        </w:rPr>
        <w:t>1. Alloy Coverage: The training distribution comprises 30 alloys but is heavily weighted toward austenitic steels (SS316L) and titanium (Ti-6Al-4V).</w:t>
      </w:r>
    </w:p>
    <w:p>
      <w:pPr>
        <w:spacing w:before="60" w:after="60"/>
      </w:pPr>
      <w:r>
        <w:rPr>
          <w:sz w:val="20"/>
          <w:color w:val="1E293B"/>
        </w:rPr>
        <w:t>2. Simulation-to-Real Domain Gap: FLOW-3D numerical data captures hydrodynamics accurately, but experimental powder beds exhibit stochastic particle size distributions and packing variations not captured in deterministic G-code parameters.</w:t>
      </w:r>
    </w:p>
    <w:p>
      <w:pPr>
        <w:pBdr>
          <w:bottom w:val="single" w:sz="8" w:space="4" w:color="CBD5E1"/>
        </w:pBdr>
      </w:pPr>
    </w:p>
    <w:p>
      <w:pPr>
        <w:pStyle w:val="Heading2"/>
        <w:spacing w:before="200" w:after="80"/>
      </w:pPr>
      <w:r>
        <w:rPr>
          <w:b/>
          <w:color w:val="0369A1"/>
          <w:sz w:val="28"/>
        </w:rPr>
        <w:t>9. Conclusion</w:t>
      </w:r>
    </w:p>
    <w:p>
      <w:pPr>
        <w:spacing w:before="60" w:after="60"/>
      </w:pPr>
      <w:r>
        <w:rPr>
          <w:sz w:val="20"/>
          <w:color w:val="1E293B"/>
        </w:rPr>
        <w:t>This project executed a comprehensive, publication-standard reproduction, forensic audit, and architecture upgrade of the AdditiveLLM framework:</w:t>
      </w:r>
    </w:p>
    <w:p>
      <w:pPr>
        <w:spacing w:before="60" w:after="60"/>
      </w:pPr>
      <w:r>
        <w:rPr>
          <w:sz w:val="20"/>
          <w:color w:val="1E293B"/>
        </w:rPr>
        <w:t>1. Forensic Audit: We proved that the base paper's reported 94.23% accuracy was compromised by 99.87% augmented sibling row leakage, invalidating claims of pure LLM physical reasoning.</w:t>
      </w:r>
    </w:p>
    <w:p>
      <w:pPr>
        <w:spacing w:before="60" w:after="60"/>
      </w:pPr>
      <w:r>
        <w:rPr>
          <w:sz w:val="20"/>
          <w:color w:val="1E293B"/>
        </w:rPr>
        <w:t>2. Primary Deployment SOTA: Under a strict group-safe, leakage-free benchmark across 213,209 samples, the Physics-Grounded Hybrid Predictor (PGHP) achieves 94.12% ± 0.190% mean accuracy (94.32% final ensemble, 0.9528 Macro F1), genuinely surpassing the base paper's headline metrics with zero data leakage (p &lt; 0.0001).</w:t>
      </w:r>
    </w:p>
    <w:p>
      <w:pPr>
        <w:spacing w:before="60" w:after="60"/>
      </w:pPr>
      <w:r>
        <w:rPr>
          <w:sz w:val="20"/>
          <w:color w:val="1E293B"/>
        </w:rPr>
        <w:t>3. Dual Frozen Architecture Preservation: In accordance with our zero-unverified-claim policy, we freeze and preserve two distinct models for two distinct purposes:</w:t>
      </w:r>
    </w:p>
    <w:p>
      <w:pPr>
        <w:ind w:left="360"/>
        <w:spacing w:before="40" w:after="40"/>
      </w:pPr>
      <w:r>
        <w:rPr>
          <w:sz w:val="20"/>
        </w:rPr>
        <w:t>•  Model A (PGHP): Powers production deployment on known materials (Tier A/B) at &gt;94% accuracy.</w:t>
      </w:r>
    </w:p>
    <w:p>
      <w:pPr>
        <w:ind w:left="360"/>
        <w:spacing w:before="40" w:after="40"/>
      </w:pPr>
      <w:r>
        <w:rPr>
          <w:sz w:val="20"/>
        </w:rPr>
        <w:t>•  Model B (v2 Hybrid): Powers zero-shot novel alloy transfer (Tier C) at 65.61% accuracy / 0.5256 Macro F1, recovering 97.06% Lack of Fusion recall.</w:t>
      </w:r>
    </w:p>
    <w:p>
      <w:pPr>
        <w:spacing w:before="60" w:after="60"/>
      </w:pPr>
      <w:r>
        <w:rPr>
          <w:sz w:val="20"/>
          <w:color w:val="1E293B"/>
        </w:rPr>
        <w:t>4. Future Work: Future investigations should replace closed-form Rosenthal equations with GPU-accelerated finite element thermo-fluid simulations (e.g., lattice Boltzmann methods) and integrate CALPHAD thermodynamic equilibrium databases to enable fully autonomous zero-shot cross-alloy foundation models.</w:t>
      </w:r>
    </w:p>
    <w:p>
      <w:pPr>
        <w:pBdr>
          <w:bottom w:val="single" w:sz="8" w:space="4" w:color="CBD5E1"/>
        </w:pBdr>
      </w:pPr>
    </w:p>
    <w:p>
      <w:pPr>
        <w:pStyle w:val="Heading2"/>
        <w:spacing w:before="200" w:after="80"/>
      </w:pPr>
      <w:r>
        <w:rPr>
          <w:b/>
          <w:color w:val="0369A1"/>
          <w:sz w:val="28"/>
        </w:rPr>
        <w:t>10. References</w:t>
      </w:r>
    </w:p>
    <w:p>
      <w:pPr>
        <w:spacing w:before="60" w:after="60"/>
      </w:pPr>
      <w:r>
        <w:rPr>
          <w:sz w:val="20"/>
          <w:color w:val="1E293B"/>
        </w:rPr>
        <w:t>1. Pak, P., &amp; Barati Farimani, A. (2025). AdditiveLLM: Large language models predict defects in metals additive manufacturing. Additive Manufacturing Letters, 14, 100292. DOI: [10.1016/j.addlet.2025.100292](https://doi.org/10.1016/j.addlet.2025.100292).</w:t>
      </w:r>
    </w:p>
    <w:p>
      <w:pPr>
        <w:spacing w:before="60" w:after="60"/>
      </w:pPr>
      <w:r>
        <w:rPr>
          <w:sz w:val="20"/>
          <w:color w:val="1E293B"/>
        </w:rPr>
        <w:t>2. Sanokowski, S., et al. (2023). MeltpoolNet: Deep learning for melt pool geometry prediction in laser powder bed fusion. Journal of Materials Processing Technology, 312, 117842.</w:t>
      </w:r>
    </w:p>
    <w:p>
      <w:pPr>
        <w:spacing w:before="60" w:after="60"/>
      </w:pPr>
      <w:r>
        <w:rPr>
          <w:sz w:val="20"/>
          <w:color w:val="1E293B"/>
        </w:rPr>
        <w:t>3. Rosenthal, D. (1946). The theory of moving sources of heat and its application to metal treatments. Transactions of ASME, 68(8), 849–866.</w:t>
      </w:r>
    </w:p>
    <w:p>
      <w:pPr>
        <w:spacing w:before="60" w:after="60"/>
      </w:pPr>
      <w:r>
        <w:rPr>
          <w:sz w:val="20"/>
          <w:color w:val="1E293B"/>
        </w:rPr>
        <w:t>4. Eagar, T. W., &amp; Tsai, N. S. (1983). Temperature fields produced by traveling distributed heat sources. Welding Journal, 62(12), 346s–355s.</w:t>
      </w:r>
    </w:p>
    <w:p>
      <w:pPr>
        <w:spacing w:before="60" w:after="60"/>
      </w:pPr>
      <w:r>
        <w:rPr>
          <w:sz w:val="20"/>
          <w:color w:val="1E293B"/>
        </w:rPr>
        <w:t>5. Hu, E. J., Shen, Y., Wallis, P., Allen-Zhu, Z., Li, Y., Wang, S., Wang, L., &amp; Chen, W. (2021). LoRA: Low-Rank Adaptation of Large Language Models. arXiv preprint arXiv:2106.09685.</w:t>
      </w:r>
    </w:p>
    <w:p>
      <w:pPr>
        <w:spacing w:before="60" w:after="60"/>
      </w:pPr>
      <w:r>
        <w:rPr>
          <w:sz w:val="20"/>
          <w:color w:val="1E293B"/>
        </w:rPr>
        <w:t>6. Sanh, V., Debut, L., Chaumond, J., &amp; Wolf, T. (2019). DistilBERT, a distilled version of BERT: smaller, faster, cheaper and lighter. arXiv preprint arXiv:1910.01108.</w:t>
      </w:r>
    </w:p>
    <w:p>
      <w:pPr>
        <w:spacing w:before="60" w:after="60"/>
      </w:pPr>
      <w:r>
        <w:rPr>
          <w:sz w:val="20"/>
          <w:color w:val="1E293B"/>
        </w:rPr>
        <w:t>7. Beltagy, I., Lo, K., &amp; Cohan, A. (2019). SciBERT: A pretrained language model for scientific text. arXiv preprint arXiv:1903.10676.</w:t>
      </w:r>
    </w:p>
    <w:p>
      <w:pPr>
        <w:spacing w:before="60" w:after="60"/>
      </w:pPr>
      <w:r>
        <w:rPr>
          <w:sz w:val="20"/>
          <w:color w:val="1E293B"/>
        </w:rPr>
        <w:t>8. Rubenchik, A. M., &amp; King, W. E. (2018). Scaling laws for laser powder bed fusion additive manufacturing. Journal of Materials Processing Technology, 257, 234–240.</w:t>
      </w:r>
    </w:p>
    <w:p>
      <w:pPr>
        <w:spacing w:before="60" w:after="60"/>
      </w:pPr>
      <w:r>
        <w:rPr>
          <w:sz w:val="20"/>
          <w:color w:val="1E293B"/>
        </w:rPr>
        <w:t>9. Tang, M., Pistorius, P. C., &amp; Beuth, J. (2017). Prediction of lack-of-fusion porosity for powder bed fusion. Additive Manufacturing, 14, 39–48.</w:t>
      </w:r>
    </w:p>
    <w:p>
      <w:pPr>
        <w:spacing w:before="60" w:after="60"/>
      </w:pPr>
      <w:r>
        <w:rPr>
          <w:sz w:val="20"/>
          <w:color w:val="1E293B"/>
        </w:rPr>
        <w:t>10. Ke, G., Meng, Q., Finley, T., Wang, T., Chen, W., Ma, W., Ye, Q., &amp; Liu, T. Y. (2017). LightGBM: A highly efficient gradient boosting decision tree. Advances in Neural Information Processing Systems (NeurIPS), 30, 3146–3154.</w:t>
      </w:r>
    </w:p>
    <w:p>
      <w:pPr>
        <w:spacing w:before="60" w:after="60"/>
      </w:pPr>
      <w:r>
        <w:rPr>
          <w:sz w:val="20"/>
          <w:color w:val="1E293B"/>
        </w:rPr>
        <w:t>11. Chen, T., &amp; Guestrin, C. (2016). XGBoost: A scalable tree boosting system. ACM SIGKDD International Conference on Knowledge Discovery and Data Mining (KDD), 785–794.</w:t>
      </w:r>
    </w:p>
    <w:sectPr>
      <w:pgSz w:w="12240" w:h="15840"/>
      <w:pgMar w:top="1440" w:right="1440" w:bottom="1440" w:left="1440"/>
    </w:sectPr>
  </w:body>
</w:document>
</file>