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Customer Churn Prediction Dashboard</w:t>
      </w:r>
    </w:p>
    <w:p>
      <w:pPr>
        <w:spacing w:after="40"/>
        <w:jc w:val="center"/>
      </w:pPr>
      <w:r>
        <w:rPr>
          <w:color w:val="2E74B5"/>
          <w:sz w:val="26"/>
          <w:szCs w:val="26"/>
        </w:rPr>
        <w:t xml:space="preserve">Data Science Internship — Final Project Report</w:t>
      </w:r>
    </w:p>
    <w:p>
      <w:pPr>
        <w:spacing w:after="300"/>
        <w:jc w:val="center"/>
      </w:pPr>
      <w:r>
        <w:rPr>
          <w:i/>
          <w:iCs/>
          <w:color w:val="595959"/>
          <w:sz w:val="20"/>
          <w:szCs w:val="20"/>
        </w:rPr>
        <w:t xml:space="preserve">Telco Customer Churn Dataset  |  scikit-learn  ·  Streamlit</w:t>
      </w:r>
    </w:p>
    <w:p>
      <w:pPr>
        <w:pBdr>
          <w:bottom w:val="single" w:color="BFBFBF" w:sz="6" w:space="1"/>
        </w:pBdr>
        <w:spacing w:after="200" w:before="100"/>
      </w:pPr>
    </w:p>
    <w:p>
      <w:pPr>
        <w:pStyle w:val="Heading1"/>
        <w:spacing w:after="160" w:before="320"/>
      </w:pPr>
      <w:r>
        <w:t xml:space="preserve">1. Executive Summary</w:t>
      </w:r>
    </w:p>
    <w:p>
      <w:pPr>
        <w:spacing w:after="160" w:line="300"/>
      </w:pPr>
      <w:r>
        <w:t xml:space="preserve">This project delivers an end-to-end customer churn prediction system for a telecom provider, covering data cleaning, exploratory analysis, model development, and deployment as an interactive Streamlit dashboard. Using the Telco Customer Churn dataset (7,043 customers, 21 raw attributes), three complementary machine learning models were trained and tuned to support different business priorities: maximizing overall accuracy, catching as many at-risk customers as possible (aggressive), and minimizing false alarms (defensive). The final dashboard lets a business user select an optimization strategy, score customers individually or in bulk, and automatically assign retention offers based on configurable churn-probability thresholds.</w:t>
      </w:r>
    </w:p>
    <w:p>
      <w:pPr>
        <w:pStyle w:val="Heading1"/>
        <w:spacing w:after="160" w:before="320"/>
      </w:pPr>
      <w:r>
        <w:t xml:space="preserve">2. Project Objective</w:t>
      </w:r>
    </w:p>
    <w:p>
      <w:pPr>
        <w:spacing w:after="160" w:line="300"/>
      </w:pPr>
      <w:r>
        <w:t xml:space="preserve">The goals of the project were to:</w:t>
      </w:r>
    </w:p>
    <w:p>
      <w:pPr>
        <w:pStyle w:val="ListParagraph"/>
        <w:numPr>
          <w:ilvl w:val="0"/>
          <w:numId w:val="1"/>
        </w:numPr>
        <w:spacing w:after="80" w:line="280"/>
      </w:pPr>
      <w:r>
        <w:t xml:space="preserve">Clean and explore a real-world telecom churn dataset to surface the key drivers of customer attrition.</w:t>
      </w:r>
    </w:p>
    <w:p>
      <w:pPr>
        <w:pStyle w:val="ListParagraph"/>
        <w:numPr>
          <w:ilvl w:val="0"/>
          <w:numId w:val="1"/>
        </w:numPr>
        <w:spacing w:after="80" w:line="280"/>
      </w:pPr>
      <w:r>
        <w:t xml:space="preserve">Build and compare multiple classification models, tuning each for a distinct business objective rather than a single blended metric.</w:t>
      </w:r>
    </w:p>
    <w:p>
      <w:pPr>
        <w:pStyle w:val="ListParagraph"/>
        <w:numPr>
          <w:ilvl w:val="0"/>
          <w:numId w:val="1"/>
        </w:numPr>
        <w:spacing w:after="80" w:line="280"/>
      </w:pPr>
      <w:r>
        <w:t xml:space="preserve">Package the models behind an interactive dashboard that non-technical stakeholders can use to score customers and design retention offers.</w:t>
      </w:r>
    </w:p>
    <w:p>
      <w:pPr>
        <w:pStyle w:val="Heading1"/>
        <w:spacing w:after="160" w:before="320"/>
      </w:pPr>
      <w:r>
        <w:t xml:space="preserve">3. Dataset Overview</w:t>
      </w:r>
    </w:p>
    <w:p>
      <w:pPr>
        <w:spacing w:after="160" w:line="300"/>
      </w:pPr>
      <w:r>
        <w:t xml:space="preserve">Source: WA_Fn-UseC_-Telco-Customer-Churn.csv (IBM Telco Customer Churn sample dataset).</w:t>
      </w:r>
    </w:p>
    <w:p>
      <w:pPr>
        <w:pStyle w:val="ListParagraph"/>
        <w:numPr>
          <w:ilvl w:val="0"/>
          <w:numId w:val="1"/>
        </w:numPr>
        <w:spacing w:after="80" w:line="280"/>
      </w:pPr>
      <w:r>
        <w:t xml:space="preserve">7,043 customer records, 21 original columns spanning demographics, subscribed services, contract/billing details, and the churn label.</w:t>
      </w:r>
    </w:p>
    <w:p>
      <w:pPr>
        <w:pStyle w:val="ListParagraph"/>
        <w:numPr>
          <w:ilvl w:val="0"/>
          <w:numId w:val="1"/>
        </w:numPr>
        <w:spacing w:after="80" w:line="280"/>
      </w:pPr>
      <w:r>
        <w:t xml:space="preserve">Target variable: Churn (Yes/No) — whether the customer left within the last month.</w:t>
      </w:r>
    </w:p>
    <w:p>
      <w:pPr>
        <w:pStyle w:val="ListParagraph"/>
        <w:numPr>
          <w:ilvl w:val="0"/>
          <w:numId w:val="1"/>
        </w:numPr>
        <w:spacing w:after="80" w:line="280"/>
      </w:pPr>
      <w:r>
        <w:t xml:space="preserve">Class balance: 5,174 customers stayed vs. 1,869 churned (~26.5% churn rate) — a moderately imbalanced target that shaped every later modeling decision.</w:t>
      </w:r>
    </w:p>
    <w:p>
      <w:pPr>
        <w:pStyle w:val="Heading1"/>
        <w:spacing w:after="160" w:before="320"/>
      </w:pPr>
      <w:r>
        <w:t xml:space="preserve">4. Data Preprocessing</w:t>
      </w:r>
    </w:p>
    <w:p>
      <w:pPr>
        <w:pStyle w:val="Heading2"/>
        <w:spacing w:after="160" w:before="320"/>
      </w:pPr>
      <w:r>
        <w:t xml:space="preserve">4.1 Cleaning</w:t>
      </w:r>
    </w:p>
    <w:p>
      <w:pPr>
        <w:pStyle w:val="ListParagraph"/>
        <w:numPr>
          <w:ilvl w:val="0"/>
          <w:numId w:val="1"/>
        </w:numPr>
        <w:spacing w:after="80" w:line="280"/>
      </w:pPr>
      <w:r>
        <w:t xml:space="preserve">TotalCharges was stored as text and contained blank values; it was coerced to numeric with pd.to_numeric(errors='coerce').</w:t>
      </w:r>
    </w:p>
    <w:p>
      <w:pPr>
        <w:pStyle w:val="ListParagraph"/>
        <w:numPr>
          <w:ilvl w:val="0"/>
          <w:numId w:val="1"/>
        </w:numPr>
        <w:spacing w:after="80" w:line="280"/>
      </w:pPr>
      <w:r>
        <w:t xml:space="preserve">The resulting 11 missing values all belonged to customers with tenure = 0 (i.e., brand-new customers who had not yet been billed), so they were filled with 0 rather than dropped or imputed with a mean.</w:t>
      </w:r>
    </w:p>
    <w:p>
      <w:pPr>
        <w:pStyle w:val="ListParagraph"/>
        <w:numPr>
          <w:ilvl w:val="0"/>
          <w:numId w:val="1"/>
        </w:numPr>
        <w:spacing w:after="80" w:line="280"/>
      </w:pPr>
      <w:r>
        <w:t xml:space="preserve">No other missing values were present after this fix.</w:t>
      </w:r>
    </w:p>
    <w:p>
      <w:pPr>
        <w:pStyle w:val="Heading2"/>
        <w:spacing w:after="160" w:before="320"/>
      </w:pPr>
      <w:r>
        <w:t xml:space="preserve">4.2 Encoding</w:t>
      </w:r>
    </w:p>
    <w:p>
      <w:pPr>
        <w:pStyle w:val="ListParagraph"/>
        <w:numPr>
          <w:ilvl w:val="0"/>
          <w:numId w:val="1"/>
        </w:numPr>
        <w:spacing w:after="80" w:line="280"/>
      </w:pPr>
      <w:r>
        <w:t xml:space="preserve">Binary Yes/No fields (Partner, Dependents, PhoneService, PaperlessBilling) and gender were label-encoded to 0/1.</w:t>
      </w:r>
    </w:p>
    <w:p>
      <w:pPr>
        <w:pStyle w:val="ListParagraph"/>
        <w:numPr>
          <w:ilvl w:val="0"/>
          <w:numId w:val="1"/>
        </w:numPr>
        <w:spacing w:after="80" w:line="280"/>
      </w:pPr>
      <w:r>
        <w:t xml:space="preserve">Remaining categorical fields (InternetService, Contract, PaymentMethod, and the six service add-ons) were one-hot encoded with pd.get_dummies, expanding the feature set to 41 columns (40 features + target).</w:t>
      </w:r>
    </w:p>
    <w:p>
      <w:pPr>
        <w:pStyle w:val="ListParagraph"/>
        <w:numPr>
          <w:ilvl w:val="0"/>
          <w:numId w:val="1"/>
        </w:numPr>
        <w:spacing w:after="80" w:line="280"/>
      </w:pPr>
      <w:r>
        <w:t xml:space="preserve">customerID was set as the DataFrame index so it would not leak into the feature matrix.</w:t>
      </w:r>
    </w:p>
    <w:p>
      <w:pPr>
        <w:spacing w:after="160" w:line="300"/>
      </w:pPr>
      <w:r>
        <w:t xml:space="preserve">The cleaned, fully-encoded dataset was persisted to cleaned_data.csv and used as the single source of truth for all subsequent modeling.</w:t>
      </w:r>
    </w:p>
    <w:p>
      <w:pPr>
        <w:pStyle w:val="Heading1"/>
        <w:spacing w:after="160" w:before="320"/>
      </w:pPr>
      <w:r>
        <w:t xml:space="preserve">5. Exploratory Data Analysis</w:t>
      </w:r>
    </w:p>
    <w:p>
      <w:pPr>
        <w:spacing w:after="160" w:line="300"/>
      </w:pPr>
      <w:r>
        <w:t xml:space="preserve">Before modeling, the relationship between churn and several key variables was examined:</w:t>
      </w:r>
    </w:p>
    <w:p>
      <w:pPr>
        <w:pStyle w:val="ListParagraph"/>
        <w:numPr>
          <w:ilvl w:val="0"/>
          <w:numId w:val="1"/>
        </w:numPr>
        <w:spacing w:after="80" w:line="280"/>
      </w:pPr>
      <w:r>
        <w:t xml:space="preserve">Tenure: customers who churned had an average tenure of 17.98 months, versus 37.57 months for those who stayed — churn is concentrated in a customer's first ~18 months.</w:t>
      </w:r>
    </w:p>
    <w:p>
      <w:pPr>
        <w:pStyle w:val="ListParagraph"/>
        <w:numPr>
          <w:ilvl w:val="0"/>
          <w:numId w:val="1"/>
        </w:numPr>
        <w:spacing w:after="80" w:line="280"/>
      </w:pPr>
      <w:r>
        <w:t xml:space="preserve">Monthly charges: churned customers paid $74.44/month on average versus $61.27 for retained customers, indicating that higher-paying customers churn more.</w:t>
      </w:r>
    </w:p>
    <w:p>
      <w:pPr>
        <w:pStyle w:val="ListParagraph"/>
        <w:numPr>
          <w:ilvl w:val="0"/>
          <w:numId w:val="1"/>
        </w:numPr>
        <w:spacing w:after="80" w:line="280"/>
      </w:pPr>
      <w:r>
        <w:t xml:space="preserve">Contract type: 88.55% of churners were on month-to-month contracts, compared to only 42.91% of retained customers. One- and two-year contracts were strongly associated with retention.</w:t>
      </w:r>
    </w:p>
    <w:p>
      <w:pPr>
        <w:spacing w:after="160" w:line="300"/>
      </w:pPr>
      <w:r>
        <w:rPr>
          <w:i/>
          <w:iCs/>
        </w:rPr>
        <w:t xml:space="preserve">Combining these findings, the clearest at-risk profile is: a new customer (under ~18 months tenure) on a month-to-month contract paying above-average monthly charges. This profile directly informed which features the models would need to weigh most heavily, and later motivated the configurable, probability-threshold-based offer system in the dashboard.</w:t>
      </w:r>
    </w:p>
    <w:p>
      <w:pPr>
        <w:pStyle w:val="Heading1"/>
        <w:spacing w:after="160" w:before="320"/>
      </w:pPr>
      <w:r>
        <w:t xml:space="preserve">6. Model Building &amp; Selection</w:t>
      </w:r>
    </w:p>
    <w:p>
      <w:pPr>
        <w:spacing w:after="160" w:line="300"/>
      </w:pPr>
      <w:r>
        <w:t xml:space="preserve">Data was split 80/20 (stratified on Churn) into training and test sets, then standardized with a StandardScaler fit on the training data only. Three algorithm families were evaluated: Logistic Regression, Decision Tree, and Random Forest, in both their default and class-weight-balanced forms.</w:t>
      </w:r>
    </w:p>
    <w:p>
      <w:pPr>
        <w:pStyle w:val="Heading2"/>
        <w:spacing w:after="160" w:before="320"/>
      </w:pPr>
      <w:r>
        <w:t xml:space="preserve">6.1 Baseline Comparison</w:t>
      </w:r>
    </w:p>
    <w:p>
      <w:pPr>
        <w:spacing w:after="160" w:line="300"/>
      </w:pPr>
      <w:r>
        <w:t xml:space="preserve">Baseline results (default threshold of 0.5) on the held-out test set: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600"/>
        <w:gridCol w:w="1500"/>
        <w:gridCol w:w="1300"/>
      </w:tblGrid>
      <w:tr>
        <w:trPr>
          <w:tblHeader/>
        </w:trPr>
        <w:tc>
          <w:tcPr>
            <w:tcW w:type="dxa" w:w="2900"/>
            <w:shd w:fill="1F3864" w:val="clear"/>
            <w:tcMar>
              <w:top w:type="dxa" w:w="80"/>
              <w:left w:type="dxa" w:w="120"/>
              <w:bottom w:type="dxa" w:w="80"/>
              <w:right w:type="dxa" w:w="120"/>
            </w:tcMar>
          </w:tcPr>
          <w:p>
            <w:pPr>
              <w:jc w:val="left"/>
            </w:pPr>
            <w:r>
              <w:rPr>
                <w:b/>
                <w:bCs/>
                <w:color w:val="FFFFFF"/>
                <w:sz w:val="20"/>
                <w:szCs w:val="20"/>
              </w:rPr>
              <w:t xml:space="preserve">Model Configuration</w:t>
            </w:r>
          </w:p>
        </w:tc>
        <w:tc>
          <w:tcPr>
            <w:tcW w:type="dxa" w:w="1000"/>
            <w:shd w:fill="1F3864" w:val="clear"/>
            <w:tcMar>
              <w:top w:type="dxa" w:w="80"/>
              <w:left w:type="dxa" w:w="120"/>
              <w:bottom w:type="dxa" w:w="80"/>
              <w:right w:type="dxa" w:w="120"/>
            </w:tcMar>
          </w:tcPr>
          <w:p>
            <w:pPr>
              <w:jc w:val="left"/>
            </w:pPr>
            <w:r>
              <w:rPr>
                <w:b/>
                <w:bCs/>
                <w:color w:val="FFFFFF"/>
                <w:sz w:val="20"/>
                <w:szCs w:val="20"/>
              </w:rPr>
              <w:t xml:space="preserve">Accuracy</w:t>
            </w:r>
          </w:p>
        </w:tc>
        <w:tc>
          <w:tcPr>
            <w:tcW w:type="dxa" w:w="1600"/>
            <w:shd w:fill="1F3864" w:val="clear"/>
            <w:tcMar>
              <w:top w:type="dxa" w:w="80"/>
              <w:left w:type="dxa" w:w="120"/>
              <w:bottom w:type="dxa" w:w="80"/>
              <w:right w:type="dxa" w:w="120"/>
            </w:tcMar>
          </w:tcPr>
          <w:p>
            <w:pPr>
              <w:jc w:val="left"/>
            </w:pPr>
            <w:r>
              <w:rPr>
                <w:b/>
                <w:bCs/>
                <w:color w:val="FFFFFF"/>
                <w:sz w:val="20"/>
                <w:szCs w:val="20"/>
              </w:rPr>
              <w:t xml:space="preserve">Precision (Churn)</w:t>
            </w:r>
          </w:p>
        </w:tc>
        <w:tc>
          <w:tcPr>
            <w:tcW w:type="dxa" w:w="1500"/>
            <w:shd w:fill="1F3864" w:val="clear"/>
            <w:tcMar>
              <w:top w:type="dxa" w:w="80"/>
              <w:left w:type="dxa" w:w="120"/>
              <w:bottom w:type="dxa" w:w="80"/>
              <w:right w:type="dxa" w:w="120"/>
            </w:tcMar>
          </w:tcPr>
          <w:p>
            <w:pPr>
              <w:jc w:val="left"/>
            </w:pPr>
            <w:r>
              <w:rPr>
                <w:b/>
                <w:bCs/>
                <w:color w:val="FFFFFF"/>
                <w:sz w:val="20"/>
                <w:szCs w:val="20"/>
              </w:rPr>
              <w:t xml:space="preserve">Recall (Churn)</w:t>
            </w:r>
          </w:p>
        </w:tc>
        <w:tc>
          <w:tcPr>
            <w:tcW w:type="dxa" w:w="1300"/>
            <w:shd w:fill="1F3864" w:val="clear"/>
            <w:tcMar>
              <w:top w:type="dxa" w:w="80"/>
              <w:left w:type="dxa" w:w="120"/>
              <w:bottom w:type="dxa" w:w="80"/>
              <w:right w:type="dxa" w:w="120"/>
            </w:tcMar>
          </w:tcPr>
          <w:p>
            <w:pPr>
              <w:jc w:val="left"/>
            </w:pPr>
            <w:r>
              <w:rPr>
                <w:b/>
                <w:bCs/>
                <w:color w:val="FFFFFF"/>
                <w:sz w:val="20"/>
                <w:szCs w:val="20"/>
              </w:rPr>
              <w:t xml:space="preserve">F1 (Churn)</w:t>
            </w:r>
          </w:p>
        </w:tc>
      </w:tr>
      <w:tr>
        <w:tc>
          <w:tcPr>
            <w:tcW w:type="dxa" w:w="2900"/>
            <w:tcMar>
              <w:top w:type="dxa" w:w="80"/>
              <w:left w:type="dxa" w:w="120"/>
              <w:bottom w:type="dxa" w:w="80"/>
              <w:right w:type="dxa" w:w="120"/>
            </w:tcMar>
          </w:tcPr>
          <w:p>
            <w:pPr>
              <w:jc w:val="left"/>
            </w:pPr>
            <w:r>
              <w:rPr>
                <w:b w:val="false"/>
                <w:bCs w:val="false"/>
                <w:color w:val="000000"/>
                <w:sz w:val="20"/>
                <w:szCs w:val="20"/>
              </w:rPr>
              <w:t xml:space="preserve">Logistic Regression</w:t>
            </w:r>
          </w:p>
        </w:tc>
        <w:tc>
          <w:tcPr>
            <w:tcW w:type="dxa" w:w="1000"/>
            <w:tcMar>
              <w:top w:type="dxa" w:w="80"/>
              <w:left w:type="dxa" w:w="120"/>
              <w:bottom w:type="dxa" w:w="80"/>
              <w:right w:type="dxa" w:w="120"/>
            </w:tcMar>
          </w:tcPr>
          <w:p>
            <w:pPr>
              <w:jc w:val="left"/>
            </w:pPr>
            <w:r>
              <w:rPr>
                <w:b w:val="false"/>
                <w:bCs w:val="false"/>
                <w:color w:val="000000"/>
                <w:sz w:val="20"/>
                <w:szCs w:val="20"/>
              </w:rPr>
              <w:t xml:space="preserve">0.807</w:t>
            </w:r>
          </w:p>
        </w:tc>
        <w:tc>
          <w:tcPr>
            <w:tcW w:type="dxa" w:w="1600"/>
            <w:tcMar>
              <w:top w:type="dxa" w:w="80"/>
              <w:left w:type="dxa" w:w="120"/>
              <w:bottom w:type="dxa" w:w="80"/>
              <w:right w:type="dxa" w:w="120"/>
            </w:tcMar>
          </w:tcPr>
          <w:p>
            <w:pPr>
              <w:jc w:val="left"/>
            </w:pPr>
            <w:r>
              <w:rPr>
                <w:b w:val="false"/>
                <w:bCs w:val="false"/>
                <w:color w:val="000000"/>
                <w:sz w:val="20"/>
                <w:szCs w:val="20"/>
              </w:rPr>
              <w:t xml:space="preserve">0.658</w:t>
            </w:r>
          </w:p>
        </w:tc>
        <w:tc>
          <w:tcPr>
            <w:tcW w:type="dxa" w:w="1500"/>
            <w:tcMar>
              <w:top w:type="dxa" w:w="80"/>
              <w:left w:type="dxa" w:w="120"/>
              <w:bottom w:type="dxa" w:w="80"/>
              <w:right w:type="dxa" w:w="120"/>
            </w:tcMar>
          </w:tcPr>
          <w:p>
            <w:pPr>
              <w:jc w:val="left"/>
            </w:pPr>
            <w:r>
              <w:rPr>
                <w:b w:val="false"/>
                <w:bCs w:val="false"/>
                <w:color w:val="000000"/>
                <w:sz w:val="20"/>
                <w:szCs w:val="20"/>
              </w:rPr>
              <w:t xml:space="preserve">0.567</w:t>
            </w:r>
          </w:p>
        </w:tc>
        <w:tc>
          <w:tcPr>
            <w:tcW w:type="dxa" w:w="1300"/>
            <w:tcMar>
              <w:top w:type="dxa" w:w="80"/>
              <w:left w:type="dxa" w:w="120"/>
              <w:bottom w:type="dxa" w:w="80"/>
              <w:right w:type="dxa" w:w="120"/>
            </w:tcMar>
          </w:tcPr>
          <w:p>
            <w:pPr>
              <w:jc w:val="left"/>
            </w:pPr>
            <w:r>
              <w:rPr>
                <w:b w:val="false"/>
                <w:bCs w:val="false"/>
                <w:color w:val="000000"/>
                <w:sz w:val="20"/>
                <w:szCs w:val="20"/>
              </w:rPr>
              <w:t xml:space="preserve">0.609</w:t>
            </w:r>
          </w:p>
        </w:tc>
      </w:tr>
      <w:tr>
        <w:tc>
          <w:tcPr>
            <w:tcW w:type="dxa" w:w="2900"/>
            <w:tcMar>
              <w:top w:type="dxa" w:w="80"/>
              <w:left w:type="dxa" w:w="120"/>
              <w:bottom w:type="dxa" w:w="80"/>
              <w:right w:type="dxa" w:w="120"/>
            </w:tcMar>
          </w:tcPr>
          <w:p>
            <w:pPr>
              <w:jc w:val="left"/>
            </w:pPr>
            <w:r>
              <w:rPr>
                <w:b w:val="false"/>
                <w:bCs w:val="false"/>
                <w:color w:val="000000"/>
                <w:sz w:val="20"/>
                <w:szCs w:val="20"/>
              </w:rPr>
              <w:t xml:space="preserve">Logistic Regression (balanced)</w:t>
            </w:r>
          </w:p>
        </w:tc>
        <w:tc>
          <w:tcPr>
            <w:tcW w:type="dxa" w:w="1000"/>
            <w:tcMar>
              <w:top w:type="dxa" w:w="80"/>
              <w:left w:type="dxa" w:w="120"/>
              <w:bottom w:type="dxa" w:w="80"/>
              <w:right w:type="dxa" w:w="120"/>
            </w:tcMar>
          </w:tcPr>
          <w:p>
            <w:pPr>
              <w:jc w:val="left"/>
            </w:pPr>
            <w:r>
              <w:rPr>
                <w:b w:val="false"/>
                <w:bCs w:val="false"/>
                <w:color w:val="000000"/>
                <w:sz w:val="20"/>
                <w:szCs w:val="20"/>
              </w:rPr>
              <w:t xml:space="preserve">0.740</w:t>
            </w:r>
          </w:p>
        </w:tc>
        <w:tc>
          <w:tcPr>
            <w:tcW w:type="dxa" w:w="1600"/>
            <w:tcMar>
              <w:top w:type="dxa" w:w="80"/>
              <w:left w:type="dxa" w:w="120"/>
              <w:bottom w:type="dxa" w:w="80"/>
              <w:right w:type="dxa" w:w="120"/>
            </w:tcMar>
          </w:tcPr>
          <w:p>
            <w:pPr>
              <w:jc w:val="left"/>
            </w:pPr>
            <w:r>
              <w:rPr>
                <w:b w:val="false"/>
                <w:bCs w:val="false"/>
                <w:color w:val="000000"/>
                <w:sz w:val="20"/>
                <w:szCs w:val="20"/>
              </w:rPr>
              <w:t xml:space="preserve">0.507</w:t>
            </w:r>
          </w:p>
        </w:tc>
        <w:tc>
          <w:tcPr>
            <w:tcW w:type="dxa" w:w="1500"/>
            <w:tcMar>
              <w:top w:type="dxa" w:w="80"/>
              <w:left w:type="dxa" w:w="120"/>
              <w:bottom w:type="dxa" w:w="80"/>
              <w:right w:type="dxa" w:w="120"/>
            </w:tcMar>
          </w:tcPr>
          <w:p>
            <w:pPr>
              <w:jc w:val="left"/>
            </w:pPr>
            <w:r>
              <w:rPr>
                <w:b w:val="false"/>
                <w:bCs w:val="false"/>
                <w:color w:val="000000"/>
                <w:sz w:val="20"/>
                <w:szCs w:val="20"/>
              </w:rPr>
              <w:t xml:space="preserve">0.786</w:t>
            </w:r>
          </w:p>
        </w:tc>
        <w:tc>
          <w:tcPr>
            <w:tcW w:type="dxa" w:w="1300"/>
            <w:tcMar>
              <w:top w:type="dxa" w:w="80"/>
              <w:left w:type="dxa" w:w="120"/>
              <w:bottom w:type="dxa" w:w="80"/>
              <w:right w:type="dxa" w:w="120"/>
            </w:tcMar>
          </w:tcPr>
          <w:p>
            <w:pPr>
              <w:jc w:val="left"/>
            </w:pPr>
            <w:r>
              <w:rPr>
                <w:b w:val="false"/>
                <w:bCs w:val="false"/>
                <w:color w:val="000000"/>
                <w:sz w:val="20"/>
                <w:szCs w:val="20"/>
              </w:rPr>
              <w:t xml:space="preserve">0.616</w:t>
            </w:r>
          </w:p>
        </w:tc>
      </w:tr>
      <w:tr>
        <w:tc>
          <w:tcPr>
            <w:tcW w:type="dxa" w:w="2900"/>
            <w:tcMar>
              <w:top w:type="dxa" w:w="80"/>
              <w:left w:type="dxa" w:w="120"/>
              <w:bottom w:type="dxa" w:w="80"/>
              <w:right w:type="dxa" w:w="120"/>
            </w:tcMar>
          </w:tcPr>
          <w:p>
            <w:pPr>
              <w:jc w:val="left"/>
            </w:pPr>
            <w:r>
              <w:rPr>
                <w:b w:val="false"/>
                <w:bCs w:val="false"/>
                <w:color w:val="000000"/>
                <w:sz w:val="20"/>
                <w:szCs w:val="20"/>
              </w:rPr>
              <w:t xml:space="preserve">Decision Tree</w:t>
            </w:r>
          </w:p>
        </w:tc>
        <w:tc>
          <w:tcPr>
            <w:tcW w:type="dxa" w:w="1000"/>
            <w:tcMar>
              <w:top w:type="dxa" w:w="80"/>
              <w:left w:type="dxa" w:w="120"/>
              <w:bottom w:type="dxa" w:w="80"/>
              <w:right w:type="dxa" w:w="120"/>
            </w:tcMar>
          </w:tcPr>
          <w:p>
            <w:pPr>
              <w:jc w:val="left"/>
            </w:pPr>
            <w:r>
              <w:rPr>
                <w:b w:val="false"/>
                <w:bCs w:val="false"/>
                <w:color w:val="000000"/>
                <w:sz w:val="20"/>
                <w:szCs w:val="20"/>
              </w:rPr>
              <w:t xml:space="preserve">0.722</w:t>
            </w:r>
          </w:p>
        </w:tc>
        <w:tc>
          <w:tcPr>
            <w:tcW w:type="dxa" w:w="1600"/>
            <w:tcMar>
              <w:top w:type="dxa" w:w="80"/>
              <w:left w:type="dxa" w:w="120"/>
              <w:bottom w:type="dxa" w:w="80"/>
              <w:right w:type="dxa" w:w="120"/>
            </w:tcMar>
          </w:tcPr>
          <w:p>
            <w:pPr>
              <w:jc w:val="left"/>
            </w:pPr>
            <w:r>
              <w:rPr>
                <w:b w:val="false"/>
                <w:bCs w:val="false"/>
                <w:color w:val="000000"/>
                <w:sz w:val="20"/>
                <w:szCs w:val="20"/>
              </w:rPr>
              <w:t xml:space="preserve">0.477</w:t>
            </w:r>
          </w:p>
        </w:tc>
        <w:tc>
          <w:tcPr>
            <w:tcW w:type="dxa" w:w="1500"/>
            <w:tcMar>
              <w:top w:type="dxa" w:w="80"/>
              <w:left w:type="dxa" w:w="120"/>
              <w:bottom w:type="dxa" w:w="80"/>
              <w:right w:type="dxa" w:w="120"/>
            </w:tcMar>
          </w:tcPr>
          <w:p>
            <w:pPr>
              <w:jc w:val="left"/>
            </w:pPr>
            <w:r>
              <w:rPr>
                <w:b w:val="false"/>
                <w:bCs w:val="false"/>
                <w:color w:val="000000"/>
                <w:sz w:val="20"/>
                <w:szCs w:val="20"/>
              </w:rPr>
              <w:t xml:space="preserve">0.497</w:t>
            </w:r>
          </w:p>
        </w:tc>
        <w:tc>
          <w:tcPr>
            <w:tcW w:type="dxa" w:w="1300"/>
            <w:tcMar>
              <w:top w:type="dxa" w:w="80"/>
              <w:left w:type="dxa" w:w="120"/>
              <w:bottom w:type="dxa" w:w="80"/>
              <w:right w:type="dxa" w:w="120"/>
            </w:tcMar>
          </w:tcPr>
          <w:p>
            <w:pPr>
              <w:jc w:val="left"/>
            </w:pPr>
            <w:r>
              <w:rPr>
                <w:b w:val="false"/>
                <w:bCs w:val="false"/>
                <w:color w:val="000000"/>
                <w:sz w:val="20"/>
                <w:szCs w:val="20"/>
              </w:rPr>
              <w:t xml:space="preserve">0.487</w:t>
            </w:r>
          </w:p>
        </w:tc>
      </w:tr>
      <w:tr>
        <w:tc>
          <w:tcPr>
            <w:tcW w:type="dxa" w:w="2900"/>
            <w:tcMar>
              <w:top w:type="dxa" w:w="80"/>
              <w:left w:type="dxa" w:w="120"/>
              <w:bottom w:type="dxa" w:w="80"/>
              <w:right w:type="dxa" w:w="120"/>
            </w:tcMar>
          </w:tcPr>
          <w:p>
            <w:pPr>
              <w:jc w:val="left"/>
            </w:pPr>
            <w:r>
              <w:rPr>
                <w:b w:val="false"/>
                <w:bCs w:val="false"/>
                <w:color w:val="000000"/>
                <w:sz w:val="20"/>
                <w:szCs w:val="20"/>
              </w:rPr>
              <w:t xml:space="preserve">Decision Tree (balanced, depth=5)</w:t>
            </w:r>
          </w:p>
        </w:tc>
        <w:tc>
          <w:tcPr>
            <w:tcW w:type="dxa" w:w="1000"/>
            <w:tcMar>
              <w:top w:type="dxa" w:w="80"/>
              <w:left w:type="dxa" w:w="120"/>
              <w:bottom w:type="dxa" w:w="80"/>
              <w:right w:type="dxa" w:w="120"/>
            </w:tcMar>
          </w:tcPr>
          <w:p>
            <w:pPr>
              <w:jc w:val="left"/>
            </w:pPr>
            <w:r>
              <w:rPr>
                <w:b w:val="false"/>
                <w:bCs w:val="false"/>
                <w:color w:val="000000"/>
                <w:sz w:val="20"/>
                <w:szCs w:val="20"/>
              </w:rPr>
              <w:t xml:space="preserve">0.754</w:t>
            </w:r>
          </w:p>
        </w:tc>
        <w:tc>
          <w:tcPr>
            <w:tcW w:type="dxa" w:w="1600"/>
            <w:tcMar>
              <w:top w:type="dxa" w:w="80"/>
              <w:left w:type="dxa" w:w="120"/>
              <w:bottom w:type="dxa" w:w="80"/>
              <w:right w:type="dxa" w:w="120"/>
            </w:tcMar>
          </w:tcPr>
          <w:p>
            <w:pPr>
              <w:jc w:val="left"/>
            </w:pPr>
            <w:r>
              <w:rPr>
                <w:b w:val="false"/>
                <w:bCs w:val="false"/>
                <w:color w:val="000000"/>
                <w:sz w:val="20"/>
                <w:szCs w:val="20"/>
              </w:rPr>
              <w:t xml:space="preserve">0.526</w:t>
            </w:r>
          </w:p>
        </w:tc>
        <w:tc>
          <w:tcPr>
            <w:tcW w:type="dxa" w:w="1500"/>
            <w:tcMar>
              <w:top w:type="dxa" w:w="80"/>
              <w:left w:type="dxa" w:w="120"/>
              <w:bottom w:type="dxa" w:w="80"/>
              <w:right w:type="dxa" w:w="120"/>
            </w:tcMar>
          </w:tcPr>
          <w:p>
            <w:pPr>
              <w:jc w:val="left"/>
            </w:pPr>
            <w:r>
              <w:rPr>
                <w:b w:val="false"/>
                <w:bCs w:val="false"/>
                <w:color w:val="000000"/>
                <w:sz w:val="20"/>
                <w:szCs w:val="20"/>
              </w:rPr>
              <w:t xml:space="preserve">0.757</w:t>
            </w:r>
          </w:p>
        </w:tc>
        <w:tc>
          <w:tcPr>
            <w:tcW w:type="dxa" w:w="1300"/>
            <w:tcMar>
              <w:top w:type="dxa" w:w="80"/>
              <w:left w:type="dxa" w:w="120"/>
              <w:bottom w:type="dxa" w:w="80"/>
              <w:right w:type="dxa" w:w="120"/>
            </w:tcMar>
          </w:tcPr>
          <w:p>
            <w:pPr>
              <w:jc w:val="left"/>
            </w:pPr>
            <w:r>
              <w:rPr>
                <w:b w:val="false"/>
                <w:bCs w:val="false"/>
                <w:color w:val="000000"/>
                <w:sz w:val="20"/>
                <w:szCs w:val="20"/>
              </w:rPr>
              <w:t xml:space="preserve">0.621</w:t>
            </w:r>
          </w:p>
        </w:tc>
      </w:tr>
      <w:tr>
        <w:tc>
          <w:tcPr>
            <w:tcW w:type="dxa" w:w="2900"/>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1000"/>
            <w:tcMar>
              <w:top w:type="dxa" w:w="80"/>
              <w:left w:type="dxa" w:w="120"/>
              <w:bottom w:type="dxa" w:w="80"/>
              <w:right w:type="dxa" w:w="120"/>
            </w:tcMar>
          </w:tcPr>
          <w:p>
            <w:pPr>
              <w:jc w:val="left"/>
            </w:pPr>
            <w:r>
              <w:rPr>
                <w:b w:val="false"/>
                <w:bCs w:val="false"/>
                <w:color w:val="000000"/>
                <w:sz w:val="20"/>
                <w:szCs w:val="20"/>
              </w:rPr>
              <w:t xml:space="preserve">0.784</w:t>
            </w:r>
          </w:p>
        </w:tc>
        <w:tc>
          <w:tcPr>
            <w:tcW w:type="dxa" w:w="1600"/>
            <w:tcMar>
              <w:top w:type="dxa" w:w="80"/>
              <w:left w:type="dxa" w:w="120"/>
              <w:bottom w:type="dxa" w:w="80"/>
              <w:right w:type="dxa" w:w="120"/>
            </w:tcMar>
          </w:tcPr>
          <w:p>
            <w:pPr>
              <w:jc w:val="left"/>
            </w:pPr>
            <w:r>
              <w:rPr>
                <w:b w:val="false"/>
                <w:bCs w:val="false"/>
                <w:color w:val="000000"/>
                <w:sz w:val="20"/>
                <w:szCs w:val="20"/>
              </w:rPr>
              <w:t xml:space="preserve">0.616</w:t>
            </w:r>
          </w:p>
        </w:tc>
        <w:tc>
          <w:tcPr>
            <w:tcW w:type="dxa" w:w="1500"/>
            <w:tcMar>
              <w:top w:type="dxa" w:w="80"/>
              <w:left w:type="dxa" w:w="120"/>
              <w:bottom w:type="dxa" w:w="80"/>
              <w:right w:type="dxa" w:w="120"/>
            </w:tcMar>
          </w:tcPr>
          <w:p>
            <w:pPr>
              <w:jc w:val="left"/>
            </w:pPr>
            <w:r>
              <w:rPr>
                <w:b w:val="false"/>
                <w:bCs w:val="false"/>
                <w:color w:val="000000"/>
                <w:sz w:val="20"/>
                <w:szCs w:val="20"/>
              </w:rPr>
              <w:t xml:space="preserve">0.489</w:t>
            </w:r>
          </w:p>
        </w:tc>
        <w:tc>
          <w:tcPr>
            <w:tcW w:type="dxa" w:w="1300"/>
            <w:tcMar>
              <w:top w:type="dxa" w:w="80"/>
              <w:left w:type="dxa" w:w="120"/>
              <w:bottom w:type="dxa" w:w="80"/>
              <w:right w:type="dxa" w:w="120"/>
            </w:tcMar>
          </w:tcPr>
          <w:p>
            <w:pPr>
              <w:jc w:val="left"/>
            </w:pPr>
            <w:r>
              <w:rPr>
                <w:b w:val="false"/>
                <w:bCs w:val="false"/>
                <w:color w:val="000000"/>
                <w:sz w:val="20"/>
                <w:szCs w:val="20"/>
              </w:rPr>
              <w:t xml:space="preserve">0.545</w:t>
            </w:r>
          </w:p>
        </w:tc>
      </w:tr>
      <w:tr>
        <w:tc>
          <w:tcPr>
            <w:tcW w:type="dxa" w:w="2900"/>
            <w:tcMar>
              <w:top w:type="dxa" w:w="80"/>
              <w:left w:type="dxa" w:w="120"/>
              <w:bottom w:type="dxa" w:w="80"/>
              <w:right w:type="dxa" w:w="120"/>
            </w:tcMar>
          </w:tcPr>
          <w:p>
            <w:pPr>
              <w:jc w:val="left"/>
            </w:pPr>
            <w:r>
              <w:rPr>
                <w:b w:val="false"/>
                <w:bCs w:val="false"/>
                <w:color w:val="000000"/>
                <w:sz w:val="20"/>
                <w:szCs w:val="20"/>
              </w:rPr>
              <w:t xml:space="preserve">Random Forest (balanced, depth=5)</w:t>
            </w:r>
          </w:p>
        </w:tc>
        <w:tc>
          <w:tcPr>
            <w:tcW w:type="dxa" w:w="1000"/>
            <w:tcMar>
              <w:top w:type="dxa" w:w="80"/>
              <w:left w:type="dxa" w:w="120"/>
              <w:bottom w:type="dxa" w:w="80"/>
              <w:right w:type="dxa" w:w="120"/>
            </w:tcMar>
          </w:tcPr>
          <w:p>
            <w:pPr>
              <w:jc w:val="left"/>
            </w:pPr>
            <w:r>
              <w:rPr>
                <w:b w:val="false"/>
                <w:bCs w:val="false"/>
                <w:color w:val="000000"/>
                <w:sz w:val="20"/>
                <w:szCs w:val="20"/>
              </w:rPr>
              <w:t xml:space="preserve">0.732</w:t>
            </w:r>
          </w:p>
        </w:tc>
        <w:tc>
          <w:tcPr>
            <w:tcW w:type="dxa" w:w="1600"/>
            <w:tcMar>
              <w:top w:type="dxa" w:w="80"/>
              <w:left w:type="dxa" w:w="120"/>
              <w:bottom w:type="dxa" w:w="80"/>
              <w:right w:type="dxa" w:w="120"/>
            </w:tcMar>
          </w:tcPr>
          <w:p>
            <w:pPr>
              <w:jc w:val="left"/>
            </w:pPr>
            <w:r>
              <w:rPr>
                <w:b w:val="false"/>
                <w:bCs w:val="false"/>
                <w:color w:val="000000"/>
                <w:sz w:val="20"/>
                <w:szCs w:val="20"/>
              </w:rPr>
              <w:t xml:space="preserve">0.498</w:t>
            </w:r>
          </w:p>
        </w:tc>
        <w:tc>
          <w:tcPr>
            <w:tcW w:type="dxa" w:w="1500"/>
            <w:tcMar>
              <w:top w:type="dxa" w:w="80"/>
              <w:left w:type="dxa" w:w="120"/>
              <w:bottom w:type="dxa" w:w="80"/>
              <w:right w:type="dxa" w:w="120"/>
            </w:tcMar>
          </w:tcPr>
          <w:p>
            <w:pPr>
              <w:jc w:val="left"/>
            </w:pPr>
            <w:r>
              <w:rPr>
                <w:b w:val="false"/>
                <w:bCs w:val="false"/>
                <w:color w:val="000000"/>
                <w:sz w:val="20"/>
                <w:szCs w:val="20"/>
              </w:rPr>
              <w:t xml:space="preserve">0.799</w:t>
            </w:r>
          </w:p>
        </w:tc>
        <w:tc>
          <w:tcPr>
            <w:tcW w:type="dxa" w:w="1300"/>
            <w:tcMar>
              <w:top w:type="dxa" w:w="80"/>
              <w:left w:type="dxa" w:w="120"/>
              <w:bottom w:type="dxa" w:w="80"/>
              <w:right w:type="dxa" w:w="120"/>
            </w:tcMar>
          </w:tcPr>
          <w:p>
            <w:pPr>
              <w:jc w:val="left"/>
            </w:pPr>
            <w:r>
              <w:rPr>
                <w:b w:val="false"/>
                <w:bCs w:val="false"/>
                <w:color w:val="000000"/>
                <w:sz w:val="20"/>
                <w:szCs w:val="20"/>
              </w:rPr>
              <w:t xml:space="preserve">0.613</w:t>
            </w:r>
          </w:p>
        </w:tc>
      </w:tr>
    </w:tbl>
    <w:p>
      <w:pPr>
        <w:spacing w:after="160" w:line="300"/>
      </w:pPr>
      <w:r>
        <w:t xml:space="preserve">The class imbalance was clearly visible in the raw models: the plain Logistic Regression missed 43% of actual churners (recall 0.57) despite a respectable 80.7% accuracy. Applying class_weight='balanced' traded accuracy for a large recall gain, confirming that a single default-threshold model could not serve every business need equally well.</w:t>
      </w:r>
    </w:p>
    <w:p>
      <w:pPr>
        <w:pStyle w:val="Heading2"/>
        <w:spacing w:after="160" w:before="320"/>
      </w:pPr>
      <w:r>
        <w:t xml:space="preserve">6.2 Hyperparameter Tuning — Three Strategies</w:t>
      </w:r>
    </w:p>
    <w:p>
      <w:pPr>
        <w:spacing w:after="160" w:line="300"/>
      </w:pPr>
      <w:r>
        <w:t xml:space="preserve">Rather than optimize one metric, GridSearchCV (5-fold CV) was run three times per algorithm using custom scorers, producing three purpose-built models:</w:t>
      </w:r>
    </w:p>
    <w:p>
      <w:pPr>
        <w:pStyle w:val="ListParagraph"/>
        <w:numPr>
          <w:ilvl w:val="0"/>
          <w:numId w:val="1"/>
        </w:numPr>
        <w:spacing w:after="80" w:line="280"/>
      </w:pPr>
      <w:r>
        <w:rPr>
          <w:b/>
          <w:bCs/>
        </w:rPr>
        <w:t xml:space="preserve">Accuracy — scored on F1 for the churn class, balancing precision and recall for general-purpose use.</w:t>
      </w:r>
    </w:p>
    <w:p>
      <w:pPr>
        <w:pStyle w:val="ListParagraph"/>
        <w:numPr>
          <w:ilvl w:val="0"/>
          <w:numId w:val="1"/>
        </w:numPr>
        <w:spacing w:after="80" w:line="280"/>
      </w:pPr>
      <w:r>
        <w:rPr>
          <w:b/>
          <w:bCs/>
        </w:rPr>
        <w:t xml:space="preserve">Aggressive — scored on recall for the churn class, tuned to catch as many true churners as possible even at the cost of more false alarms.</w:t>
      </w:r>
    </w:p>
    <w:p>
      <w:pPr>
        <w:pStyle w:val="ListParagraph"/>
        <w:numPr>
          <w:ilvl w:val="0"/>
          <w:numId w:val="1"/>
        </w:numPr>
        <w:spacing w:after="80" w:line="280"/>
      </w:pPr>
      <w:r>
        <w:rPr>
          <w:b/>
          <w:bCs/>
        </w:rPr>
        <w:t xml:space="preserve">Defensive — scored on precision for the churn class, tuned to minimize false positives so retention offers are only sent to customers genuinely likely to leave.</w:t>
      </w:r>
    </w:p>
    <w:p>
      <w:pPr>
        <w:spacing w:after="160" w:line="300"/>
      </w:pPr>
      <w:r>
        <w:t xml:space="preserve">Final tuned models (evaluated on the untouched test set) and the ones shipped to the dashboard: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300"/>
        <w:gridCol w:w="1800"/>
        <w:gridCol w:w="1500"/>
        <w:gridCol w:w="1400"/>
      </w:tblGrid>
      <w:tr>
        <w:trPr>
          <w:tblHeader/>
        </w:trPr>
        <w:tc>
          <w:tcPr>
            <w:tcW w:type="dxa" w:w="1600"/>
            <w:shd w:fill="1F3864" w:val="clear"/>
            <w:tcMar>
              <w:top w:type="dxa" w:w="80"/>
              <w:left w:type="dxa" w:w="120"/>
              <w:bottom w:type="dxa" w:w="80"/>
              <w:right w:type="dxa" w:w="120"/>
            </w:tcMar>
          </w:tcPr>
          <w:p>
            <w:pPr>
              <w:jc w:val="left"/>
            </w:pPr>
            <w:r>
              <w:rPr>
                <w:b/>
                <w:bCs/>
                <w:color w:val="FFFFFF"/>
                <w:sz w:val="20"/>
                <w:szCs w:val="20"/>
              </w:rPr>
              <w:t xml:space="preserve">Strategy</w:t>
            </w:r>
          </w:p>
        </w:tc>
        <w:tc>
          <w:tcPr>
            <w:tcW w:type="dxa" w:w="2600"/>
            <w:shd w:fill="1F3864" w:val="clear"/>
            <w:tcMar>
              <w:top w:type="dxa" w:w="80"/>
              <w:left w:type="dxa" w:w="120"/>
              <w:bottom w:type="dxa" w:w="80"/>
              <w:right w:type="dxa" w:w="120"/>
            </w:tcMar>
          </w:tcPr>
          <w:p>
            <w:pPr>
              <w:jc w:val="left"/>
            </w:pPr>
            <w:r>
              <w:rPr>
                <w:b/>
                <w:bCs/>
                <w:color w:val="FFFFFF"/>
                <w:sz w:val="20"/>
                <w:szCs w:val="20"/>
              </w:rPr>
              <w:t xml:space="preserve">Algorithm</w:t>
            </w:r>
          </w:p>
        </w:tc>
        <w:tc>
          <w:tcPr>
            <w:tcW w:type="dxa" w:w="1300"/>
            <w:shd w:fill="1F3864" w:val="clear"/>
            <w:tcMar>
              <w:top w:type="dxa" w:w="80"/>
              <w:left w:type="dxa" w:w="120"/>
              <w:bottom w:type="dxa" w:w="80"/>
              <w:right w:type="dxa" w:w="120"/>
            </w:tcMar>
          </w:tcPr>
          <w:p>
            <w:pPr>
              <w:jc w:val="left"/>
            </w:pPr>
            <w:r>
              <w:rPr>
                <w:b/>
                <w:bCs/>
                <w:color w:val="FFFFFF"/>
                <w:sz w:val="20"/>
                <w:szCs w:val="20"/>
              </w:rPr>
              <w:t xml:space="preserve">Accuracy</w:t>
            </w:r>
          </w:p>
        </w:tc>
        <w:tc>
          <w:tcPr>
            <w:tcW w:type="dxa" w:w="1800"/>
            <w:shd w:fill="1F3864" w:val="clear"/>
            <w:tcMar>
              <w:top w:type="dxa" w:w="80"/>
              <w:left w:type="dxa" w:w="120"/>
              <w:bottom w:type="dxa" w:w="80"/>
              <w:right w:type="dxa" w:w="120"/>
            </w:tcMar>
          </w:tcPr>
          <w:p>
            <w:pPr>
              <w:jc w:val="left"/>
            </w:pPr>
            <w:r>
              <w:rPr>
                <w:b/>
                <w:bCs/>
                <w:color w:val="FFFFFF"/>
                <w:sz w:val="20"/>
                <w:szCs w:val="20"/>
              </w:rPr>
              <w:t xml:space="preserve">Precision (Churn)</w:t>
            </w:r>
          </w:p>
        </w:tc>
        <w:tc>
          <w:tcPr>
            <w:tcW w:type="dxa" w:w="1500"/>
            <w:shd w:fill="1F3864" w:val="clear"/>
            <w:tcMar>
              <w:top w:type="dxa" w:w="80"/>
              <w:left w:type="dxa" w:w="120"/>
              <w:bottom w:type="dxa" w:w="80"/>
              <w:right w:type="dxa" w:w="120"/>
            </w:tcMar>
          </w:tcPr>
          <w:p>
            <w:pPr>
              <w:jc w:val="left"/>
            </w:pPr>
            <w:r>
              <w:rPr>
                <w:b/>
                <w:bCs/>
                <w:color w:val="FFFFFF"/>
                <w:sz w:val="20"/>
                <w:szCs w:val="20"/>
              </w:rPr>
              <w:t xml:space="preserve">Recall (Churn)</w:t>
            </w:r>
          </w:p>
        </w:tc>
        <w:tc>
          <w:tcPr>
            <w:tcW w:type="dxa" w:w="1400"/>
            <w:shd w:fill="1F3864" w:val="clear"/>
            <w:tcMar>
              <w:top w:type="dxa" w:w="80"/>
              <w:left w:type="dxa" w:w="120"/>
              <w:bottom w:type="dxa" w:w="80"/>
              <w:right w:type="dxa" w:w="120"/>
            </w:tcMar>
          </w:tcPr>
          <w:p>
            <w:pPr>
              <w:jc w:val="left"/>
            </w:pPr>
            <w:r>
              <w:rPr>
                <w:b/>
                <w:bCs/>
                <w:color w:val="FFFFFF"/>
                <w:sz w:val="20"/>
                <w:szCs w:val="20"/>
              </w:rPr>
              <w:t xml:space="preserve">F1 (Churn)</w:t>
            </w:r>
          </w:p>
        </w:tc>
      </w:tr>
      <w:tr>
        <w:tc>
          <w:tcPr>
            <w:tcW w:type="dxa" w:w="1600"/>
            <w:tcMar>
              <w:top w:type="dxa" w:w="80"/>
              <w:left w:type="dxa" w:w="120"/>
              <w:bottom w:type="dxa" w:w="80"/>
              <w:right w:type="dxa" w:w="120"/>
            </w:tcMar>
          </w:tcPr>
          <w:p>
            <w:pPr>
              <w:jc w:val="left"/>
            </w:pPr>
            <w:r>
              <w:rPr>
                <w:b w:val="false"/>
                <w:bCs w:val="false"/>
                <w:color w:val="000000"/>
                <w:sz w:val="20"/>
                <w:szCs w:val="20"/>
              </w:rPr>
              <w:t xml:space="preserve">Accuracy</w:t>
            </w:r>
          </w:p>
        </w:tc>
        <w:tc>
          <w:tcPr>
            <w:tcW w:type="dxa" w:w="2600"/>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1300"/>
            <w:tcMar>
              <w:top w:type="dxa" w:w="80"/>
              <w:left w:type="dxa" w:w="120"/>
              <w:bottom w:type="dxa" w:w="80"/>
              <w:right w:type="dxa" w:w="120"/>
            </w:tcMar>
          </w:tcPr>
          <w:p>
            <w:pPr>
              <w:jc w:val="left"/>
            </w:pPr>
            <w:r>
              <w:rPr>
                <w:b w:val="false"/>
                <w:bCs w:val="false"/>
                <w:color w:val="000000"/>
                <w:sz w:val="20"/>
                <w:szCs w:val="20"/>
              </w:rPr>
              <w:t xml:space="preserve">0.75</w:t>
            </w:r>
          </w:p>
        </w:tc>
        <w:tc>
          <w:tcPr>
            <w:tcW w:type="dxa" w:w="1800"/>
            <w:tcMar>
              <w:top w:type="dxa" w:w="80"/>
              <w:left w:type="dxa" w:w="120"/>
              <w:bottom w:type="dxa" w:w="80"/>
              <w:right w:type="dxa" w:w="120"/>
            </w:tcMar>
          </w:tcPr>
          <w:p>
            <w:pPr>
              <w:jc w:val="left"/>
            </w:pPr>
            <w:r>
              <w:rPr>
                <w:b w:val="false"/>
                <w:bCs w:val="false"/>
                <w:color w:val="000000"/>
                <w:sz w:val="20"/>
                <w:szCs w:val="20"/>
              </w:rPr>
              <w:t xml:space="preserve">0.52</w:t>
            </w:r>
          </w:p>
        </w:tc>
        <w:tc>
          <w:tcPr>
            <w:tcW w:type="dxa" w:w="1500"/>
            <w:tcMar>
              <w:top w:type="dxa" w:w="80"/>
              <w:left w:type="dxa" w:w="120"/>
              <w:bottom w:type="dxa" w:w="80"/>
              <w:right w:type="dxa" w:w="120"/>
            </w:tcMar>
          </w:tcPr>
          <w:p>
            <w:pPr>
              <w:jc w:val="left"/>
            </w:pPr>
            <w:r>
              <w:rPr>
                <w:b w:val="false"/>
                <w:bCs w:val="false"/>
                <w:color w:val="000000"/>
                <w:sz w:val="20"/>
                <w:szCs w:val="20"/>
              </w:rPr>
              <w:t xml:space="preserve">0.80</w:t>
            </w:r>
          </w:p>
        </w:tc>
        <w:tc>
          <w:tcPr>
            <w:tcW w:type="dxa" w:w="1400"/>
            <w:tcMar>
              <w:top w:type="dxa" w:w="80"/>
              <w:left w:type="dxa" w:w="120"/>
              <w:bottom w:type="dxa" w:w="80"/>
              <w:right w:type="dxa" w:w="120"/>
            </w:tcMar>
          </w:tcPr>
          <w:p>
            <w:pPr>
              <w:jc w:val="left"/>
            </w:pPr>
            <w:r>
              <w:rPr>
                <w:b w:val="false"/>
                <w:bCs w:val="false"/>
                <w:color w:val="000000"/>
                <w:sz w:val="20"/>
                <w:szCs w:val="20"/>
              </w:rPr>
              <w:t xml:space="preserve">0.63</w:t>
            </w:r>
          </w:p>
        </w:tc>
      </w:tr>
      <w:tr>
        <w:tc>
          <w:tcPr>
            <w:tcW w:type="dxa" w:w="1600"/>
            <w:tcMar>
              <w:top w:type="dxa" w:w="80"/>
              <w:left w:type="dxa" w:w="120"/>
              <w:bottom w:type="dxa" w:w="80"/>
              <w:right w:type="dxa" w:w="120"/>
            </w:tcMar>
          </w:tcPr>
          <w:p>
            <w:pPr>
              <w:jc w:val="left"/>
            </w:pPr>
            <w:r>
              <w:rPr>
                <w:b w:val="false"/>
                <w:bCs w:val="false"/>
                <w:color w:val="000000"/>
                <w:sz w:val="20"/>
                <w:szCs w:val="20"/>
              </w:rPr>
              <w:t xml:space="preserve">Aggressive</w:t>
            </w:r>
          </w:p>
        </w:tc>
        <w:tc>
          <w:tcPr>
            <w:tcW w:type="dxa" w:w="2600"/>
            <w:tcMar>
              <w:top w:type="dxa" w:w="80"/>
              <w:left w:type="dxa" w:w="120"/>
              <w:bottom w:type="dxa" w:w="80"/>
              <w:right w:type="dxa" w:w="120"/>
            </w:tcMar>
          </w:tcPr>
          <w:p>
            <w:pPr>
              <w:jc w:val="left"/>
            </w:pPr>
            <w:r>
              <w:rPr>
                <w:b w:val="false"/>
                <w:bCs w:val="false"/>
                <w:color w:val="000000"/>
                <w:sz w:val="20"/>
                <w:szCs w:val="20"/>
              </w:rPr>
              <w:t xml:space="preserve">Logistic Regression (balanced)</w:t>
            </w:r>
          </w:p>
        </w:tc>
        <w:tc>
          <w:tcPr>
            <w:tcW w:type="dxa" w:w="1300"/>
            <w:tcMar>
              <w:top w:type="dxa" w:w="80"/>
              <w:left w:type="dxa" w:w="120"/>
              <w:bottom w:type="dxa" w:w="80"/>
              <w:right w:type="dxa" w:w="120"/>
            </w:tcMar>
          </w:tcPr>
          <w:p>
            <w:pPr>
              <w:jc w:val="left"/>
            </w:pPr>
            <w:r>
              <w:rPr>
                <w:b w:val="false"/>
                <w:bCs w:val="false"/>
                <w:color w:val="000000"/>
                <w:sz w:val="20"/>
                <w:szCs w:val="20"/>
              </w:rPr>
              <w:t xml:space="preserve">0.74</w:t>
            </w:r>
          </w:p>
        </w:tc>
        <w:tc>
          <w:tcPr>
            <w:tcW w:type="dxa" w:w="1800"/>
            <w:tcMar>
              <w:top w:type="dxa" w:w="80"/>
              <w:left w:type="dxa" w:w="120"/>
              <w:bottom w:type="dxa" w:w="80"/>
              <w:right w:type="dxa" w:w="120"/>
            </w:tcMar>
          </w:tcPr>
          <w:p>
            <w:pPr>
              <w:jc w:val="left"/>
            </w:pPr>
            <w:r>
              <w:rPr>
                <w:b w:val="false"/>
                <w:bCs w:val="false"/>
                <w:color w:val="000000"/>
                <w:sz w:val="20"/>
                <w:szCs w:val="20"/>
              </w:rPr>
              <w:t xml:space="preserve">0.51</w:t>
            </w:r>
          </w:p>
        </w:tc>
        <w:tc>
          <w:tcPr>
            <w:tcW w:type="dxa" w:w="1500"/>
            <w:tcMar>
              <w:top w:type="dxa" w:w="80"/>
              <w:left w:type="dxa" w:w="120"/>
              <w:bottom w:type="dxa" w:w="80"/>
              <w:right w:type="dxa" w:w="120"/>
            </w:tcMar>
          </w:tcPr>
          <w:p>
            <w:pPr>
              <w:jc w:val="left"/>
            </w:pPr>
            <w:r>
              <w:rPr>
                <w:b w:val="false"/>
                <w:bCs w:val="false"/>
                <w:color w:val="000000"/>
                <w:sz w:val="20"/>
                <w:szCs w:val="20"/>
              </w:rPr>
              <w:t xml:space="preserve">0.78</w:t>
            </w:r>
          </w:p>
        </w:tc>
        <w:tc>
          <w:tcPr>
            <w:tcW w:type="dxa" w:w="1400"/>
            <w:tcMar>
              <w:top w:type="dxa" w:w="80"/>
              <w:left w:type="dxa" w:w="120"/>
              <w:bottom w:type="dxa" w:w="80"/>
              <w:right w:type="dxa" w:w="120"/>
            </w:tcMar>
          </w:tcPr>
          <w:p>
            <w:pPr>
              <w:jc w:val="left"/>
            </w:pPr>
            <w:r>
              <w:rPr>
                <w:b w:val="false"/>
                <w:bCs w:val="false"/>
                <w:color w:val="000000"/>
                <w:sz w:val="20"/>
                <w:szCs w:val="20"/>
              </w:rPr>
              <w:t xml:space="preserve">0.62</w:t>
            </w:r>
          </w:p>
        </w:tc>
      </w:tr>
      <w:tr>
        <w:tc>
          <w:tcPr>
            <w:tcW w:type="dxa" w:w="1600"/>
            <w:tcMar>
              <w:top w:type="dxa" w:w="80"/>
              <w:left w:type="dxa" w:w="120"/>
              <w:bottom w:type="dxa" w:w="80"/>
              <w:right w:type="dxa" w:w="120"/>
            </w:tcMar>
          </w:tcPr>
          <w:p>
            <w:pPr>
              <w:jc w:val="left"/>
            </w:pPr>
            <w:r>
              <w:rPr>
                <w:b w:val="false"/>
                <w:bCs w:val="false"/>
                <w:color w:val="000000"/>
                <w:sz w:val="20"/>
                <w:szCs w:val="20"/>
              </w:rPr>
              <w:t xml:space="preserve">Defensive</w:t>
            </w:r>
          </w:p>
        </w:tc>
        <w:tc>
          <w:tcPr>
            <w:tcW w:type="dxa" w:w="2600"/>
            <w:tcMar>
              <w:top w:type="dxa" w:w="80"/>
              <w:left w:type="dxa" w:w="120"/>
              <w:bottom w:type="dxa" w:w="80"/>
              <w:right w:type="dxa" w:w="120"/>
            </w:tcMar>
          </w:tcPr>
          <w:p>
            <w:pPr>
              <w:jc w:val="left"/>
            </w:pPr>
            <w:r>
              <w:rPr>
                <w:b w:val="false"/>
                <w:bCs w:val="false"/>
                <w:color w:val="000000"/>
                <w:sz w:val="20"/>
                <w:szCs w:val="20"/>
              </w:rPr>
              <w:t xml:space="preserve">Random Forest</w:t>
            </w:r>
          </w:p>
        </w:tc>
        <w:tc>
          <w:tcPr>
            <w:tcW w:type="dxa" w:w="1300"/>
            <w:tcMar>
              <w:top w:type="dxa" w:w="80"/>
              <w:left w:type="dxa" w:w="120"/>
              <w:bottom w:type="dxa" w:w="80"/>
              <w:right w:type="dxa" w:w="120"/>
            </w:tcMar>
          </w:tcPr>
          <w:p>
            <w:pPr>
              <w:jc w:val="left"/>
            </w:pPr>
            <w:r>
              <w:rPr>
                <w:b w:val="false"/>
                <w:bCs w:val="false"/>
                <w:color w:val="000000"/>
                <w:sz w:val="20"/>
                <w:szCs w:val="20"/>
              </w:rPr>
              <w:t xml:space="preserve">0.80</w:t>
            </w:r>
          </w:p>
        </w:tc>
        <w:tc>
          <w:tcPr>
            <w:tcW w:type="dxa" w:w="1800"/>
            <w:tcMar>
              <w:top w:type="dxa" w:w="80"/>
              <w:left w:type="dxa" w:w="120"/>
              <w:bottom w:type="dxa" w:w="80"/>
              <w:right w:type="dxa" w:w="120"/>
            </w:tcMar>
          </w:tcPr>
          <w:p>
            <w:pPr>
              <w:jc w:val="left"/>
            </w:pPr>
            <w:r>
              <w:rPr>
                <w:b w:val="false"/>
                <w:bCs w:val="false"/>
                <w:color w:val="000000"/>
                <w:sz w:val="20"/>
                <w:szCs w:val="20"/>
              </w:rPr>
              <w:t xml:space="preserve">0.67</w:t>
            </w:r>
          </w:p>
        </w:tc>
        <w:tc>
          <w:tcPr>
            <w:tcW w:type="dxa" w:w="1500"/>
            <w:tcMar>
              <w:top w:type="dxa" w:w="80"/>
              <w:left w:type="dxa" w:w="120"/>
              <w:bottom w:type="dxa" w:w="80"/>
              <w:right w:type="dxa" w:w="120"/>
            </w:tcMar>
          </w:tcPr>
          <w:p>
            <w:pPr>
              <w:jc w:val="left"/>
            </w:pPr>
            <w:r>
              <w:rPr>
                <w:b w:val="false"/>
                <w:bCs w:val="false"/>
                <w:color w:val="000000"/>
                <w:sz w:val="20"/>
                <w:szCs w:val="20"/>
              </w:rPr>
              <w:t xml:space="preserve">0.47</w:t>
            </w:r>
          </w:p>
        </w:tc>
        <w:tc>
          <w:tcPr>
            <w:tcW w:type="dxa" w:w="1400"/>
            <w:tcMar>
              <w:top w:type="dxa" w:w="80"/>
              <w:left w:type="dxa" w:w="120"/>
              <w:bottom w:type="dxa" w:w="80"/>
              <w:right w:type="dxa" w:w="120"/>
            </w:tcMar>
          </w:tcPr>
          <w:p>
            <w:pPr>
              <w:jc w:val="left"/>
            </w:pPr>
            <w:r>
              <w:rPr>
                <w:b w:val="false"/>
                <w:bCs w:val="false"/>
                <w:color w:val="000000"/>
                <w:sz w:val="20"/>
                <w:szCs w:val="20"/>
              </w:rPr>
              <w:t xml:space="preserve">0.55</w:t>
            </w:r>
          </w:p>
        </w:tc>
      </w:tr>
    </w:tbl>
    <w:p>
      <w:pPr>
        <w:spacing w:after="160" w:line="300"/>
      </w:pPr>
      <w:r>
        <w:t xml:space="preserve">The three models were serialized with joblib (accuracy_model.pkl, aggressive_model.pkl, defensive_model.pkl) alongside the fitted StandardScaler (scaler.pkl) and the exact training column order (columns.pkl), so the dashboard can reproduce the training-time preprocessing pipeline exactly at inference time.</w:t>
      </w:r>
    </w:p>
    <w:p>
      <w:pPr>
        <w:pStyle w:val="Heading1"/>
        <w:spacing w:after="160" w:before="320"/>
      </w:pPr>
      <w:r>
        <w:t xml:space="preserve">7. Streamlit Dashboard</w:t>
      </w:r>
    </w:p>
    <w:p>
      <w:pPr>
        <w:spacing w:after="160" w:line="300"/>
      </w:pPr>
      <w:r>
        <w:t xml:space="preserve">The dashboard is a multi-page Streamlit application with a shared sidebar and two content pages:</w:t>
      </w:r>
    </w:p>
    <w:p>
      <w:pPr>
        <w:pStyle w:val="Heading2"/>
        <w:spacing w:after="160" w:before="320"/>
      </w:pPr>
      <w:r>
        <w:t xml:space="preserve">7.1 App Shell (app.py)</w:t>
      </w:r>
    </w:p>
    <w:p>
      <w:pPr>
        <w:pStyle w:val="ListParagraph"/>
        <w:numPr>
          <w:ilvl w:val="0"/>
          <w:numId w:val="1"/>
        </w:numPr>
        <w:spacing w:after="80" w:line="280"/>
      </w:pPr>
      <w:r>
        <w:t xml:space="preserve">Loads all three models, the scaler, and the training column list once via @st.cache_resource.</w:t>
      </w:r>
    </w:p>
    <w:p>
      <w:pPr>
        <w:pStyle w:val="ListParagraph"/>
        <w:numPr>
          <w:ilvl w:val="0"/>
          <w:numId w:val="1"/>
        </w:numPr>
        <w:spacing w:after="80" w:line="280"/>
      </w:pPr>
      <w:r>
        <w:t xml:space="preserve">Exposes a shared preprocessing_data() function (stored in session state) that label-encodes, one-hot encodes, re-aligns columns to the training schema, and scales any new customer data exactly as it was done during training.</w:t>
      </w:r>
    </w:p>
    <w:p>
      <w:pPr>
        <w:pStyle w:val="ListParagraph"/>
        <w:numPr>
          <w:ilvl w:val="0"/>
          <w:numId w:val="1"/>
        </w:numPr>
        <w:spacing w:after="80" w:line="280"/>
      </w:pPr>
      <w:r>
        <w:t xml:space="preserve">Sidebar 'Optimization Framework' selector lets the user switch between the Accuracy, Aggressive, and Defensive models, each shown with a plain-language description and its precision/recall trade-off.</w:t>
      </w:r>
    </w:p>
    <w:p>
      <w:pPr>
        <w:pStyle w:val="ListParagraph"/>
        <w:numPr>
          <w:ilvl w:val="0"/>
          <w:numId w:val="1"/>
        </w:numPr>
        <w:spacing w:after="80" w:line="280"/>
      </w:pPr>
      <w:r>
        <w:t xml:space="preserve">Sidebar 'Offers' section lets the user define one or more retention offers, each triggered above a configurable minimum churn-probability threshold, with duplicate-threshold validation.</w:t>
      </w:r>
    </w:p>
    <w:p>
      <w:pPr>
        <w:pStyle w:val="Heading2"/>
        <w:spacing w:after="160" w:before="320"/>
      </w:pPr>
      <w:r>
        <w:t xml:space="preserve">7.2 Multi-User Interface (multi_user_page.py)</w:t>
      </w:r>
    </w:p>
    <w:p>
      <w:pPr>
        <w:pStyle w:val="ListParagraph"/>
        <w:numPr>
          <w:ilvl w:val="0"/>
          <w:numId w:val="1"/>
        </w:numPr>
        <w:spacing w:after="80" w:line="280"/>
      </w:pPr>
      <w:r>
        <w:t xml:space="preserve">Bulk-scores an uploaded Excel file of customers through the currently selected model, adding a Churn_probability column.</w:t>
      </w:r>
    </w:p>
    <w:p>
      <w:pPr>
        <w:pStyle w:val="ListParagraph"/>
        <w:numPr>
          <w:ilvl w:val="0"/>
          <w:numId w:val="1"/>
        </w:numPr>
        <w:spacing w:after="80" w:line="280"/>
      </w:pPr>
      <w:r>
        <w:t xml:space="preserve">Buckets customers by the configured probability thresholds so retention offers can be assigned automatically at scale.</w:t>
      </w:r>
    </w:p>
    <w:p>
      <w:pPr>
        <w:pStyle w:val="Heading2"/>
        <w:spacing w:after="160" w:before="320"/>
      </w:pPr>
      <w:r>
        <w:t xml:space="preserve">7.3 Single-User Interface (single_user_page.py)</w:t>
      </w:r>
    </w:p>
    <w:p>
      <w:pPr>
        <w:pStyle w:val="ListParagraph"/>
        <w:numPr>
          <w:ilvl w:val="0"/>
          <w:numId w:val="1"/>
        </w:numPr>
        <w:spacing w:after="80" w:line="280"/>
      </w:pPr>
      <w:r>
        <w:t xml:space="preserve">Provides a manual entry form for one customer, organized into three logical groups: Account Basics, Services Subscribed, and Financial Metrics.</w:t>
      </w:r>
    </w:p>
    <w:p>
      <w:pPr>
        <w:pStyle w:val="ListParagraph"/>
        <w:numPr>
          <w:ilvl w:val="0"/>
          <w:numId w:val="1"/>
        </w:numPr>
        <w:spacing w:after="80" w:line="280"/>
      </w:pPr>
      <w:r>
        <w:t xml:space="preserve">Includes a granular 'Clear Inputs' control that can reset all fields or just one section at a time.</w:t>
      </w:r>
    </w:p>
    <w:p>
      <w:pPr>
        <w:pStyle w:val="Heading1"/>
        <w:spacing w:after="160" w:before="320"/>
      </w:pPr>
      <w:r>
        <w:t xml:space="preserve">8. Engineering Notes &amp; Debugging</w:t>
      </w:r>
    </w:p>
    <w:p>
      <w:pPr>
        <w:pStyle w:val="Heading2"/>
        <w:spacing w:after="160" w:before="320"/>
      </w:pPr>
      <w:r>
        <w:t xml:space="preserve">8.1 Streamlit widget remount bug</w:t>
      </w:r>
    </w:p>
    <w:p>
      <w:pPr>
        <w:spacing w:after="160" w:line="300"/>
      </w:pPr>
      <w:r>
        <w:t xml:space="preserve">The 'Clear Inputs' feature initially failed to visually reset widgets even though the underlying session-state values were updated. The root cause was that Streamlit widgets are keyed by a fixed string, so reassigning session-state without changing the widget's key does not force it to remount and re-read its default value. This was resolved by appending a per-column version counter to each widget's key, which is incremented on reset — forcing Streamlit to treat the widget as new and pick up the cleared default.</w:t>
      </w:r>
    </w:p>
    <w:p>
      <w:pPr>
        <w:pStyle w:val="Heading2"/>
        <w:spacing w:after="160" w:before="320"/>
      </w:pPr>
      <w:r>
        <w:t xml:space="preserve">8.2 Counterintuitive MonthlyCharges coefficient</w:t>
      </w:r>
    </w:p>
    <w:p>
      <w:pPr>
        <w:spacing w:after="160" w:line="300"/>
      </w:pPr>
      <w:r>
        <w:t xml:space="preserve">During model inspection, increasing MonthlyCharges in isolation was observed to decrease predicted churn probability in the Logistic Regression model — the opposite of the EDA finding that higher-paying customers churn more. This was traced to a negative coefficient on MonthlyCharges caused by multicollinearity: MonthlyCharges is highly correlated with TotalCharges (and, to a lesser extent, tenure), so the linear model splits the true churn signal between the two correlated features in a way that is not individually interpretable. This does not affect the model's overall predictive accuracy, but it does mean the raw logistic regression coefficients should not be read as standalone, per-feature effects. It is documented here as a known modeling artifact; addressing it directly (e.g., dropping or combining the correlated feature, or moving to a tree-based model for the interpretability-sensitive use case) is noted as a candidate follow-up in the section below.</w:t>
      </w:r>
    </w:p>
    <w:p>
      <w:pPr>
        <w:pStyle w:val="Heading1"/>
        <w:spacing w:after="160" w:before="320"/>
      </w:pPr>
      <w:r>
        <w:t xml:space="preserve">9. Limitations &amp; Future Work</w:t>
      </w:r>
    </w:p>
    <w:p>
      <w:pPr>
        <w:pStyle w:val="ListParagraph"/>
        <w:numPr>
          <w:ilvl w:val="0"/>
          <w:numId w:val="1"/>
        </w:numPr>
        <w:spacing w:after="80" w:line="280"/>
      </w:pPr>
      <w:r>
        <w:t xml:space="preserve">Class imbalance still caps recall/precision trade-offs — no single model exceeds ~0.63 F1 on the churn class; further work with SMOTE/undersampling or cost-sensitive boosting (e.g., XGBoost/LightGBM) could improve this ceiling.</w:t>
      </w:r>
    </w:p>
    <w:p>
      <w:pPr>
        <w:pStyle w:val="ListParagraph"/>
        <w:numPr>
          <w:ilvl w:val="0"/>
          <w:numId w:val="1"/>
        </w:numPr>
        <w:spacing w:after="80" w:line="280"/>
      </w:pPr>
      <w:r>
        <w:t xml:space="preserve">Multicollinearity between MonthlyCharges and TotalCharges limits the interpretability of the Aggressive (Logistic Regression) model's coefficients; a VIF-based feature audit or regularization comparison (L1 vs L2) is a natural next step.</w:t>
      </w:r>
    </w:p>
    <w:p>
      <w:pPr>
        <w:pStyle w:val="ListParagraph"/>
        <w:numPr>
          <w:ilvl w:val="0"/>
          <w:numId w:val="1"/>
        </w:numPr>
        <w:spacing w:after="80" w:line="280"/>
      </w:pPr>
      <w:r>
        <w:t xml:space="preserve">Offer thresholds and percentages are currently manually configured by the dashboard user; a future iteration could recommend thresholds automatically from the precision-recall curve of the selected model.</w:t>
      </w:r>
    </w:p>
    <w:p>
      <w:pPr>
        <w:pStyle w:val="ListParagraph"/>
        <w:numPr>
          <w:ilvl w:val="0"/>
          <w:numId w:val="1"/>
        </w:numPr>
        <w:spacing w:after="80" w:line="280"/>
      </w:pPr>
      <w:r>
        <w:t xml:space="preserve">The dashboard currently loads models from local file paths (Windows-style in places); productionizing would mean relative/OS-agnostic paths and moving model artifacts to a proper model registry.</w:t>
      </w:r>
    </w:p>
    <w:p>
      <w:pPr>
        <w:pStyle w:val="Heading1"/>
        <w:spacing w:after="160" w:before="320"/>
      </w:pPr>
      <w:r>
        <w:t xml:space="preserve">10. Conclusion</w:t>
      </w:r>
    </w:p>
    <w:p>
      <w:pPr>
        <w:spacing w:after="160" w:line="300"/>
      </w:pPr>
      <w:r>
        <w:t xml:space="preserve">This project demonstrates a complete churn-prediction workflow — from raw data cleaning through EDA-driven feature understanding, multi-objective model tuning, and deployment into a usable business tool. Rather than forcing every stakeholder to accept a single accuracy/precision/recall trade-off, the three-strategy design (Accuracy, Aggressive, Defensive) lets the dashboard user pick the model that matches their retention budget and risk tolerance, while the offer-threshold system turns raw churn probabilities directly into actionable, tiered retention campaigns.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4B5" w:sz="8" w:space="4"/>
      </w:pBdr>
      <w:spacing w:after="160" w:before="320"/>
    </w:pPr>
    <w:rPr>
      <w:rFonts w:ascii="Calibri" w:cs="Calibri" w:eastAsia="Calibri" w:hAnsi="Calibri"/>
      <w:b/>
      <w:bCs/>
      <w:color w:val="1F3864"/>
      <w:sz w:val="30"/>
      <w:szCs w:val="30"/>
    </w:rPr>
  </w:style>
  <w:style w:type="paragraph" w:styleId="Heading2">
    <w:name w:val="Heading 2"/>
    <w:basedOn w:val="Normal"/>
    <w:next w:val="Normal"/>
    <w:pPr>
      <w:spacing w:after="120" w:before="26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2026-07-01T06:03:22.538Z</dcterms:created>
  <dcterms:modified xsi:type="dcterms:W3CDTF">2026-07-01T06:03:22.538Z</dcterms:modified>
</cp:coreProperties>
</file>

<file path=docProps/custom.xml><?xml version="1.0" encoding="utf-8"?>
<Properties xmlns="http://schemas.openxmlformats.org/officeDocument/2006/custom-properties" xmlns:vt="http://schemas.openxmlformats.org/officeDocument/2006/docPropsVTypes"/>
</file>