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E947FD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F6975" w:rsidRPr="00826493" w:rsidRDefault="004F6975" w:rsidP="00E947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Coordinated online meeting using </w:t>
            </w:r>
            <w:proofErr w:type="spellStart"/>
            <w:r>
              <w:rPr>
                <w:rFonts w:ascii="Century Gothic" w:hAnsi="Century Gothic"/>
              </w:rPr>
              <w:t>Fuze</w:t>
            </w:r>
            <w:proofErr w:type="spellEnd"/>
            <w:r>
              <w:rPr>
                <w:rFonts w:ascii="Century Gothic" w:hAnsi="Century Gothic"/>
              </w:rPr>
              <w:t xml:space="preserve"> software. </w:t>
            </w:r>
            <w:r w:rsidR="00E947FD">
              <w:rPr>
                <w:rFonts w:ascii="Century Gothic" w:hAnsi="Century Gothic"/>
              </w:rPr>
              <w:t xml:space="preserve">Finished implement of slide logic code, after meeting with Max to clarify points on </w:t>
            </w:r>
            <w:proofErr w:type="spellStart"/>
            <w:r w:rsidR="00E947FD">
              <w:rPr>
                <w:rFonts w:ascii="Century Gothic" w:hAnsi="Century Gothic"/>
              </w:rPr>
              <w:t>XMLParser</w:t>
            </w:r>
            <w:proofErr w:type="spellEnd"/>
            <w:r w:rsidR="00E947FD">
              <w:rPr>
                <w:rFonts w:ascii="Century Gothic" w:hAnsi="Century Gothic"/>
              </w:rPr>
              <w:t xml:space="preserve"> code. Moved code base to JFx8 and JDK8, and supported employee through transition.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E947FD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Unable to review other code properly as work load too heavy.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E947FD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E947FD" w:rsidP="00E524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 integration problems, and review testing of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so far. Start new iteration (4) and assign new tasks, and bugs from previous iteration to employees. Fix up </w:t>
            </w:r>
            <w:proofErr w:type="spellStart"/>
            <w:r>
              <w:rPr>
                <w:rFonts w:ascii="Century Gothic" w:hAnsi="Century Gothic"/>
              </w:rPr>
              <w:t>ImageHandler</w:t>
            </w:r>
            <w:proofErr w:type="spellEnd"/>
            <w:r>
              <w:rPr>
                <w:rFonts w:ascii="Century Gothic" w:hAnsi="Century Gothic"/>
              </w:rPr>
              <w:t xml:space="preserve"> testing.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E947FD" w:rsidP="00003A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Problems with code and Jira not being documented after the iteration has supposedly finished</w:t>
            </w:r>
            <w:r w:rsidR="00003901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Means delaying start of next iteration.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F9067E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E947FD">
              <w:rPr>
                <w:rFonts w:ascii="Century Gothic" w:hAnsi="Century Gothic"/>
                <w:sz w:val="21"/>
                <w:szCs w:val="21"/>
              </w:rPr>
              <w:t>3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E947FD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- 3</w:t>
            </w:r>
            <w:bookmarkStart w:id="0" w:name="_GoBack"/>
            <w:bookmarkEnd w:id="0"/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003901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 xml:space="preserve">View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burndown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charts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E524D2" w:rsidP="00003A2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  <w:r w:rsidR="00003901"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F9067E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E524D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003901">
              <w:rPr>
                <w:rFonts w:ascii="Century Gothic" w:hAnsi="Century Gothic"/>
                <w:sz w:val="21"/>
                <w:szCs w:val="21"/>
              </w:rPr>
              <w:t>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E524D2" w:rsidP="00E524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Action on to do.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D74" w:rsidRDefault="00B90D74" w:rsidP="00B12582">
      <w:r>
        <w:separator/>
      </w:r>
    </w:p>
  </w:endnote>
  <w:endnote w:type="continuationSeparator" w:id="0">
    <w:p w:rsidR="00B90D74" w:rsidRDefault="00B90D74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E947FD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D74" w:rsidRDefault="00B90D74" w:rsidP="00B12582">
      <w:r>
        <w:separator/>
      </w:r>
    </w:p>
  </w:footnote>
  <w:footnote w:type="continuationSeparator" w:id="0">
    <w:p w:rsidR="00B90D74" w:rsidRDefault="00B90D74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3901"/>
    <w:rsid w:val="00003A27"/>
    <w:rsid w:val="00103A16"/>
    <w:rsid w:val="003112E9"/>
    <w:rsid w:val="004F6975"/>
    <w:rsid w:val="004F79F8"/>
    <w:rsid w:val="007D1406"/>
    <w:rsid w:val="00826493"/>
    <w:rsid w:val="008D7407"/>
    <w:rsid w:val="009C14AC"/>
    <w:rsid w:val="00B12582"/>
    <w:rsid w:val="00B3162C"/>
    <w:rsid w:val="00B90D74"/>
    <w:rsid w:val="00CC5EC7"/>
    <w:rsid w:val="00DC319E"/>
    <w:rsid w:val="00E524D2"/>
    <w:rsid w:val="00E947FD"/>
    <w:rsid w:val="00F125B9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John</cp:lastModifiedBy>
  <cp:revision>2</cp:revision>
  <dcterms:created xsi:type="dcterms:W3CDTF">2014-04-13T22:37:00Z</dcterms:created>
  <dcterms:modified xsi:type="dcterms:W3CDTF">2014-04-13T22:37:00Z</dcterms:modified>
</cp:coreProperties>
</file>