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D1988">
              <w:rPr>
                <w:rFonts w:ascii="Century Gothic" w:hAnsi="Century Gothic"/>
                <w:color w:val="EB817D"/>
                <w:sz w:val="28"/>
                <w:szCs w:val="28"/>
              </w:rPr>
              <w:t>26</w:t>
            </w:r>
            <w:r w:rsidR="00AE284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Pr="00826493" w:rsidRDefault="00C32C24" w:rsidP="00F150A9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Refactored</w:t>
            </w:r>
            <w:proofErr w:type="spellEnd"/>
            <w:r>
              <w:rPr>
                <w:rFonts w:ascii="Century Gothic" w:hAnsi="Century Gothic"/>
              </w:rPr>
              <w:t xml:space="preserve"> the handlers into the media package, created the </w:t>
            </w:r>
            <w:proofErr w:type="spellStart"/>
            <w:r>
              <w:rPr>
                <w:rFonts w:ascii="Century Gothic" w:hAnsi="Century Gothic"/>
              </w:rPr>
              <w:t>SlideMedia</w:t>
            </w:r>
            <w:proofErr w:type="spellEnd"/>
            <w:r>
              <w:rPr>
                <w:rFonts w:ascii="Century Gothic" w:hAnsi="Century Gothic"/>
              </w:rPr>
              <w:t xml:space="preserve"> class, sub </w:t>
            </w:r>
            <w:proofErr w:type="spellStart"/>
            <w:r>
              <w:rPr>
                <w:rFonts w:ascii="Century Gothic" w:hAnsi="Century Gothic"/>
              </w:rPr>
              <w:t>SlideMedia</w:t>
            </w:r>
            <w:proofErr w:type="spellEnd"/>
            <w:r>
              <w:rPr>
                <w:rFonts w:ascii="Century Gothic" w:hAnsi="Century Gothic"/>
              </w:rPr>
              <w:t xml:space="preserve"> class and </w:t>
            </w:r>
            <w:proofErr w:type="spellStart"/>
            <w:r>
              <w:rPr>
                <w:rFonts w:ascii="Century Gothic" w:hAnsi="Century Gothic"/>
              </w:rPr>
              <w:t>SlideMediaPlayer</w:t>
            </w:r>
            <w:proofErr w:type="spellEnd"/>
            <w:r>
              <w:rPr>
                <w:rFonts w:ascii="Century Gothic" w:hAnsi="Century Gothic"/>
              </w:rPr>
              <w:t xml:space="preserve"> class. Brought </w:t>
            </w:r>
            <w:proofErr w:type="spellStart"/>
            <w:r>
              <w:rPr>
                <w:rFonts w:ascii="Century Gothic" w:hAnsi="Century Gothic"/>
              </w:rPr>
              <w:t>SlideMedia</w:t>
            </w:r>
            <w:proofErr w:type="spellEnd"/>
            <w:r>
              <w:rPr>
                <w:rFonts w:ascii="Century Gothic" w:hAnsi="Century Gothic"/>
              </w:rPr>
              <w:t xml:space="preserve"> class </w:t>
            </w:r>
            <w:proofErr w:type="spellStart"/>
            <w:r>
              <w:rPr>
                <w:rFonts w:ascii="Century Gothic" w:hAnsi="Century Gothic"/>
              </w:rPr>
              <w:t>aling</w:t>
            </w:r>
            <w:proofErr w:type="spellEnd"/>
            <w:r>
              <w:rPr>
                <w:rFonts w:ascii="Century Gothic" w:hAnsi="Century Gothic"/>
              </w:rPr>
              <w:t xml:space="preserve"> with test and mock </w:t>
            </w:r>
            <w:proofErr w:type="spellStart"/>
            <w:r>
              <w:rPr>
                <w:rFonts w:ascii="Century Gothic" w:hAnsi="Century Gothic"/>
              </w:rPr>
              <w:t>SlideMedia</w:t>
            </w:r>
            <w:proofErr w:type="spellEnd"/>
            <w:r>
              <w:rPr>
                <w:rFonts w:ascii="Century Gothic" w:hAnsi="Century Gothic"/>
              </w:rPr>
              <w:t xml:space="preserve"> class up to coding standards. Worked on the presentation, wrote the order for the product demo and for the presentation of the features. Worked on numerous bug fixes primari</w:t>
            </w:r>
            <w:r w:rsidR="00F73685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y involved with branching and slide movement logic. Continued refactoring the slideshow class to use new teardown methods created for stopping handlers. </w:t>
            </w:r>
            <w:r w:rsidR="00F73685">
              <w:rPr>
                <w:rFonts w:ascii="Century Gothic" w:hAnsi="Century Gothic"/>
              </w:rPr>
              <w:t xml:space="preserve">Assigned a deadline of Saturday 6pm for final changes to </w:t>
            </w:r>
            <w:proofErr w:type="spellStart"/>
            <w:r w:rsidR="00F73685">
              <w:rPr>
                <w:rFonts w:ascii="Century Gothic" w:hAnsi="Century Gothic"/>
              </w:rPr>
              <w:t>eCook</w:t>
            </w:r>
            <w:proofErr w:type="spellEnd"/>
            <w:r w:rsidR="00F73685">
              <w:rPr>
                <w:rFonts w:ascii="Century Gothic" w:hAnsi="Century Gothic"/>
              </w:rPr>
              <w:t xml:space="preserve"> before the presentation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F7368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 actually continued past the 6pm deadline and into Sunday when practicing the presentation. Bugs were found with the N guests feature and the timer audio. The N guests bug was temporarily fixed, no solution to the </w:t>
            </w:r>
            <w:proofErr w:type="gramStart"/>
            <w:r>
              <w:rPr>
                <w:rFonts w:ascii="Century Gothic" w:hAnsi="Century Gothic"/>
              </w:rPr>
              <w:t>timers</w:t>
            </w:r>
            <w:proofErr w:type="gramEnd"/>
            <w:r>
              <w:rPr>
                <w:rFonts w:ascii="Century Gothic" w:hAnsi="Century Gothic"/>
              </w:rPr>
              <w:t xml:space="preserve"> problem, arrow keys also </w:t>
            </w:r>
            <w:r>
              <w:rPr>
                <w:rFonts w:ascii="Century Gothic" w:hAnsi="Century Gothic"/>
              </w:rPr>
              <w:lastRenderedPageBreak/>
              <w:t>are no currently working again.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 xml:space="preserve">Work Beginning: </w:t>
            </w:r>
            <w:r w:rsidR="00303D89">
              <w:rPr>
                <w:rFonts w:ascii="Century Gothic" w:hAnsi="Century Gothic"/>
                <w:color w:val="EB817D"/>
                <w:sz w:val="28"/>
                <w:szCs w:val="28"/>
              </w:rPr>
              <w:t>02/06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F73685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Finish tests and commenting for </w:t>
            </w:r>
            <w:proofErr w:type="spellStart"/>
            <w:r>
              <w:rPr>
                <w:rFonts w:ascii="Century Gothic" w:hAnsi="Century Gothic"/>
              </w:rPr>
              <w:t>refactored</w:t>
            </w:r>
            <w:proofErr w:type="spellEnd"/>
            <w:r>
              <w:rPr>
                <w:rFonts w:ascii="Century Gothic" w:hAnsi="Century Gothic"/>
              </w:rPr>
              <w:t xml:space="preserve"> media handlers. Begin refactoring the GUI classes. </w:t>
            </w:r>
            <w:proofErr w:type="spellStart"/>
            <w:r>
              <w:rPr>
                <w:rFonts w:ascii="Century Gothic" w:hAnsi="Century Gothic"/>
              </w:rPr>
              <w:t>Refactor</w:t>
            </w:r>
            <w:proofErr w:type="spellEnd"/>
            <w:r>
              <w:rPr>
                <w:rFonts w:ascii="Century Gothic" w:hAnsi="Century Gothic"/>
              </w:rPr>
              <w:t xml:space="preserve"> and comment the slideshow class. Check all classes for coding standards. Finish all documentation for the project.</w:t>
            </w:r>
            <w:r w:rsidR="00AE2845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F7368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GUI package refactoring is a significant job, GUI tests will be written in parallel by </w:t>
            </w:r>
            <w:proofErr w:type="spellStart"/>
            <w:r>
              <w:rPr>
                <w:rFonts w:ascii="Century Gothic" w:hAnsi="Century Gothic"/>
              </w:rPr>
              <w:t>Zayyad</w:t>
            </w:r>
            <w:proofErr w:type="spellEnd"/>
            <w:r>
              <w:rPr>
                <w:rFonts w:ascii="Century Gothic" w:hAnsi="Century Gothic"/>
              </w:rPr>
              <w:t xml:space="preserve"> and </w:t>
            </w:r>
            <w:proofErr w:type="spellStart"/>
            <w:r>
              <w:rPr>
                <w:rFonts w:ascii="Century Gothic" w:hAnsi="Century Gothic"/>
              </w:rPr>
              <w:t>Ankita</w:t>
            </w:r>
            <w:proofErr w:type="spellEnd"/>
            <w:r>
              <w:rPr>
                <w:rFonts w:ascii="Century Gothic" w:hAnsi="Century Gothic"/>
              </w:rPr>
              <w:t xml:space="preserve"> as GUI classes are finished.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4675C1" w:rsidRPr="00C75EE1" w:rsidTr="00F150A9">
        <w:trPr>
          <w:trHeight w:val="659"/>
        </w:trPr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4675C1" w:rsidRPr="00CC5EC7" w:rsidRDefault="002D1988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F73685">
              <w:rPr>
                <w:rFonts w:ascii="Century Gothic" w:hAnsi="Century Gothic"/>
                <w:sz w:val="21"/>
                <w:szCs w:val="21"/>
              </w:rPr>
              <w:t>9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4675C1" w:rsidRPr="00CC5EC7" w:rsidRDefault="002D1988" w:rsidP="00DF242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</w:t>
            </w:r>
            <w:r w:rsidR="00F73685">
              <w:rPr>
                <w:rFonts w:ascii="Century Gothic" w:hAnsi="Century Gothic"/>
                <w:sz w:val="21"/>
                <w:szCs w:val="21"/>
              </w:rPr>
              <w:t>6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4675C1" w:rsidRPr="00CC5EC7" w:rsidRDefault="004675C1" w:rsidP="00AE284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AE284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4675C1" w:rsidRPr="00CC5EC7" w:rsidRDefault="004675C1" w:rsidP="00F150A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F150A9">
              <w:rPr>
                <w:rFonts w:ascii="Century Gothic" w:hAnsi="Century Gothic"/>
                <w:sz w:val="21"/>
                <w:szCs w:val="21"/>
              </w:rPr>
              <w:t>Action on to do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AF3" w:rsidRDefault="003C7AF3" w:rsidP="00B12582">
      <w:r>
        <w:separator/>
      </w:r>
    </w:p>
  </w:endnote>
  <w:endnote w:type="continuationSeparator" w:id="0">
    <w:p w:rsidR="003C7AF3" w:rsidRDefault="003C7AF3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F65860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F65860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73685">
      <w:rPr>
        <w:rStyle w:val="PageNumber"/>
        <w:rFonts w:ascii="Century Gothic" w:hAnsi="Century Gothic"/>
        <w:noProof/>
        <w:sz w:val="21"/>
        <w:szCs w:val="21"/>
      </w:rPr>
      <w:t>1</w:t>
    </w:r>
    <w:r w:rsidR="00F65860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AF3" w:rsidRDefault="003C7AF3" w:rsidP="00B12582">
      <w:r>
        <w:separator/>
      </w:r>
    </w:p>
  </w:footnote>
  <w:footnote w:type="continuationSeparator" w:id="0">
    <w:p w:rsidR="003C7AF3" w:rsidRDefault="003C7AF3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33265"/>
    <w:rsid w:val="000620E1"/>
    <w:rsid w:val="00103A16"/>
    <w:rsid w:val="001C0AAE"/>
    <w:rsid w:val="00277BFB"/>
    <w:rsid w:val="002D1988"/>
    <w:rsid w:val="00303D89"/>
    <w:rsid w:val="00336A98"/>
    <w:rsid w:val="003657E1"/>
    <w:rsid w:val="003B2603"/>
    <w:rsid w:val="003C326A"/>
    <w:rsid w:val="003C7AF3"/>
    <w:rsid w:val="003F2910"/>
    <w:rsid w:val="00465C81"/>
    <w:rsid w:val="004675C1"/>
    <w:rsid w:val="004F79F8"/>
    <w:rsid w:val="006B0562"/>
    <w:rsid w:val="007312E4"/>
    <w:rsid w:val="00740936"/>
    <w:rsid w:val="00775ED1"/>
    <w:rsid w:val="007A0B2A"/>
    <w:rsid w:val="007D1406"/>
    <w:rsid w:val="00826493"/>
    <w:rsid w:val="00861B42"/>
    <w:rsid w:val="008D7407"/>
    <w:rsid w:val="00913E73"/>
    <w:rsid w:val="009478DD"/>
    <w:rsid w:val="009C14AC"/>
    <w:rsid w:val="00A41601"/>
    <w:rsid w:val="00A471A2"/>
    <w:rsid w:val="00A604F2"/>
    <w:rsid w:val="00AE2845"/>
    <w:rsid w:val="00B01343"/>
    <w:rsid w:val="00B12582"/>
    <w:rsid w:val="00BB0958"/>
    <w:rsid w:val="00C32C24"/>
    <w:rsid w:val="00CC5EC7"/>
    <w:rsid w:val="00DE7E78"/>
    <w:rsid w:val="00DF2424"/>
    <w:rsid w:val="00ED3207"/>
    <w:rsid w:val="00F150A9"/>
    <w:rsid w:val="00F44555"/>
    <w:rsid w:val="00F4500B"/>
    <w:rsid w:val="00F65860"/>
    <w:rsid w:val="00F73685"/>
    <w:rsid w:val="00F9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2014-06-09T14:41:00Z</dcterms:created>
  <dcterms:modified xsi:type="dcterms:W3CDTF">2014-06-09T14:41:00Z</dcterms:modified>
</cp:coreProperties>
</file>