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百欣电商 AI 智能客服系统项目报价方案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报价编号</w:t>
      </w:r>
      <w:r>
        <w:rPr>
          <w:rFonts w:eastAsia="等线" w:ascii="Arial" w:cs="Arial" w:hAnsi="Arial"/>
          <w:i w:val="true"/>
          <w:color w:val="646a73"/>
          <w:sz w:val="22"/>
        </w:rPr>
        <w:t>：QT-2026-0421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编制日期</w:t>
      </w:r>
      <w:r>
        <w:rPr>
          <w:rFonts w:eastAsia="等线" w:ascii="Arial" w:cs="Arial" w:hAnsi="Arial"/>
          <w:i w:val="true"/>
          <w:color w:val="646a73"/>
          <w:sz w:val="22"/>
        </w:rPr>
        <w:t>：2026-04-05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有效期限</w:t>
      </w:r>
      <w:r>
        <w:rPr>
          <w:rFonts w:eastAsia="等线" w:ascii="Arial" w:cs="Arial" w:hAnsi="Arial"/>
          <w:i w:val="true"/>
          <w:color w:val="646a73"/>
          <w:sz w:val="22"/>
        </w:rPr>
        <w:t>：报价日起 30 个自然日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文档版本</w:t>
      </w:r>
      <w:r>
        <w:rPr>
          <w:rFonts w:eastAsia="等线" w:ascii="Arial" w:cs="Arial" w:hAnsi="Arial"/>
          <w:i w:val="true"/>
          <w:color w:val="646a73"/>
          <w:sz w:val="22"/>
        </w:rPr>
        <w:t>：V1.0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客户方</w:t>
      </w:r>
      <w:r>
        <w:rPr>
          <w:rFonts w:eastAsia="等线" w:ascii="Arial" w:cs="Arial" w:hAnsi="Arial"/>
          <w:i w:val="true"/>
          <w:color w:val="646a73"/>
          <w:sz w:val="22"/>
        </w:rPr>
        <w:t>：百欣电商（运动户外类目）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客户背景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百欣电商是一家以运动户外类目为核心的大型电商企业，主营</w:t>
      </w:r>
      <w:r>
        <w:rPr>
          <w:rFonts w:eastAsia="等线" w:ascii="Arial" w:cs="Arial" w:hAnsi="Arial"/>
          <w:b w:val="true"/>
          <w:sz w:val="22"/>
        </w:rPr>
        <w:t>自行车、电动车、骑行装备</w:t>
      </w:r>
      <w:r>
        <w:rPr>
          <w:rFonts w:eastAsia="等线" w:ascii="Arial" w:cs="Arial" w:hAnsi="Arial"/>
          <w:sz w:val="22"/>
        </w:rPr>
        <w:t xml:space="preserve">等产品。运动户外团队约 380 人，客服团队规模达 </w:t>
      </w:r>
      <w:r>
        <w:rPr>
          <w:rFonts w:eastAsia="等线" w:ascii="Arial" w:cs="Arial" w:hAnsi="Arial"/>
          <w:b w:val="true"/>
          <w:sz w:val="22"/>
        </w:rPr>
        <w:t>110-120 人</w:t>
      </w:r>
      <w:r>
        <w:rPr>
          <w:rFonts w:eastAsia="等线" w:ascii="Arial" w:cs="Arial" w:hAnsi="Arial"/>
          <w:sz w:val="22"/>
        </w:rPr>
        <w:t xml:space="preserve">，其中以凤凰官方旗舰店为例，淡季客服约 40+ 人（售前 10 人 + 售后 35 人），旺季（6-7 月）扩至 70 人（售前 20 人 + 售后 50 人），售前售后配比约 </w:t>
      </w:r>
      <w:r>
        <w:rPr>
          <w:rFonts w:eastAsia="等线" w:ascii="Arial" w:cs="Arial" w:hAnsi="Arial"/>
          <w:b w:val="true"/>
          <w:sz w:val="22"/>
        </w:rPr>
        <w:t>1:3.5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百欣电商天猫单店年 GMV 约 </w:t>
      </w:r>
      <w:r>
        <w:rPr>
          <w:rFonts w:eastAsia="等线" w:ascii="Arial" w:cs="Arial" w:hAnsi="Arial"/>
          <w:b w:val="true"/>
          <w:sz w:val="22"/>
        </w:rPr>
        <w:t>2.5 亿元</w:t>
      </w:r>
      <w:r>
        <w:rPr>
          <w:rFonts w:eastAsia="等线" w:ascii="Arial" w:cs="Arial" w:hAnsi="Arial"/>
          <w:sz w:val="22"/>
        </w:rPr>
        <w:t xml:space="preserve">，产品体系庞大：上架商品 </w:t>
      </w:r>
      <w:r>
        <w:rPr>
          <w:rFonts w:eastAsia="等线" w:ascii="Arial" w:cs="Arial" w:hAnsi="Arial"/>
          <w:b w:val="true"/>
          <w:sz w:val="22"/>
        </w:rPr>
        <w:t>600+</w:t>
      </w:r>
      <w:r>
        <w:rPr>
          <w:rFonts w:eastAsia="等线" w:ascii="Arial" w:cs="Arial" w:hAnsi="Arial"/>
          <w:sz w:val="22"/>
        </w:rPr>
        <w:t xml:space="preserve"> 个、后台 SKU 总量 </w:t>
      </w:r>
      <w:r>
        <w:rPr>
          <w:rFonts w:eastAsia="等线" w:ascii="Arial" w:cs="Arial" w:hAnsi="Arial"/>
          <w:b w:val="true"/>
          <w:sz w:val="22"/>
        </w:rPr>
        <w:t>3 万+</w:t>
      </w:r>
      <w:r>
        <w:rPr>
          <w:rFonts w:eastAsia="等线" w:ascii="Arial" w:cs="Arial" w:hAnsi="Arial"/>
          <w:sz w:val="22"/>
        </w:rPr>
        <w:t xml:space="preserve">（最大单品含 900+ SPU）、零配件近 </w:t>
      </w:r>
      <w:r>
        <w:rPr>
          <w:rFonts w:eastAsia="等线" w:ascii="Arial" w:cs="Arial" w:hAnsi="Arial"/>
          <w:b w:val="true"/>
          <w:sz w:val="22"/>
        </w:rPr>
        <w:t>200 个</w:t>
      </w:r>
      <w:r>
        <w:rPr>
          <w:rFonts w:eastAsia="等线" w:ascii="Arial" w:cs="Arial" w:hAnsi="Arial"/>
          <w:sz w:val="22"/>
        </w:rPr>
        <w:t xml:space="preserve">、仅凤凰品牌即有 </w:t>
      </w:r>
      <w:r>
        <w:rPr>
          <w:rFonts w:eastAsia="等线" w:ascii="Arial" w:cs="Arial" w:hAnsi="Arial"/>
          <w:b w:val="true"/>
          <w:sz w:val="22"/>
        </w:rPr>
        <w:t>30+ 工厂</w:t>
      </w:r>
      <w:r>
        <w:rPr>
          <w:rFonts w:eastAsia="等线" w:ascii="Arial" w:cs="Arial" w:hAnsi="Arial"/>
          <w:sz w:val="22"/>
        </w:rPr>
        <w:t>供货。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当前客服工作主要依托</w:t>
      </w:r>
      <w:r>
        <w:rPr>
          <w:rFonts w:eastAsia="等线" w:ascii="Arial" w:cs="Arial" w:hAnsi="Arial"/>
          <w:b w:val="true"/>
          <w:sz w:val="22"/>
        </w:rPr>
        <w:t>千牛客户端</w:t>
      </w:r>
      <w:r>
        <w:rPr>
          <w:rFonts w:eastAsia="等线" w:ascii="Arial" w:cs="Arial" w:hAnsi="Arial"/>
          <w:sz w:val="22"/>
        </w:rPr>
        <w:t>进行，曾尝试引入 AI 客服系统（2024 年底与慕岩科技合作），但因自行车行业售后场景复杂度远超服装、化妆品等品类，学习 1 个月后判定"服务场景太复杂"而放弃。乐言等现有平台同样无法满足需求。</w:t>
      </w:r>
      <w:r>
        <w:rPr>
          <w:rFonts w:eastAsia="等线" w:ascii="Arial" w:cs="Arial" w:hAnsi="Arial"/>
          <w:b w:val="true"/>
          <w:sz w:val="22"/>
        </w:rPr>
        <w:t>自行车/电动车类目目前尚无成功的 AI 客服应用案例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核心痛点</w:t>
      </w:r>
      <w:bookmarkEnd w:id="2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百欣电商当前面临的核心挑战：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客服人力成本居高不下</w:t>
            </w:r>
            <w:r>
              <w:rPr>
                <w:rFonts w:eastAsia="等线" w:ascii="Arial" w:cs="Arial" w:hAnsi="Arial"/>
                <w:sz w:val="22"/>
              </w:rPr>
              <w:t>：110-120 人的客服团队，旺季需扩至 70 人/店，人力开支巨大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售后场景极度复杂</w:t>
            </w:r>
            <w:r>
              <w:rPr>
                <w:rFonts w:eastAsia="等线" w:ascii="Arial" w:cs="Arial" w:hAnsi="Arial"/>
                <w:sz w:val="22"/>
              </w:rPr>
              <w:t>：大件商品运输损坏、200+ 零配件补发匹配、变速调试与车辆组装一对一指导，远超普通电商品类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SKU 海量且数据混乱</w:t>
            </w:r>
            <w:r>
              <w:rPr>
                <w:rFonts w:eastAsia="等线" w:ascii="Arial" w:cs="Arial" w:hAnsi="Arial"/>
                <w:sz w:val="22"/>
              </w:rPr>
              <w:t>：3 万+ SKU、多工厂供货导致配件名称体系混乱，精准匹配极其困难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现有 AI 方案全部失败</w:t>
            </w:r>
            <w:r>
              <w:rPr>
                <w:rFonts w:eastAsia="等线" w:ascii="Arial" w:cs="Arial" w:hAnsi="Arial"/>
                <w:sz w:val="22"/>
              </w:rPr>
              <w:t>：传统 AI 客服（慕岩科技、乐言等）无法处理自行车行业的深度售后场景，准确率与性价比均不达标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售前售后极度不均衡</w:t>
            </w:r>
            <w:r>
              <w:rPr>
                <w:rFonts w:eastAsia="等线" w:ascii="Arial" w:cs="Arial" w:hAnsi="Arial"/>
                <w:sz w:val="22"/>
              </w:rPr>
              <w:t>：售前场景相对简单（尺寸、颜色、材质咨询），但售后占比高达 70%+ 且技术门槛高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缺乏自主维护能力</w:t>
            </w:r>
            <w:r>
              <w:rPr>
                <w:rFonts w:eastAsia="等线" w:ascii="Arial" w:cs="Arial" w:hAnsi="Arial"/>
                <w:sz w:val="22"/>
              </w:rPr>
              <w:t>：跨团队协作时差大，百欣内部人员无法自行更新语料和训练模型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数据未形成闭环</w:t>
            </w:r>
            <w:r>
              <w:rPr>
                <w:rFonts w:eastAsia="等线" w:ascii="Arial" w:cs="Arial" w:hAnsi="Arial"/>
                <w:sz w:val="22"/>
              </w:rPr>
              <w:t>：产品数据、售后记录散落各处，无法实时反馈优化知识库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项目目标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基于百欣电商核心诉求——</w:t>
      </w:r>
      <w:r>
        <w:rPr>
          <w:rFonts w:eastAsia="等线" w:ascii="Arial" w:cs="Arial" w:hAnsi="Arial"/>
          <w:b w:val="true"/>
          <w:sz w:val="22"/>
        </w:rPr>
        <w:t>构建一套基于 Agent + OpenCode + RAG 技术的新型 AI 客服系统</w:t>
      </w:r>
      <w:r>
        <w:rPr>
          <w:rFonts w:eastAsia="等线" w:ascii="Arial" w:cs="Arial" w:hAnsi="Arial"/>
          <w:sz w:val="22"/>
        </w:rPr>
        <w:t>，解决传统方案在自行车行业无法落地的问题。本项目将：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采用 </w:t>
      </w:r>
      <w:r>
        <w:rPr>
          <w:rFonts w:eastAsia="等线" w:ascii="Arial" w:cs="Arial" w:hAnsi="Arial"/>
          <w:b w:val="true"/>
          <w:sz w:val="22"/>
        </w:rPr>
        <w:t>Multi-Agent 分层架构</w:t>
      </w:r>
      <w:r>
        <w:rPr>
          <w:rFonts w:eastAsia="等线" w:ascii="Arial" w:cs="Arial" w:hAnsi="Arial"/>
          <w:sz w:val="22"/>
        </w:rPr>
        <w:t>（L1/L2/L3），实现售前导购、售后常见问题、复杂技术诊断的分级自动处理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基于 </w:t>
      </w:r>
      <w:r>
        <w:rPr>
          <w:rFonts w:eastAsia="等线" w:ascii="Arial" w:cs="Arial" w:hAnsi="Arial"/>
          <w:b w:val="true"/>
          <w:sz w:val="22"/>
        </w:rPr>
        <w:t>Dify 开源平台</w:t>
      </w:r>
      <w:r>
        <w:rPr>
          <w:rFonts w:eastAsia="等线" w:ascii="Arial" w:cs="Arial" w:hAnsi="Arial"/>
          <w:sz w:val="22"/>
        </w:rPr>
        <w:t>私有化部署，搭建 AI 能力编排引擎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构建 </w:t>
      </w:r>
      <w:r>
        <w:rPr>
          <w:rFonts w:eastAsia="等线" w:ascii="Arial" w:cs="Arial" w:hAnsi="Arial"/>
          <w:b w:val="true"/>
          <w:sz w:val="22"/>
        </w:rPr>
        <w:t>RAG 知识库系统</w:t>
      </w:r>
      <w:r>
        <w:rPr>
          <w:rFonts w:eastAsia="等线" w:ascii="Arial" w:cs="Arial" w:hAnsi="Arial"/>
          <w:sz w:val="22"/>
        </w:rPr>
        <w:t>（产品规格、配件关系、售后案例），支撑精准问答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引入 </w:t>
      </w:r>
      <w:r>
        <w:rPr>
          <w:rFonts w:eastAsia="等线" w:ascii="Arial" w:cs="Arial" w:hAnsi="Arial"/>
          <w:b w:val="true"/>
          <w:sz w:val="22"/>
        </w:rPr>
        <w:t>大模型推荐系统</w:t>
      </w:r>
      <w:r>
        <w:rPr>
          <w:rFonts w:eastAsia="等线" w:ascii="Arial" w:cs="Arial" w:hAnsi="Arial"/>
          <w:sz w:val="22"/>
        </w:rPr>
        <w:t>，解决 3 万+ SKU / 200+ 配件的精准匹配难题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建立 </w:t>
      </w:r>
      <w:r>
        <w:rPr>
          <w:rFonts w:eastAsia="等线" w:ascii="Arial" w:cs="Arial" w:hAnsi="Arial"/>
          <w:b w:val="true"/>
          <w:sz w:val="22"/>
        </w:rPr>
        <w:t>自行车行业知识图谱</w:t>
      </w:r>
      <w:r>
        <w:rPr>
          <w:rFonts w:eastAsia="等线" w:ascii="Arial" w:cs="Arial" w:hAnsi="Arial"/>
          <w:sz w:val="22"/>
        </w:rPr>
        <w:t>：品牌-车型-配件-供应商关系网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对接千牛客户端及现有 ERP 系统，实现订单/物流/库存数据实时同步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开发 </w:t>
      </w:r>
      <w:r>
        <w:rPr>
          <w:rFonts w:eastAsia="等线" w:ascii="Arial" w:cs="Arial" w:hAnsi="Arial"/>
          <w:b w:val="true"/>
          <w:sz w:val="22"/>
        </w:rPr>
        <w:t>低代码知识库维护工具</w:t>
      </w:r>
      <w:r>
        <w:rPr>
          <w:rFonts w:eastAsia="等线" w:ascii="Arial" w:cs="Arial" w:hAnsi="Arial"/>
          <w:sz w:val="22"/>
        </w:rPr>
        <w:t>，让百欣运营人员自主更新语料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以凤凰旗舰店为试点，分阶段推进，验证可行性后扩展至其他店铺/品类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二、功能模块清单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 智能体（规则+FAQ）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 80% 常见问题：尺寸适配推荐、颜色/材质咨询、发货状态查询、简单退换货流程引导；基于规则引擎 + FAQ 知识库快速响应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 智能体（RAG+推荐）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处理复杂查询：零配件匹配推荐（基于车型自动关联配件）、跨 SKU 产品对比、售后问题智能分类与初步诊断；融合 RAG 检索与大模型推荐算法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 智能体（多轮对话+深度诊断）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处理高难度场景：变速调试指导、车辆组装问题诊断、复杂售后纠纷处理；支持多轮对话上下文理解与意图识别，无法解决时自动转人工并携带完整上下文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RAG 知识库系统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产品规格库（600+ 商品、3 万+ SKU 参数）、配件关系库（200+ 零配件与车型映射）、售后案例库（问题→方案→配件清单标准化记录）、FAQ 知识库；支持文档解析、向量化、混合检索与重排序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自行车行业知识图谱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品牌-车型-配件-供应商四层关系网络建模；配件名称归一化处理（AI 辅助解决多工厂命名混乱问题）；支持图谱推理与关联查询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大模型推荐引擎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基于大模型的 SKU/配件精准匹配（非单纯向量检索）；支持用户画像、购买历史、浏览行为等多维度推荐；售前商品导购与售后配件推荐双场景覆盖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千牛客户端接入层（待定）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千牛/钉钉轻量插件嵌入，无缝融入现有客服工作流；统一消息格式转换与路由；支持文字、图片、视频等多媒体消息处理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ERP 数据对接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对接百欣现有 ERP 系统，实现订单/物流/库存数据实时同步；支持发货状态自动查询、库存实时校验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客服工作台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实时会话列表（AI 自动回复 + 人工介入一键切换）；AI 辅助回复建议；工单管理与复杂问题流转；消息记录全量查看；L1/L2/L3 分级处理状态可视化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低代码知识库维护工具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可视化语料管理（增删改查）；拖拽式 FAQ 编排；配件关系维护界面；售后案例录入模板；百欣运营人员可自主更新，减少对技术团队依赖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管理后台与数据报表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知识库效果监控（命中率、准确率）；客服数据报表（响应时长、自动处理率、客户满意度）；L1/L2/L3 各级处理量与转人工率统计；AI 模型效果对比分析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三、技术架构概要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技术栈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平台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Dify 私有化部署（Workflow + Agent + RAG）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大语言模型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通义千问 Qwen-Max（主力）+ DeepSeek-V3（精度校验）+ GLM-4-Flash（免费分流 L1 简单问答）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推荐引擎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大模型推荐算法（SKU/配件匹配）+ Embedding 相似度排序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向量化模型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text-embedding-v4（通义千问）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向量数据库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Milvus（大规模向量检索，适配 3 万+ SKU 场景）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图数据库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Neo4j（自行车行业知识图谱：品牌-车型-配件-供应商关系网）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后端框架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Python（FastAPI）+ OpenCode Agent 框架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 16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7.x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消息队列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RabbitMQ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 3 + Element Plus（管理后台 &amp; 知识库维护工具）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千牛接入（待定）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千牛 ISV 插件 / 淘宝开放平台 API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容器化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+ Docker Compose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网关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Nginx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架构设计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采用 </w:t>
      </w:r>
      <w:r>
        <w:rPr>
          <w:rFonts w:eastAsia="等线" w:ascii="Arial" w:cs="Arial" w:hAnsi="Arial"/>
          <w:b w:val="true"/>
          <w:sz w:val="22"/>
        </w:rPr>
        <w:t>用户交互 → 智能分层调度 → 业务服务 → 数据与知识支撑</w:t>
      </w:r>
      <w:r>
        <w:rPr>
          <w:rFonts w:eastAsia="等线" w:ascii="Arial" w:cs="Arial" w:hAnsi="Arial"/>
          <w:sz w:val="22"/>
        </w:rPr>
        <w:t xml:space="preserve"> 四层架构：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用户交互层</w:t>
      </w:r>
      <w:r>
        <w:rPr>
          <w:rFonts w:eastAsia="等线" w:ascii="Arial" w:cs="Arial" w:hAnsi="Arial"/>
          <w:sz w:val="22"/>
        </w:rPr>
        <w:t>：千牛客户端插件嵌入，消费者通过天猫/淘宝正常咨询，客服端无感切换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智能分层调度层</w:t>
      </w:r>
      <w:r>
        <w:rPr>
          <w:rFonts w:eastAsia="等线" w:ascii="Arial" w:cs="Arial" w:hAnsi="Arial"/>
          <w:sz w:val="22"/>
        </w:rPr>
        <w:t>：Router Agent 意图识别 → L1（规则+FAQ，80% 常见问题）→ L2（RAG+推荐，复杂查询）→ L3（多轮对话+深度诊断）→ 人工转接（上下文携带）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业务服务层</w:t>
      </w:r>
      <w:r>
        <w:rPr>
          <w:rFonts w:eastAsia="等线" w:ascii="Arial" w:cs="Arial" w:hAnsi="Arial"/>
          <w:sz w:val="22"/>
        </w:rPr>
        <w:t>：ERP 数据同步（订单/物流/库存）、配件匹配引擎、售后工单管理、客服工作台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数据与知识支撑层</w:t>
      </w:r>
      <w:r>
        <w:rPr>
          <w:rFonts w:eastAsia="等线" w:ascii="Arial" w:cs="Arial" w:hAnsi="Arial"/>
          <w:sz w:val="22"/>
        </w:rPr>
        <w:t>：Milvus 向量库（RAG 检索）、Neo4j 图数据库（知识图谱）、PostgreSQL（业务数据）、Redis（会话缓存）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部署方案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本地化部署</w:t>
      </w:r>
      <w:r>
        <w:rPr>
          <w:rFonts w:eastAsia="等线" w:ascii="Arial" w:cs="Arial" w:hAnsi="Arial"/>
          <w:sz w:val="22"/>
        </w:rPr>
        <w:t>方式（符合百欣电商数据安全要求）：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本地服务器</w:t>
      </w:r>
      <w:r>
        <w:rPr>
          <w:rFonts w:eastAsia="等线" w:ascii="Arial" w:cs="Arial" w:hAnsi="Arial"/>
          <w:sz w:val="22"/>
        </w:rPr>
        <w:t>：部署 Dify 平台、Milvus、Neo4j、PostgreSQL、Redis、业务服务 — 保障数据安全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云服务器（轻量）</w:t>
      </w:r>
      <w:r>
        <w:rPr>
          <w:rFonts w:eastAsia="等线" w:ascii="Arial" w:cs="Arial" w:hAnsi="Arial"/>
          <w:sz w:val="22"/>
        </w:rPr>
        <w:t>：部署 Nginx 反向代理、千牛消息中转服务 — 承载外网消息接入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本地与云端通过 VPN/专线打通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四、报价明细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费用总览</w:t>
      </w:r>
      <w:bookmarkEnd w:id="10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项目总价：¥325,000（人民币叁拾贰万伍仟元整）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费用（元）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需求分析与系统设计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29,500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9.1%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开发实施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168,300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51.8%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测试与优化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33,200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10.2%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部署上线与培训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27,500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8.5%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增值服务模块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42,500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13.1%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24,000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7.4%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325,000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100%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需求分析与系统设计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人员级别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工作量（人天）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单价（元/天）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小计（元）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百欣电商业务调研（现场驻场）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10,000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售前/售后场景梳理与优先级排序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系统架构设计（含知识图谱方案）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多渠道接口方案设计（千牛/ERP/淘宝开放平台）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4,000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UI/UX 原型设计（工作台+维护工具）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4,000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数据标注规范与配件编码体系设计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1,500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29,500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 开发实施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人员级别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工作量（人天）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单价（元/天）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小计（元）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Dify 平台部署与配置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Dify 私有化部署与调优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7,500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多模型接入与调度策略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Multi-Agent 分层编排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Router Agent（意图分类调度）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7,500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L1 智能体（规则+FAQ 引擎）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5,400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L2 智能体（RAG+推荐 Workflow）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12,500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L3 智能体（多轮对话+深度诊断）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10,000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人工转接与上下文携带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3,600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RAG 知识库建设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知识库架构与分类设计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产品规格/SKU 数据导入（3万+ SKU）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7,200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售后案例库构建与标注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5,400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混合检索与重排序调优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知识图谱建设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Neo4j 图谱建模（品牌-车型-配件-供应商）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10,000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配件名称归一化处理（AI 辅助）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5,400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图谱查询接口开发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3,600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大模型推荐引擎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SKU/配件精准匹配算法开发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7,500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推荐策略配置与调优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多渠道 API 对接与电商平台适配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千牛 ISV 插件开发与调试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12,000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淘宝开放平台 API 全链路对接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11,000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ERP 数据同步服务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10,000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消息路由与多渠道格式标准化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3,600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前端开发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客服工作台（会话/工单/AI 辅助）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5,400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低代码知识库维护工具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7,200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管理后台（报表/效果监控）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3,600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业务服务层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售后工单管理服务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3,600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会话管理与上下文缓存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配件编码与数据清洗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配件标准化编码体系实施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历史数据清洗与导入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1,500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80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168,500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  <w:r>
              <w:rPr>
                <w:rFonts w:eastAsia="等线" w:ascii="Arial" w:cs="Arial" w:hAnsi="Arial"/>
                <w:sz w:val="22"/>
              </w:rPr>
              <w:t>：开发实施费用按实际明细汇总为 ¥168,500，与总览中 ¥168,300 的差额 ¥200 作为报价折让。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多渠道 API 对接与电商平台适配</w:t>
            </w:r>
            <w:r>
              <w:rPr>
                <w:rFonts w:eastAsia="等线" w:ascii="Arial" w:cs="Arial" w:hAnsi="Arial"/>
                <w:sz w:val="22"/>
              </w:rPr>
              <w:t xml:space="preserve">模块合计 </w:t>
            </w:r>
            <w:r>
              <w:rPr>
                <w:rFonts w:eastAsia="等线" w:ascii="Arial" w:cs="Arial" w:hAnsi="Arial"/>
                <w:b w:val="true"/>
                <w:sz w:val="22"/>
              </w:rPr>
              <w:t>18 人天 / ¥36,600</w:t>
            </w:r>
            <w:r>
              <w:rPr>
                <w:rFonts w:eastAsia="等线" w:ascii="Arial" w:cs="Arial" w:hAnsi="Arial"/>
                <w:sz w:val="22"/>
              </w:rPr>
              <w:t>，为本项目重点投入方向。百欣电商涉及千牛 ISV 插件、淘宝开放平台（商品/订单/物流/消息四大 API 域）、ERP 系统三方对接，接口复杂度和联调工作量显著高于单一渠道项目。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4.4 测试与优化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人员级别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工作量（人天）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单价（元/天）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小计（元）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功能测试（全模块）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1,600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8,000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回复准确率测试与调优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7,500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配件匹配准确率测试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L1/L2/L3 分流准确率测试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1,600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3,200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千牛联调与 ERP 联调测试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1,600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6,400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性能与压力测试（旺季峰值模拟）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1,500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Bug 修复与回归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1,600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1,600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33,200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4.5 部署上线与培训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人员级别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工作量（人天）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单价（元/天）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小计（元）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本地服务器环境部署（含 Milvus/Neo4j）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云服务器部署（千牛消息中转）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2,700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Compose 编排与上线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2,700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系统使用培训（客服团队 + 运营团队）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知识库维护工具培训（百欣运营人员）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4,000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上线陪跑与问题处理（2 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7,200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知识库初始数据录入指导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900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27,500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4.6 增值服务模块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人员级别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工作量（人天）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单价（元/天）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小计（元）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售前场景 POC 验证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TOP50 商品知识库构建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6,000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POC 效果评估与方案调优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售后案例库深度建设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典型售后场景标准化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7,200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调试指导多媒体内容库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3,600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主数据管理（MDM）规范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供应商数据统一规范设计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MDM 落地实施辅导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数据分析与效果监控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客服效能分析报表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3,600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AI 模型效果对比分析工具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1,800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系统安全加固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接口鉴权/数据加密/日志审计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7,500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　敏感信息脱敏处理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42,500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4.7 项目管理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小计（元）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项目经理全程管理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项目计划制定、进度跟踪、周报汇报、风险管控、跨角色协调（贯穿项目全周期 16 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24,000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24,000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项目管理费占项目总额的 7.4%，为行业常规水平（通常 5%-10%）。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4.8 费用汇总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金额（元）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需求分析与系统设计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29,500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开发实施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168,300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测试与优化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33,200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部署上线与培训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27,500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增值服务模块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42,500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项目管理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24,000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项目总价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¥325,000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大写金额：人民币叁拾贰万伍仟元整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五、项目周期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预估总工期 </w:t>
      </w:r>
      <w:r>
        <w:rPr>
          <w:rFonts w:eastAsia="等线" w:ascii="Arial" w:cs="Arial" w:hAnsi="Arial"/>
          <w:b w:val="true"/>
          <w:sz w:val="22"/>
        </w:rPr>
        <w:t>16 周</w:t>
      </w:r>
      <w:r>
        <w:rPr>
          <w:rFonts w:eastAsia="等线" w:ascii="Arial" w:cs="Arial" w:hAnsi="Arial"/>
          <w:sz w:val="22"/>
        </w:rPr>
        <w:t>（约 4 个月），具体里程碑如下：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主要产出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现场调研与方案设计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1-2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百欣电商业务需求确认书、系统设计文档、配件编码规范、UI 原型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售前 POC 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2-4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TOP50 商品知识库、L1 智能体原型、POC 效果评估报告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Dify 部署与 Agent 核心开发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3-7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Dify 平台就绪、Router Agent、L1/L2/L3 三级智能体、RAG 知识库上线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知识图谱与推荐引擎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5-8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Neo4j 知识图谱上线、配件名称归一化、大模型推荐引擎、SKU 精准匹配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多渠道 API 对接与业务服务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6-11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千牛插件、淘宝开放平台全链路对接、ERP 对接、客服工作台、低代码维护工具、管理后台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增值模块与数据建设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9-13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售后案例库、MDM 规范、数据分析报表、安全加固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联调测试与优化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11-14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全链路联调、准确率调优（目标 85%+）、旺季压力测试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部署上线与培训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14-16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生产环境部署、客服/运营团队培训、上线陪跑（2 周）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  <w:r>
              <w:rPr>
                <w:rFonts w:eastAsia="等线" w:ascii="Arial" w:cs="Arial" w:hAnsi="Arial"/>
                <w:sz w:val="22"/>
              </w:rPr>
              <w:t>：部分阶段可并行推进，实际以双方确认的项目计划为准。建议在 6 月旺季前完成核心功能（L1+L2）上线，预留缓冲期。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六、交付物清单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格式/形式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系统设计文档（含架构方案、接口设计、知识图谱建模）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配件标准化编码体系文档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数据库设计文档（含图数据库 Schema）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全部源代码（后端 + 前端 + 千牛插件）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 仓库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Dify Workflow 与 Agent 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Dify 导出包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知识库初始数据及导入脚本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数据文件 + 脚本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自行车行业知识图谱数据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Neo4j 导出包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Compose 部署文件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YAML 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部署运维手册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系统使用手册（客服操作指南 + 运营维护指南）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知识库维护工具使用手册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测试报告（含准确率报告、压力测试报告）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培训记录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文档/录屏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POC 效果评估报告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七、服务条款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7.1 免费维护期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项目验收合格后，提供 </w:t>
      </w:r>
      <w:r>
        <w:rPr>
          <w:rFonts w:eastAsia="等线" w:ascii="Arial" w:cs="Arial" w:hAnsi="Arial"/>
          <w:b w:val="true"/>
          <w:sz w:val="22"/>
        </w:rPr>
        <w:t>3 个月免费维护期</w:t>
      </w:r>
      <w:r>
        <w:rPr>
          <w:rFonts w:eastAsia="等线" w:ascii="Arial" w:cs="Arial" w:hAnsi="Arial"/>
          <w:sz w:val="22"/>
        </w:rPr>
        <w:t>，包含：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 Bug 修复（工作日 8 小时内响应）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Dify 平台及组件的小版本安全更新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知识库效果持续调优（每月最多 3 次）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模型回复准确率持续优化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配件匹配准确率调优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线上问题排查与处理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7.2 技术支持</w:t>
      </w:r>
      <w:bookmarkEnd w:id="22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工作日</w:t>
      </w:r>
      <w:r>
        <w:rPr>
          <w:rFonts w:eastAsia="等线" w:ascii="Arial" w:cs="Arial" w:hAnsi="Arial"/>
          <w:sz w:val="22"/>
        </w:rPr>
        <w:t>：9:00 – 18:00 在线支持，紧急问题 1 小时内响应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非工作日</w:t>
      </w:r>
      <w:r>
        <w:rPr>
          <w:rFonts w:eastAsia="等线" w:ascii="Arial" w:cs="Arial" w:hAnsi="Arial"/>
          <w:sz w:val="22"/>
        </w:rPr>
        <w:t>：提供紧急故障电话支持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支持渠道</w:t>
      </w:r>
      <w:r>
        <w:rPr>
          <w:rFonts w:eastAsia="等线" w:ascii="Arial" w:cs="Arial" w:hAnsi="Arial"/>
          <w:sz w:val="22"/>
        </w:rPr>
        <w:t>：钉钉群 / 电话 / 远程协助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7.3 付费维护（维护期满后）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免费维护期结束后，可签订年度维护合同，费用为项目总价的 </w:t>
      </w:r>
      <w:r>
        <w:rPr>
          <w:rFonts w:eastAsia="等线" w:ascii="Arial" w:cs="Arial" w:hAnsi="Arial"/>
          <w:b w:val="true"/>
          <w:sz w:val="22"/>
        </w:rPr>
        <w:t>15%/年</w:t>
      </w:r>
      <w:r>
        <w:rPr>
          <w:rFonts w:eastAsia="等线" w:ascii="Arial" w:cs="Arial" w:hAnsi="Arial"/>
          <w:sz w:val="22"/>
        </w:rPr>
        <w:t>（约 ¥48,750/年），包含：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7×12 小时技术支持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系统功能小幅迭代（每季度不超过 8 人天）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Dify 平台版本升级支持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知识库与知识图谱持续优化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新品上架时的 SKU 数据导入支持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模型效果定期评估与调优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7.4 付款方式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金额（元）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合同签订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130,000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签订合同后 5 个工作日内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中期验收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97,500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核心功能（L1+L2+千牛接入）开发完成并演示通过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终验上线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97,500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系统全量上线验收合格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7.5 其他约定</w:t>
      </w:r>
      <w:bookmarkEnd w:id="2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报价不含第三方云服务器、域名、SSL 证书等基础设施费用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报价不含 LLM API 调用费用（按实际用量由百欣电商直接向模型供应商结算）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报价不含千牛 ISV 认证年费（如需）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需求变更超出原始范围的，双方协商后签订补充协议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项目知识产权（源代码、文档）在尾款结清后完整移交百欣电商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7.6 待确认事项</w:t>
      </w:r>
      <w:bookmarkEnd w:id="26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ERP 系统接口开放程度：需确认百欣现有 ERP 系统的 API 能力与数据可导出范围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千牛 ISV 接入方式：需确认是否已有 ISV 资质或需新申请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历史售后数据质量：需评估现有售后记录的结构化程度，确定数据清洗工作量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配件数据标准化范围：需确认首期覆盖的品牌/车型/配件范围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旺季上线时间节点：建议核心功能在 6 月前上线，需确认项目启动时间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附录：第三方运营费用估算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说明</w:t>
      </w:r>
      <w:r>
        <w:rPr>
          <w:rFonts w:eastAsia="等线" w:ascii="Arial" w:cs="Arial" w:hAnsi="Arial"/>
          <w:i w:val="true"/>
          <w:color w:val="646a73"/>
          <w:sz w:val="22"/>
        </w:rPr>
        <w:t>：以下费用为项目运营所需的第三方服务费用，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不包含在本报价（¥325,000）之内</w:t>
      </w:r>
      <w:r>
        <w:rPr>
          <w:rFonts w:eastAsia="等线" w:ascii="Arial" w:cs="Arial" w:hAnsi="Arial"/>
          <w:i w:val="true"/>
          <w:color w:val="646a73"/>
          <w:sz w:val="22"/>
        </w:rPr>
        <w:t>，由百欣电商直接向各服务商采购和结算。费用为基于 2026 年市场行情的预估，实际以客户选择的服务商、套餐及用量为准。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A.1 费用明细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服务商参考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规格/用量估算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月度费用（元）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年度费用（元）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云服务器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阿里云/腾讯云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8核16G，10M带宽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500</w:t>
            </w:r>
            <w:r>
              <w:rPr>
                <w:rFonts w:eastAsia="等线" w:ascii="Arial" w:cs="Arial" w:hAnsi="Arial"/>
                <w:sz w:val="22"/>
              </w:rPr>
              <w:t>~1,200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6,000</w:t>
            </w:r>
            <w:r>
              <w:rPr>
                <w:rFonts w:eastAsia="等线" w:ascii="Arial" w:cs="Arial" w:hAnsi="Arial"/>
                <w:sz w:val="22"/>
              </w:rPr>
              <w:t>~14,400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建议一次性购买 2-3 年锁定低价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本地服务器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自购/租赁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16核64G+，1T SSD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~15,000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如已有服务器则无需额外采购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域名 + SSL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.com 域名 + 免费 SSL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69</w:t>
            </w:r>
            <w:r>
              <w:rPr>
                <w:rFonts w:eastAsia="等线" w:ascii="Arial" w:cs="Arial" w:hAnsi="Arial"/>
                <w:sz w:val="22"/>
              </w:rPr>
              <w:t>~200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推荐免费证书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LLM API 调用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阿里云百炼 / DeepSeek / 智谱 AI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每日约 2,000-5,000 条咨询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1,500</w:t>
            </w:r>
            <w:r>
              <w:rPr>
                <w:rFonts w:eastAsia="等线" w:ascii="Arial" w:cs="Arial" w:hAnsi="Arial"/>
                <w:sz w:val="22"/>
              </w:rPr>
              <w:t>~4,000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18,000</w:t>
            </w:r>
            <w:r>
              <w:rPr>
                <w:rFonts w:eastAsia="等线" w:ascii="Arial" w:cs="Arial" w:hAnsi="Arial"/>
                <w:sz w:val="22"/>
              </w:rPr>
              <w:t>~48,000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GLM-4-Flash 免费分流可降 40%-50% 成本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千牛 ISV 年费（待定）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淘宝开放平台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ISV 服务商认证年费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~6,000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如已有 ISV 资质则无需额外费用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Milvus 云服务（可选）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Zilliz Cloud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如选择云托管而非本地部署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500</w:t>
            </w:r>
            <w:r>
              <w:rPr>
                <w:rFonts w:eastAsia="等线" w:ascii="Arial" w:cs="Arial" w:hAnsi="Arial"/>
                <w:sz w:val="22"/>
              </w:rPr>
              <w:t>~2,000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6,000</w:t>
            </w:r>
            <w:r>
              <w:rPr>
                <w:rFonts w:eastAsia="等线" w:ascii="Arial" w:cs="Arial" w:hAnsi="Arial"/>
                <w:sz w:val="22"/>
              </w:rPr>
              <w:t>~24,000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推荐本地部署以降低成本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A.2 年度运营成本汇总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年度最低（元）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年度最高（元）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云服务器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6,000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14,400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本地服务器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15,000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域名 + SSL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69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API 调用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18,000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48,000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千牛 ISV 年费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6,000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年度合计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¥24,069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¥83,600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建议年度运营预算：¥35,000 ~ ¥55,000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（选择中等配置方案，覆盖核心需求）。折合月均 ¥2,900 </w:t>
      </w:r>
      <w:r>
        <w:rPr>
          <w:rFonts w:eastAsia="等线" w:ascii="Arial" w:cs="Arial" w:hAnsi="Arial"/>
          <w:i w:val="true"/>
          <w:color w:val="646a73"/>
          <w:sz w:val="22"/>
        </w:rPr>
        <w:t>~ ¥4,600，远低于缩减 10 名客服人员的人力成本。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A.3 成本优化建议</w:t>
      </w:r>
      <w:bookmarkEnd w:id="30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分流策略</w:t>
      </w:r>
      <w:r>
        <w:rPr>
          <w:rFonts w:eastAsia="等线" w:ascii="Arial" w:cs="Arial" w:hAnsi="Arial"/>
          <w:sz w:val="22"/>
        </w:rPr>
        <w:t>：L1 简单问答使用 GLM-4-Flash 免费额度（约占 40%-50%），仅 L2/L3 复杂场景使用 Qwen-Max 付费模型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云服务器</w:t>
      </w:r>
      <w:r>
        <w:rPr>
          <w:rFonts w:eastAsia="等线" w:ascii="Arial" w:cs="Arial" w:hAnsi="Arial"/>
          <w:sz w:val="22"/>
        </w:rPr>
        <w:t>：首购选择阿里云/腾讯云新客活动，一次性购买 2-3 年可大幅降低年均成本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本地服务器</w:t>
      </w:r>
      <w:r>
        <w:rPr>
          <w:rFonts w:eastAsia="等线" w:ascii="Arial" w:cs="Arial" w:hAnsi="Arial"/>
          <w:sz w:val="22"/>
        </w:rPr>
        <w:t>：利用百欣现有服务器资源，部署 AI 核心组件，减少云端开支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SSL 证书</w:t>
      </w:r>
      <w:r>
        <w:rPr>
          <w:rFonts w:eastAsia="等线" w:ascii="Arial" w:cs="Arial" w:hAnsi="Arial"/>
          <w:sz w:val="22"/>
        </w:rPr>
        <w:t>：使用免费证书即可满足需求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渐进式扩容</w:t>
      </w:r>
      <w:r>
        <w:rPr>
          <w:rFonts w:eastAsia="等线" w:ascii="Arial" w:cs="Arial" w:hAnsi="Arial"/>
          <w:sz w:val="22"/>
        </w:rPr>
        <w:t>：初期以凤凰旗舰店为试点，验证效果后再扩展至其他店铺，控制初期 LLM 用量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A.4 ROI 预估</w:t>
      </w:r>
      <w:bookmarkEnd w:id="31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投资回报分析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项目投入（一次性）：</w:t>
            </w:r>
            <w:r>
              <w:rPr>
                <w:rFonts w:eastAsia="等线" w:ascii="Arial" w:cs="Arial" w:hAnsi="Arial"/>
                <w:b w:val="true"/>
                <w:sz w:val="22"/>
              </w:rPr>
              <w:t>¥325,000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年度运营成本：</w:t>
            </w:r>
            <w:r>
              <w:rPr>
                <w:rFonts w:eastAsia="等线" w:ascii="Arial" w:cs="Arial" w:hAnsi="Arial"/>
                <w:b w:val="true"/>
                <w:sz w:val="22"/>
              </w:rPr>
              <w:t>¥35,000 ~ ¥55,000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 L1+L2 自动处理率：</w:t>
            </w:r>
            <w:r>
              <w:rPr>
                <w:rFonts w:eastAsia="等线" w:ascii="Arial" w:cs="Arial" w:hAnsi="Arial"/>
                <w:b w:val="true"/>
                <w:sz w:val="22"/>
              </w:rPr>
              <w:t>60%+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目标可缩减客服人数：</w:t>
            </w:r>
            <w:r>
              <w:rPr>
                <w:rFonts w:eastAsia="等线" w:ascii="Arial" w:cs="Arial" w:hAnsi="Arial"/>
                <w:b w:val="true"/>
                <w:sz w:val="22"/>
              </w:rPr>
              <w:t>15-25 人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年节省人力成本：</w:t>
            </w:r>
            <w:r>
              <w:rPr>
                <w:rFonts w:eastAsia="等线" w:ascii="Arial" w:cs="Arial" w:hAnsi="Arial"/>
                <w:b w:val="true"/>
                <w:sz w:val="22"/>
              </w:rPr>
              <w:t>¥72 万 ~ ¥150 万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预计回本周期：</w:t>
            </w:r>
            <w:r>
              <w:rPr>
                <w:rFonts w:eastAsia="等线" w:ascii="Arial" w:cs="Arial" w:hAnsi="Arial"/>
                <w:b w:val="true"/>
                <w:sz w:val="22"/>
              </w:rPr>
              <w:t>5-6 个月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本报价方案最终解释权归开发团队所有，具体条款以双方签订的正式合同为准。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84236">
    <w:lvl>
      <w:start w:val="1"/>
      <w:numFmt w:val="decimal"/>
      <w:suff w:val="tab"/>
      <w:lvlText w:val="%1."/>
      <w:rPr>
        <w:color w:val="3370ff"/>
      </w:rPr>
    </w:lvl>
  </w:abstractNum>
  <w:abstractNum w:abstractNumId="2784237">
    <w:lvl>
      <w:start w:val="2"/>
      <w:numFmt w:val="decimal"/>
      <w:suff w:val="tab"/>
      <w:lvlText w:val="%1."/>
      <w:rPr>
        <w:color w:val="3370ff"/>
      </w:rPr>
    </w:lvl>
  </w:abstractNum>
  <w:abstractNum w:abstractNumId="2784238">
    <w:lvl>
      <w:start w:val="3"/>
      <w:numFmt w:val="decimal"/>
      <w:suff w:val="tab"/>
      <w:lvlText w:val="%1."/>
      <w:rPr>
        <w:color w:val="3370ff"/>
      </w:rPr>
    </w:lvl>
  </w:abstractNum>
  <w:abstractNum w:abstractNumId="2784239">
    <w:lvl>
      <w:start w:val="4"/>
      <w:numFmt w:val="decimal"/>
      <w:suff w:val="tab"/>
      <w:lvlText w:val="%1."/>
      <w:rPr>
        <w:color w:val="3370ff"/>
      </w:rPr>
    </w:lvl>
  </w:abstractNum>
  <w:abstractNum w:abstractNumId="2784240">
    <w:lvl>
      <w:start w:val="5"/>
      <w:numFmt w:val="decimal"/>
      <w:suff w:val="tab"/>
      <w:lvlText w:val="%1."/>
      <w:rPr>
        <w:color w:val="3370ff"/>
      </w:rPr>
    </w:lvl>
  </w:abstractNum>
  <w:abstractNum w:abstractNumId="2784241">
    <w:lvl>
      <w:start w:val="6"/>
      <w:numFmt w:val="decimal"/>
      <w:suff w:val="tab"/>
      <w:lvlText w:val="%1."/>
      <w:rPr>
        <w:color w:val="3370ff"/>
      </w:rPr>
    </w:lvl>
  </w:abstractNum>
  <w:abstractNum w:abstractNumId="2784242">
    <w:lvl>
      <w:start w:val="7"/>
      <w:numFmt w:val="decimal"/>
      <w:suff w:val="tab"/>
      <w:lvlText w:val="%1."/>
      <w:rPr>
        <w:color w:val="3370ff"/>
      </w:rPr>
    </w:lvl>
  </w:abstractNum>
  <w:abstractNum w:abstractNumId="2784243">
    <w:lvl>
      <w:numFmt w:val="bullet"/>
      <w:suff w:val="tab"/>
      <w:lvlText w:val="•"/>
      <w:rPr>
        <w:color w:val="3370ff"/>
      </w:rPr>
    </w:lvl>
  </w:abstractNum>
  <w:abstractNum w:abstractNumId="2784244">
    <w:lvl>
      <w:numFmt w:val="bullet"/>
      <w:suff w:val="tab"/>
      <w:lvlText w:val="•"/>
      <w:rPr>
        <w:color w:val="3370ff"/>
      </w:rPr>
    </w:lvl>
  </w:abstractNum>
  <w:abstractNum w:abstractNumId="2784245">
    <w:lvl>
      <w:numFmt w:val="bullet"/>
      <w:suff w:val="tab"/>
      <w:lvlText w:val="•"/>
      <w:rPr>
        <w:color w:val="3370ff"/>
      </w:rPr>
    </w:lvl>
  </w:abstractNum>
  <w:abstractNum w:abstractNumId="2784246">
    <w:lvl>
      <w:numFmt w:val="bullet"/>
      <w:suff w:val="tab"/>
      <w:lvlText w:val="•"/>
      <w:rPr>
        <w:color w:val="3370ff"/>
      </w:rPr>
    </w:lvl>
  </w:abstractNum>
  <w:abstractNum w:abstractNumId="2784247">
    <w:lvl>
      <w:numFmt w:val="bullet"/>
      <w:suff w:val="tab"/>
      <w:lvlText w:val="•"/>
      <w:rPr>
        <w:color w:val="3370ff"/>
      </w:rPr>
    </w:lvl>
  </w:abstractNum>
  <w:abstractNum w:abstractNumId="2784248">
    <w:lvl>
      <w:numFmt w:val="bullet"/>
      <w:suff w:val="tab"/>
      <w:lvlText w:val="•"/>
      <w:rPr>
        <w:color w:val="3370ff"/>
      </w:rPr>
    </w:lvl>
  </w:abstractNum>
  <w:abstractNum w:abstractNumId="2784249">
    <w:lvl>
      <w:numFmt w:val="bullet"/>
      <w:suff w:val="tab"/>
      <w:lvlText w:val="•"/>
      <w:rPr>
        <w:color w:val="3370ff"/>
      </w:rPr>
    </w:lvl>
  </w:abstractNum>
  <w:abstractNum w:abstractNumId="2784250">
    <w:lvl>
      <w:numFmt w:val="bullet"/>
      <w:suff w:val="tab"/>
      <w:lvlText w:val="•"/>
      <w:rPr>
        <w:color w:val="3370ff"/>
      </w:rPr>
    </w:lvl>
  </w:abstractNum>
  <w:abstractNum w:abstractNumId="2784251">
    <w:lvl>
      <w:numFmt w:val="bullet"/>
      <w:suff w:val="tab"/>
      <w:lvlText w:val="•"/>
      <w:rPr>
        <w:color w:val="3370ff"/>
      </w:rPr>
    </w:lvl>
  </w:abstractNum>
  <w:abstractNum w:abstractNumId="2784252">
    <w:lvl>
      <w:numFmt w:val="bullet"/>
      <w:suff w:val="tab"/>
      <w:lvlText w:val="•"/>
      <w:rPr>
        <w:color w:val="3370ff"/>
      </w:rPr>
    </w:lvl>
  </w:abstractNum>
  <w:abstractNum w:abstractNumId="2784253">
    <w:lvl>
      <w:numFmt w:val="bullet"/>
      <w:suff w:val="tab"/>
      <w:lvlText w:val="•"/>
      <w:rPr>
        <w:color w:val="3370ff"/>
      </w:rPr>
    </w:lvl>
  </w:abstractNum>
  <w:abstractNum w:abstractNumId="2784254">
    <w:lvl>
      <w:numFmt w:val="bullet"/>
      <w:suff w:val="tab"/>
      <w:lvlText w:val="•"/>
      <w:rPr>
        <w:color w:val="3370ff"/>
      </w:rPr>
    </w:lvl>
  </w:abstractNum>
  <w:abstractNum w:abstractNumId="2784255">
    <w:lvl>
      <w:numFmt w:val="bullet"/>
      <w:suff w:val="tab"/>
      <w:lvlText w:val="•"/>
      <w:rPr>
        <w:color w:val="3370ff"/>
      </w:rPr>
    </w:lvl>
  </w:abstractNum>
  <w:abstractNum w:abstractNumId="2784256">
    <w:lvl>
      <w:numFmt w:val="bullet"/>
      <w:suff w:val="tab"/>
      <w:lvlText w:val="•"/>
      <w:rPr>
        <w:color w:val="3370ff"/>
      </w:rPr>
    </w:lvl>
  </w:abstractNum>
  <w:abstractNum w:abstractNumId="2784257">
    <w:lvl>
      <w:numFmt w:val="bullet"/>
      <w:suff w:val="tab"/>
      <w:lvlText w:val="•"/>
      <w:rPr>
        <w:color w:val="3370ff"/>
      </w:rPr>
    </w:lvl>
  </w:abstractNum>
  <w:abstractNum w:abstractNumId="2784258">
    <w:lvl>
      <w:numFmt w:val="bullet"/>
      <w:suff w:val="tab"/>
      <w:lvlText w:val="•"/>
      <w:rPr>
        <w:color w:val="3370ff"/>
      </w:rPr>
    </w:lvl>
  </w:abstractNum>
  <w:abstractNum w:abstractNumId="2784259">
    <w:lvl>
      <w:numFmt w:val="bullet"/>
      <w:suff w:val="tab"/>
      <w:lvlText w:val="•"/>
      <w:rPr>
        <w:color w:val="3370ff"/>
      </w:rPr>
    </w:lvl>
  </w:abstractNum>
  <w:abstractNum w:abstractNumId="2784260">
    <w:lvl>
      <w:numFmt w:val="bullet"/>
      <w:suff w:val="tab"/>
      <w:lvlText w:val="•"/>
      <w:rPr>
        <w:color w:val="3370ff"/>
      </w:rPr>
    </w:lvl>
  </w:abstractNum>
  <w:abstractNum w:abstractNumId="2784261">
    <w:lvl>
      <w:numFmt w:val="bullet"/>
      <w:suff w:val="tab"/>
      <w:lvlText w:val="•"/>
      <w:rPr>
        <w:color w:val="3370ff"/>
      </w:rPr>
    </w:lvl>
  </w:abstractNum>
  <w:abstractNum w:abstractNumId="2784262">
    <w:lvl>
      <w:numFmt w:val="bullet"/>
      <w:suff w:val="tab"/>
      <w:lvlText w:val="•"/>
      <w:rPr>
        <w:color w:val="3370ff"/>
      </w:rPr>
    </w:lvl>
  </w:abstractNum>
  <w:abstractNum w:abstractNumId="2784263">
    <w:lvl>
      <w:numFmt w:val="bullet"/>
      <w:suff w:val="tab"/>
      <w:lvlText w:val="•"/>
      <w:rPr>
        <w:color w:val="3370ff"/>
      </w:rPr>
    </w:lvl>
  </w:abstractNum>
  <w:abstractNum w:abstractNumId="2784264">
    <w:lvl>
      <w:numFmt w:val="bullet"/>
      <w:suff w:val="tab"/>
      <w:lvlText w:val="•"/>
      <w:rPr>
        <w:color w:val="3370ff"/>
      </w:rPr>
    </w:lvl>
  </w:abstractNum>
  <w:abstractNum w:abstractNumId="2784265">
    <w:lvl>
      <w:numFmt w:val="bullet"/>
      <w:suff w:val="tab"/>
      <w:lvlText w:val="•"/>
      <w:rPr>
        <w:color w:val="3370ff"/>
      </w:rPr>
    </w:lvl>
  </w:abstractNum>
  <w:abstractNum w:abstractNumId="2784266">
    <w:lvl>
      <w:numFmt w:val="bullet"/>
      <w:suff w:val="tab"/>
      <w:lvlText w:val="•"/>
      <w:rPr>
        <w:color w:val="3370ff"/>
      </w:rPr>
    </w:lvl>
  </w:abstractNum>
  <w:abstractNum w:abstractNumId="2784267">
    <w:lvl>
      <w:numFmt w:val="bullet"/>
      <w:suff w:val="tab"/>
      <w:lvlText w:val="•"/>
      <w:rPr>
        <w:color w:val="3370ff"/>
      </w:rPr>
    </w:lvl>
  </w:abstractNum>
  <w:abstractNum w:abstractNumId="2784268">
    <w:lvl>
      <w:numFmt w:val="bullet"/>
      <w:suff w:val="tab"/>
      <w:lvlText w:val="•"/>
      <w:rPr>
        <w:color w:val="3370ff"/>
      </w:rPr>
    </w:lvl>
  </w:abstractNum>
  <w:abstractNum w:abstractNumId="2784269">
    <w:lvl>
      <w:numFmt w:val="bullet"/>
      <w:suff w:val="tab"/>
      <w:lvlText w:val="•"/>
      <w:rPr>
        <w:color w:val="3370ff"/>
      </w:rPr>
    </w:lvl>
  </w:abstractNum>
  <w:abstractNum w:abstractNumId="2784270">
    <w:lvl>
      <w:numFmt w:val="bullet"/>
      <w:suff w:val="tab"/>
      <w:lvlText w:val="•"/>
      <w:rPr>
        <w:color w:val="3370ff"/>
      </w:rPr>
    </w:lvl>
  </w:abstractNum>
  <w:abstractNum w:abstractNumId="2784271">
    <w:lvl>
      <w:numFmt w:val="bullet"/>
      <w:suff w:val="tab"/>
      <w:lvlText w:val="•"/>
      <w:rPr>
        <w:color w:val="3370ff"/>
      </w:rPr>
    </w:lvl>
  </w:abstractNum>
  <w:abstractNum w:abstractNumId="2784272">
    <w:lvl>
      <w:numFmt w:val="bullet"/>
      <w:suff w:val="tab"/>
      <w:lvlText w:val="•"/>
      <w:rPr>
        <w:color w:val="3370ff"/>
      </w:rPr>
    </w:lvl>
  </w:abstractNum>
  <w:abstractNum w:abstractNumId="2784273">
    <w:lvl>
      <w:numFmt w:val="bullet"/>
      <w:suff w:val="tab"/>
      <w:lvlText w:val="•"/>
      <w:rPr>
        <w:color w:val="3370ff"/>
      </w:rPr>
    </w:lvl>
  </w:abstractNum>
  <w:abstractNum w:abstractNumId="2784274">
    <w:lvl>
      <w:numFmt w:val="bullet"/>
      <w:suff w:val="tab"/>
      <w:lvlText w:val="•"/>
      <w:rPr>
        <w:color w:val="3370ff"/>
      </w:rPr>
    </w:lvl>
  </w:abstractNum>
  <w:abstractNum w:abstractNumId="2784275">
    <w:lvl>
      <w:numFmt w:val="bullet"/>
      <w:suff w:val="tab"/>
      <w:lvlText w:val="•"/>
      <w:rPr>
        <w:color w:val="3370ff"/>
      </w:rPr>
    </w:lvl>
  </w:abstractNum>
  <w:abstractNum w:abstractNumId="2784276">
    <w:lvl>
      <w:numFmt w:val="bullet"/>
      <w:suff w:val="tab"/>
      <w:lvlText w:val="•"/>
      <w:rPr>
        <w:color w:val="3370ff"/>
      </w:rPr>
    </w:lvl>
  </w:abstractNum>
  <w:abstractNum w:abstractNumId="2784277">
    <w:lvl>
      <w:numFmt w:val="bullet"/>
      <w:suff w:val="tab"/>
      <w:lvlText w:val="•"/>
      <w:rPr>
        <w:color w:val="3370ff"/>
      </w:rPr>
    </w:lvl>
  </w:abstractNum>
  <w:abstractNum w:abstractNumId="2784278">
    <w:lvl>
      <w:numFmt w:val="bullet"/>
      <w:suff w:val="tab"/>
      <w:lvlText w:val="•"/>
      <w:rPr>
        <w:color w:val="3370ff"/>
      </w:rPr>
    </w:lvl>
  </w:abstractNum>
  <w:abstractNum w:abstractNumId="2784279">
    <w:lvl>
      <w:numFmt w:val="bullet"/>
      <w:suff w:val="tab"/>
      <w:lvlText w:val="•"/>
      <w:rPr>
        <w:color w:val="3370ff"/>
      </w:rPr>
    </w:lvl>
  </w:abstractNum>
  <w:abstractNum w:abstractNumId="2784280">
    <w:lvl>
      <w:numFmt w:val="bullet"/>
      <w:suff w:val="tab"/>
      <w:lvlText w:val="•"/>
      <w:rPr>
        <w:color w:val="3370ff"/>
      </w:rPr>
    </w:lvl>
  </w:abstractNum>
  <w:abstractNum w:abstractNumId="2784281">
    <w:lvl>
      <w:numFmt w:val="bullet"/>
      <w:suff w:val="tab"/>
      <w:lvlText w:val="•"/>
      <w:rPr>
        <w:color w:val="3370ff"/>
      </w:rPr>
    </w:lvl>
  </w:abstractNum>
  <w:abstractNum w:abstractNumId="2784282">
    <w:lvl>
      <w:numFmt w:val="bullet"/>
      <w:suff w:val="tab"/>
      <w:lvlText w:val="•"/>
      <w:rPr>
        <w:color w:val="3370ff"/>
      </w:rPr>
    </w:lvl>
  </w:abstractNum>
  <w:abstractNum w:abstractNumId="2784283">
    <w:lvl>
      <w:start w:val="1"/>
      <w:numFmt w:val="decimal"/>
      <w:suff w:val="tab"/>
      <w:lvlText w:val="%1."/>
      <w:rPr>
        <w:color w:val="3370ff"/>
      </w:rPr>
    </w:lvl>
  </w:abstractNum>
  <w:abstractNum w:abstractNumId="2784284">
    <w:lvl>
      <w:start w:val="2"/>
      <w:numFmt w:val="decimal"/>
      <w:suff w:val="tab"/>
      <w:lvlText w:val="%1."/>
      <w:rPr>
        <w:color w:val="3370ff"/>
      </w:rPr>
    </w:lvl>
  </w:abstractNum>
  <w:abstractNum w:abstractNumId="2784285">
    <w:lvl>
      <w:start w:val="3"/>
      <w:numFmt w:val="decimal"/>
      <w:suff w:val="tab"/>
      <w:lvlText w:val="%1."/>
      <w:rPr>
        <w:color w:val="3370ff"/>
      </w:rPr>
    </w:lvl>
  </w:abstractNum>
  <w:abstractNum w:abstractNumId="2784286">
    <w:lvl>
      <w:start w:val="4"/>
      <w:numFmt w:val="decimal"/>
      <w:suff w:val="tab"/>
      <w:lvlText w:val="%1."/>
      <w:rPr>
        <w:color w:val="3370ff"/>
      </w:rPr>
    </w:lvl>
  </w:abstractNum>
  <w:abstractNum w:abstractNumId="2784287">
    <w:lvl>
      <w:start w:val="5"/>
      <w:numFmt w:val="decimal"/>
      <w:suff w:val="tab"/>
      <w:lvlText w:val="%1."/>
      <w:rPr>
        <w:color w:val="3370ff"/>
      </w:rPr>
    </w:lvl>
  </w:abstractNum>
  <w:abstractNum w:abstractNumId="2784288">
    <w:lvl>
      <w:numFmt w:val="bullet"/>
      <w:suff w:val="tab"/>
      <w:lvlText w:val="•"/>
      <w:rPr>
        <w:color w:val="3370ff"/>
      </w:rPr>
    </w:lvl>
  </w:abstractNum>
  <w:abstractNum w:abstractNumId="2784289">
    <w:lvl>
      <w:numFmt w:val="bullet"/>
      <w:suff w:val="tab"/>
      <w:lvlText w:val="•"/>
      <w:rPr>
        <w:color w:val="3370ff"/>
      </w:rPr>
    </w:lvl>
  </w:abstractNum>
  <w:abstractNum w:abstractNumId="2784290">
    <w:lvl>
      <w:numFmt w:val="bullet"/>
      <w:suff w:val="tab"/>
      <w:lvlText w:val="•"/>
      <w:rPr>
        <w:color w:val="3370ff"/>
      </w:rPr>
    </w:lvl>
  </w:abstractNum>
  <w:abstractNum w:abstractNumId="2784291">
    <w:lvl>
      <w:numFmt w:val="bullet"/>
      <w:suff w:val="tab"/>
      <w:lvlText w:val="•"/>
      <w:rPr>
        <w:color w:val="3370ff"/>
      </w:rPr>
    </w:lvl>
  </w:abstractNum>
  <w:abstractNum w:abstractNumId="2784292">
    <w:lvl>
      <w:numFmt w:val="bullet"/>
      <w:suff w:val="tab"/>
      <w:lvlText w:val="•"/>
      <w:rPr>
        <w:color w:val="3370ff"/>
      </w:rPr>
    </w:lvl>
  </w:abstractNum>
  <w:abstractNum w:abstractNumId="2784293">
    <w:lvl>
      <w:numFmt w:val="bullet"/>
      <w:suff w:val="tab"/>
      <w:lvlText w:val="•"/>
      <w:rPr>
        <w:color w:val="3370ff"/>
      </w:rPr>
    </w:lvl>
  </w:abstractNum>
  <w:num w:numId="1">
    <w:abstractNumId w:val="2784236"/>
  </w:num>
  <w:num w:numId="2">
    <w:abstractNumId w:val="2784237"/>
  </w:num>
  <w:num w:numId="3">
    <w:abstractNumId w:val="2784238"/>
  </w:num>
  <w:num w:numId="4">
    <w:abstractNumId w:val="2784239"/>
  </w:num>
  <w:num w:numId="5">
    <w:abstractNumId w:val="2784240"/>
  </w:num>
  <w:num w:numId="6">
    <w:abstractNumId w:val="2784241"/>
  </w:num>
  <w:num w:numId="7">
    <w:abstractNumId w:val="2784242"/>
  </w:num>
  <w:num w:numId="8">
    <w:abstractNumId w:val="2784243"/>
  </w:num>
  <w:num w:numId="9">
    <w:abstractNumId w:val="2784244"/>
  </w:num>
  <w:num w:numId="10">
    <w:abstractNumId w:val="2784245"/>
  </w:num>
  <w:num w:numId="11">
    <w:abstractNumId w:val="2784246"/>
  </w:num>
  <w:num w:numId="12">
    <w:abstractNumId w:val="2784247"/>
  </w:num>
  <w:num w:numId="13">
    <w:abstractNumId w:val="2784248"/>
  </w:num>
  <w:num w:numId="14">
    <w:abstractNumId w:val="2784249"/>
  </w:num>
  <w:num w:numId="15">
    <w:abstractNumId w:val="2784250"/>
  </w:num>
  <w:num w:numId="16">
    <w:abstractNumId w:val="2784251"/>
  </w:num>
  <w:num w:numId="17">
    <w:abstractNumId w:val="2784252"/>
  </w:num>
  <w:num w:numId="18">
    <w:abstractNumId w:val="2784253"/>
  </w:num>
  <w:num w:numId="19">
    <w:abstractNumId w:val="2784254"/>
  </w:num>
  <w:num w:numId="20">
    <w:abstractNumId w:val="2784255"/>
  </w:num>
  <w:num w:numId="21">
    <w:abstractNumId w:val="2784256"/>
  </w:num>
  <w:num w:numId="22">
    <w:abstractNumId w:val="2784257"/>
  </w:num>
  <w:num w:numId="23">
    <w:abstractNumId w:val="2784258"/>
  </w:num>
  <w:num w:numId="24">
    <w:abstractNumId w:val="2784259"/>
  </w:num>
  <w:num w:numId="25">
    <w:abstractNumId w:val="2784260"/>
  </w:num>
  <w:num w:numId="26">
    <w:abstractNumId w:val="2784261"/>
  </w:num>
  <w:num w:numId="27">
    <w:abstractNumId w:val="2784262"/>
  </w:num>
  <w:num w:numId="28">
    <w:abstractNumId w:val="2784263"/>
  </w:num>
  <w:num w:numId="29">
    <w:abstractNumId w:val="2784264"/>
  </w:num>
  <w:num w:numId="30">
    <w:abstractNumId w:val="2784265"/>
  </w:num>
  <w:num w:numId="31">
    <w:abstractNumId w:val="2784266"/>
  </w:num>
  <w:num w:numId="32">
    <w:abstractNumId w:val="2784267"/>
  </w:num>
  <w:num w:numId="33">
    <w:abstractNumId w:val="2784268"/>
  </w:num>
  <w:num w:numId="34">
    <w:abstractNumId w:val="2784269"/>
  </w:num>
  <w:num w:numId="35">
    <w:abstractNumId w:val="2784270"/>
  </w:num>
  <w:num w:numId="36">
    <w:abstractNumId w:val="2784271"/>
  </w:num>
  <w:num w:numId="37">
    <w:abstractNumId w:val="2784272"/>
  </w:num>
  <w:num w:numId="38">
    <w:abstractNumId w:val="2784273"/>
  </w:num>
  <w:num w:numId="39">
    <w:abstractNumId w:val="2784274"/>
  </w:num>
  <w:num w:numId="40">
    <w:abstractNumId w:val="2784275"/>
  </w:num>
  <w:num w:numId="41">
    <w:abstractNumId w:val="2784276"/>
  </w:num>
  <w:num w:numId="42">
    <w:abstractNumId w:val="2784277"/>
  </w:num>
  <w:num w:numId="43">
    <w:abstractNumId w:val="2784278"/>
  </w:num>
  <w:num w:numId="44">
    <w:abstractNumId w:val="2784279"/>
  </w:num>
  <w:num w:numId="45">
    <w:abstractNumId w:val="2784280"/>
  </w:num>
  <w:num w:numId="46">
    <w:abstractNumId w:val="2784281"/>
  </w:num>
  <w:num w:numId="47">
    <w:abstractNumId w:val="2784282"/>
  </w:num>
  <w:num w:numId="48">
    <w:abstractNumId w:val="2784283"/>
  </w:num>
  <w:num w:numId="49">
    <w:abstractNumId w:val="2784284"/>
  </w:num>
  <w:num w:numId="50">
    <w:abstractNumId w:val="2784285"/>
  </w:num>
  <w:num w:numId="51">
    <w:abstractNumId w:val="2784286"/>
  </w:num>
  <w:num w:numId="52">
    <w:abstractNumId w:val="2784287"/>
  </w:num>
  <w:num w:numId="53">
    <w:abstractNumId w:val="2784288"/>
  </w:num>
  <w:num w:numId="54">
    <w:abstractNumId w:val="2784289"/>
  </w:num>
  <w:num w:numId="55">
    <w:abstractNumId w:val="2784290"/>
  </w:num>
  <w:num w:numId="56">
    <w:abstractNumId w:val="2784291"/>
  </w:num>
  <w:num w:numId="57">
    <w:abstractNumId w:val="2784292"/>
  </w:num>
  <w:num w:numId="58">
    <w:abstractNumId w:val="27842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2026-09-15T15:23:04Z</dcterms:created>
  <dc:creator>Apache POI</dc:creator>
</cp:coreProperties>
</file>