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7365D"/>
          <w:sz w:val="48"/>
        </w:rPr>
        <w:t>铅笔制造</w:t>
        <w:br/>
        <w:t>AI-BOM智能体整体实施方案</w:t>
      </w:r>
    </w:p>
    <w:p>
      <w:pPr>
        <w:spacing w:before="360"/>
        <w:jc w:val="center"/>
      </w:pPr>
      <w:r>
        <w:rPr>
          <w:color w:val="666666"/>
          <w:sz w:val="24"/>
        </w:rPr>
        <w:t>基于招标文件《铅笔制造AIBOM.docx》编制</w:t>
      </w:r>
    </w:p>
    <w:p>
      <w:pPr>
        <w:spacing w:before="2100"/>
        <w:jc w:val="center"/>
      </w:pPr>
      <w:r>
        <w:rPr>
          <w:color w:val="777777"/>
          <w:sz w:val="20"/>
        </w:rPr>
        <w:t>版本：V1.0    |    日期：2026年9月16日</w:t>
      </w:r>
    </w:p>
    <w:p>
      <w:r>
        <w:br w:type="page"/>
      </w:r>
    </w:p>
    <w:p>
      <w:pPr>
        <w:pStyle w:val="Heading1"/>
      </w:pPr>
      <w:r>
        <w:t>一、项目理解与实施结论</w:t>
      </w:r>
    </w:p>
    <w:p>
      <w:pPr>
        <w:spacing w:after="80"/>
      </w:pPr>
      <w:r>
        <w:t>本项目面向铅笔制造企业多色号、多规格、辅料差异化订单的 BOM 编制场景，建设一套部署在客户内网的 AI-BOM 智能体。系统从订单文档中识别产品规格、色号、数量、包装及辅料等字段，结合经过确认的历史 BOM 和物料规则，生成可追溯的 EBOM 草稿，并支持同类订单按色号/辅料批量派生、人工校核、版本留痕和结果导出。</w:t>
      </w:r>
    </w:p>
    <w:p>
      <w:pPr>
        <w:spacing w:after="80"/>
      </w:pPr>
      <w:r>
        <w:t>实施结论：在客户提供服务器及运行环境、样例订单、符合导入模板的历史 BOM 原始资料，并安排业务骨干参与规则确认的前提下，首期受限范围 MVP 建议投入约 34 人天，采用 10 周实施节奏：第 1-7 周完成开发与核心联调，第 8-9 周完成测试和问题闭环，第 10 周完成生产部署指导、培训及试运行；核心可用版本可在第 6 周完成测试环境演示。首期实施总预算为人民币 70,000 元（未税）。</w:t>
      </w:r>
    </w:p>
    <w:p>
      <w:pPr>
        <w:spacing w:after="80"/>
        <w:ind w:left="216"/>
      </w:pPr>
      <w:r>
        <w:rPr>
          <w:i/>
          <w:color w:val="666666"/>
        </w:rPr>
        <w:t>说明：70,000 元对应受限范围 MVP：首期支持不超过 2 种已确认订单模板、单一产品系列、低并发使用和约定格式的文本型 DOCX/XLSX/PDF；不包含服务器、GPU、操作系统、中间件、模型软件授权、模型调用/API/Token/推理服务费用，也不包含历史 BOM 全量清洗标准化、ERP/MES 接口、扫描件 OCR 专项治理、复杂审批流、高可用集群和新增业务模块。若原始资料质量或范围超出前述边界，应在需求确认后另行核定数据治理、接口及基础设施相关费用。</w:t>
      </w:r>
    </w:p>
    <w:p>
      <w:pPr>
        <w:pStyle w:val="Heading1"/>
      </w:pPr>
      <w:r>
        <w:t>二、首期人天估算（先行估算）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工作包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主要工作内容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角色配置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人天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交付结果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1.需求调研与范围确认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订单样本盘点、BOM字段/模板确认、业务规则访谈、验收用例固化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项目经理/产品经理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需求规格说明书、字段字典、验收用例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2.总体架构与安全设计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智能体分层、数据流、权限、审计、部署拓扑、备份恢复设计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架构师/项目经理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总体设计、部署架构、安全方案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3.数据接入与知识库初始化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导入模板、数据质量检查、分类分层、样例整理、索引构建；不含全量清洗和编码重构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数据/知识工程师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知识库初始版本、导入脚本、数据质量清单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4.订单文档解析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DOCX/XLSX/PDF文本解析、表格识别、字段抽取、异常提示、解析结果确认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AI/后端工程师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订单解析流程及接口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5.EBOM推导与规则引擎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物料映射、层级生成、单位/用量校验、规则优先级、来源引用、低置信度拦截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AI/后端工程师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EBOM生成服务、规则配置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6.差异订单批量生成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基准订单选择、色号/辅料差异识别、批量任务、任务重试、结果校验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后端工程师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批量生成模块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7.结果工作台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BOM预览、人工编辑、差异对比、版本记录、查询、导出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前后端工程师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BOM工作台与记录查询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8.私有化部署与测试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容器编排、环境配置、日志监控、功能/准确性/性能测试、修复回归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DevOps/测试工程师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测试报告、部署包、配置手册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9.上线指导与培训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生产部署指导、试运行陪跑、远程培训、手册编制、验收支持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项目经理/实施工程师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操作手册、培训记录、验收资料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合计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</w:r>
          </w:p>
        </w:tc>
      </w:tr>
    </w:tbl>
    <w:p>
      <w:pPr>
        <w:spacing w:after="0"/>
      </w:pPr>
    </w:p>
    <w:p>
      <w:pPr>
        <w:spacing w:after="80"/>
      </w:pPr>
      <w:r>
        <w:t>建议团队：项目经理/产品、AI/知识工程师、后端工程师、前端工程师及 DevOps/测试按阶段兼职投入。以上为阶段性并行角色投入，不等于连续 34 个工作日；计划周期约 10 周，依赖客户按期提供环境、样本并完成规则确认。</w:t>
      </w:r>
    </w:p>
    <w:p>
      <w:pPr>
        <w:spacing w:after="80"/>
      </w:pPr>
      <w:r>
        <w:t>建议首期导入上限：不超过 800 条已具备物料编码和父子层级的 BOM 记录、300 条物料主数据、2 种订单模板、20 份验收订单样本；超过上限或存在大量重复、缺失、版本冲突时，在数据画像完成后重新估算。客户负责原始资料完整性和业务确认，服务商负责受限范围内的导入、校验及问题报告。</w:t>
      </w:r>
    </w:p>
    <w:p>
      <w:pPr>
        <w:pStyle w:val="Heading2"/>
      </w:pPr>
      <w:r>
        <w:t>2.1 人天估算前提与调整项</w:t>
      </w:r>
    </w:p>
    <w:p>
      <w:pPr>
        <w:pStyle w:val="ListBullet"/>
        <w:spacing w:after="40"/>
      </w:pPr>
      <w:r>
        <w:t>客户提供至少 20 份具有代表性的订单样本，覆盖单色、多色、规格变化、辅料变化、异常字段等场景；提供历史 BOM 原始文件及字段说明。</w:t>
      </w:r>
    </w:p>
    <w:p>
      <w:pPr>
        <w:pStyle w:val="ListBullet"/>
        <w:spacing w:after="40"/>
      </w:pPr>
      <w:r>
        <w:t>首期输入以可复制文本的 DOCX/XLSX 及含文本层的 PDF 为主；PDF 仅支持文本层解析。若大量资料为低清扫描件、手写单据或图片，需增加 OCR 评估与数据治理工作包。</w:t>
      </w:r>
    </w:p>
    <w:p>
      <w:pPr>
        <w:pStyle w:val="ListBullet"/>
        <w:spacing w:after="40"/>
      </w:pPr>
      <w:r>
        <w:t>首期输出为 EBOM 草稿和可导出的结构化文件，最终下单/生产前由业务人员确认；系统不直接替代工程/采购审批。</w:t>
      </w:r>
    </w:p>
    <w:p>
      <w:pPr>
        <w:pStyle w:val="ListBullet"/>
        <w:spacing w:after="40"/>
      </w:pPr>
      <w:r>
        <w:t>不做 ERP/MES/PLM 对接，不建设复杂审批流，不承诺未经标注的历史资料自动达到生产级准确率。</w:t>
      </w:r>
    </w:p>
    <w:p>
      <w:pPr>
        <w:pStyle w:val="ListBullet"/>
        <w:spacing w:after="40"/>
      </w:pPr>
      <w:r>
        <w:t>人天可按数据规模调整：历史 BOM 超过 800 条、物料主数据超过 300 条、订单模板超过 2 种或新增 ERP 接口时，在需求确认阶段重新估算。</w:t>
      </w:r>
    </w:p>
    <w:p>
      <w:pPr>
        <w:pStyle w:val="Heading1"/>
      </w:pPr>
      <w:r>
        <w:t>三、智能体整体架构</w:t>
      </w:r>
    </w:p>
    <w:p>
      <w:pPr>
        <w:spacing w:after="80"/>
      </w:pPr>
      <w:r>
        <w:t>采用“文档解析层 + 业务编排层 + 规则/知识层 + 人机协同层”的四层业务架构，并由基础设施层提供运行支撑。大模型负责自然语言理解、字段抽取、候选匹配和解释；确定性的物料编码、用量计算、层级校验和差异派生由规则引擎执行，避免把关键 BOM 计算完全交给大模型。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20"/>
        <w:gridCol w:w="2520"/>
        <w:gridCol w:w="2520"/>
        <w:gridCol w:w="2520"/>
      </w:tblGrid>
      <w:tr>
        <w:trPr>
          <w:trHeight w:hRule="atLeast" w:val="440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核心组件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关键控制</w:t>
            </w:r>
          </w:p>
        </w:tc>
      </w:tr>
      <w:tr>
        <w:trPr>
          <w:trHeight w:hRule="atLeast" w:val="440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交互层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Web上传/工作台、任务中心、BOM预览编辑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上传订单、查看解析、确认/修正 BOM、查询历史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权限控制、文件类型/大小限制、操作留痕</w:t>
            </w:r>
          </w:p>
        </w:tc>
      </w:tr>
      <w:tr>
        <w:trPr>
          <w:trHeight w:hRule="atLeast" w:val="440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智能编排层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Router、订单解析Agent、BOM生成Agent、批量派生Workflow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按任务类型编排解析、检索、匹配、校验和人工确认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固定流程优先；异常转人工；结构化输出</w:t>
            </w:r>
          </w:p>
        </w:tc>
      </w:tr>
      <w:tr>
        <w:trPr>
          <w:trHeight w:hRule="atLeast" w:val="440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业务服务层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文档服务、BOM服务、规则服务、批处理服务、导出服务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管理任务、版本、物料映射、差异计算、导出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幂等、重试、事务、版本号、审计日志</w:t>
            </w:r>
          </w:p>
        </w:tc>
      </w:tr>
      <w:tr>
        <w:trPr>
          <w:trHeight w:hRule="atLeast" w:val="440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知识与数据层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BOM知识库、物料主数据、规则库、向量索引、关系数据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提供历史案例、物料属性、替代关系、工艺约束和来源证据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数据版本、有效期、来源、审核状态、可追溯引用</w:t>
            </w:r>
          </w:p>
        </w:tc>
      </w:tr>
      <w:tr>
        <w:trPr>
          <w:trHeight w:hRule="atLeast" w:val="440"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基础设施层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内网网关、应用容器、数据库、对象存储、日志监控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提供私有化运行、备份、恢复和运维能力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最小权限、网络隔离、备份演练、健康检查</w:t>
            </w:r>
          </w:p>
        </w:tc>
      </w:tr>
    </w:tbl>
    <w:p>
      <w:pPr>
        <w:spacing w:after="0"/>
      </w:pPr>
    </w:p>
    <w:p>
      <w:pPr>
        <w:pStyle w:val="Heading2"/>
      </w:pPr>
      <w:r>
        <w:t>3.1 智能体工作流</w:t>
      </w:r>
    </w:p>
    <w:p>
      <w:pPr>
        <w:pStyle w:val="ListBullet"/>
        <w:spacing w:after="40"/>
      </w:pPr>
      <w:r>
        <w:t>接收订单：校验文件扩展名、MIME 类型、大小和模板版本，生成任务 ID；如客户要求病毒扫描，依赖客户提供或另行采购的安全组件。</w:t>
      </w:r>
    </w:p>
    <w:p>
      <w:pPr>
        <w:pStyle w:val="ListBullet"/>
        <w:spacing w:after="40"/>
      </w:pPr>
      <w:r>
        <w:t>文档解析：识别表格/段落，抽取订单号、产品系列、规格、色号、数量、包装、辅料和特殊要求；无法识别的字段标记为“待确认”。</w:t>
      </w:r>
    </w:p>
    <w:p>
      <w:pPr>
        <w:pStyle w:val="ListBullet"/>
        <w:spacing w:after="40"/>
      </w:pPr>
      <w:r>
        <w:t>结构化校验：按字段类型、枚举值、单位、必填项和互斥规则进行校验；不通过则返回修正清单。</w:t>
      </w:r>
    </w:p>
    <w:p>
      <w:pPr>
        <w:pStyle w:val="ListBullet"/>
        <w:spacing w:after="40"/>
      </w:pPr>
      <w:r>
        <w:t>知识检索：先按物料编码、产品系列、色号、规则条件进行精确/关键词检索，再用向量检索补充相似历史案例；返回带来源的候选证据。</w:t>
      </w:r>
    </w:p>
    <w:p>
      <w:pPr>
        <w:pStyle w:val="ListBullet"/>
        <w:spacing w:after="40"/>
      </w:pPr>
      <w:r>
        <w:t>EBOM生成：规则引擎确定层级、物料编码和用量，大模型仅处理语义映射与解释；对无匹配或多候选场景输出候选列表，不擅自选定。</w:t>
      </w:r>
    </w:p>
    <w:p>
      <w:pPr>
        <w:pStyle w:val="ListBullet"/>
        <w:spacing w:after="40"/>
      </w:pPr>
      <w:r>
        <w:t>批量派生：选择已确认的基准 BOM，仅替换允许变更的色号/辅料字段，校验不可变字段和物料组合约束，形成批量任务。</w:t>
      </w:r>
    </w:p>
    <w:p>
      <w:pPr>
        <w:pStyle w:val="ListBullet"/>
        <w:spacing w:after="40"/>
      </w:pPr>
      <w:r>
        <w:t>人工确认：按置信度分级展示；业务人员可编辑、驳回、确认，系统保存修改前后差异和操作者。</w:t>
      </w:r>
    </w:p>
    <w:p>
      <w:pPr>
        <w:pStyle w:val="ListBullet"/>
        <w:spacing w:after="40"/>
      </w:pPr>
      <w:r>
        <w:t>输出与沉淀：首期以双方确认的 XLSX 模板作为唯一主输出格式；如确认需要，再增加 CSV 导出。经确认的修正记录进入待审核知识增量，不直接自动写入生产知识库。</w:t>
      </w:r>
    </w:p>
    <w:p>
      <w:pPr>
        <w:pStyle w:val="Heading2"/>
      </w:pPr>
      <w:r>
        <w:t>3.2 可信输出机制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0"/>
        <w:gridCol w:w="3360"/>
        <w:gridCol w:w="3360"/>
      </w:tblGrid>
      <w:tr>
        <w:trPr>
          <w:trHeight w:hRule="atLeast" w:val="440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系统行为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业务人员动作</w:t>
            </w:r>
          </w:p>
        </w:tc>
      </w:tr>
      <w:tr>
        <w:trPr>
          <w:trHeight w:hRule="atLeast" w:val="440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高置信度且规则通过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展示建议 BOM、来源和校验结果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抽查后确认</w:t>
            </w:r>
          </w:p>
        </w:tc>
      </w:tr>
      <w:tr>
        <w:trPr>
          <w:trHeight w:hRule="atLeast" w:val="440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存在多个候选物料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展示候选物料及差异，不自动落单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选择正确物料并确认</w:t>
            </w:r>
          </w:p>
        </w:tc>
      </w:tr>
      <w:tr>
        <w:trPr>
          <w:trHeight w:hRule="atLeast" w:val="440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缺失必填字段/规则冲突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阻断生成或生成“待确认”草稿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补充字段或修正规则</w:t>
            </w:r>
          </w:p>
        </w:tc>
      </w:tr>
      <w:tr>
        <w:trPr>
          <w:trHeight w:hRule="atLeast" w:val="440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历史案例与当前订单不一致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提示案例适用条件和时间，不直接复制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确认适用范围</w:t>
            </w:r>
          </w:p>
        </w:tc>
      </w:tr>
      <w:tr>
        <w:trPr>
          <w:trHeight w:hRule="atLeast" w:val="440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模型/服务异常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保留任务状态，可重试，不丢失原始文件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重试或转人工处理</w:t>
            </w:r>
          </w:p>
        </w:tc>
      </w:tr>
    </w:tbl>
    <w:p>
      <w:pPr>
        <w:spacing w:after="0"/>
      </w:pPr>
    </w:p>
    <w:p>
      <w:pPr>
        <w:pStyle w:val="Heading1"/>
      </w:pPr>
      <w:r>
        <w:t>四、BOM知识库构建思路</w:t>
      </w:r>
    </w:p>
    <w:p>
      <w:pPr>
        <w:spacing w:after="80"/>
      </w:pPr>
      <w:r>
        <w:t>知识库不采用“把所有历史 BOM 直接向量化”的做法，而是建立可计算的结构化主数据、可检索的业务文档和可执行的规则三类资产。三者通过产品系列、物料编码、色号、版本和适用条件关联。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20"/>
        <w:gridCol w:w="2520"/>
        <w:gridCol w:w="2520"/>
        <w:gridCol w:w="2520"/>
      </w:tblGrid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知识资产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建议内容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存储/检索方式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首期建设方法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物料主数据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物料编码、名称、类别、规格、单位、颜色/色号、包装、状态、替代料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关系库精确查询 + 同义词表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客户提供原始表；共同确认字段和唯一键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BOM结构库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父项/子项、层级、基准用量、损耗、版本、生效期、适用产品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关系库/结构化JSON；按条件过滤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导入已确认历史 BOM，保留来源文件和版本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规则库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色号替换规则、辅料组合、必选/互斥、用量计算、异常阈值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规则表 + 可配置规则服务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业务访谈固化为可测试规则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历史案例库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订单条件、最终 BOM、异常原因、人工修正、适用边界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全文/向量混合检索 + 重排序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只纳入审核通过案例，标记适用条件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模板与术语库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订单模板、字段别名、单位换算、颜色别名、供应商名称别名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关键词/字典匹配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建立字段字典和同义词表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操作与工艺文档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包装规范、检验要求、特殊说明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文档切分 + 向量检索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按章节切分并绑定产品范围</w:t>
            </w:r>
          </w:p>
        </w:tc>
      </w:tr>
    </w:tbl>
    <w:p>
      <w:pPr>
        <w:spacing w:after="0"/>
      </w:pPr>
    </w:p>
    <w:p>
      <w:pPr>
        <w:pStyle w:val="Heading2"/>
      </w:pPr>
      <w:r>
        <w:t>4.1 数据治理流程</w:t>
      </w:r>
    </w:p>
    <w:p>
      <w:pPr>
        <w:pStyle w:val="ListBullet"/>
        <w:spacing w:after="40"/>
      </w:pPr>
      <w:r>
        <w:t>资料盘点：统计文件类型、记录数量、字段完整率、重复率、版本冲突和缺失编码。</w:t>
      </w:r>
    </w:p>
    <w:p>
      <w:pPr>
        <w:pStyle w:val="ListBullet"/>
        <w:spacing w:after="40"/>
      </w:pPr>
      <w:r>
        <w:t>标准建模：确认物料编码唯一性、父子层级、单位、色号字典、辅料分类和状态字段。</w:t>
      </w:r>
    </w:p>
    <w:p>
      <w:pPr>
        <w:pStyle w:val="ListBullet"/>
        <w:spacing w:after="40"/>
      </w:pPr>
      <w:r>
        <w:t>导入校验：按必填、类型、引用完整性、重复主键和层级闭环校验，输出问题清单。</w:t>
      </w:r>
    </w:p>
    <w:p>
      <w:pPr>
        <w:pStyle w:val="ListBullet"/>
        <w:spacing w:after="40"/>
      </w:pPr>
      <w:r>
        <w:t>业务确认：由采购/工程/生产代表确认基准 BOM、替代料和颜色/辅料变更边界。</w:t>
      </w:r>
    </w:p>
    <w:p>
      <w:pPr>
        <w:pStyle w:val="ListBullet"/>
        <w:spacing w:after="40"/>
      </w:pPr>
      <w:r>
        <w:t>索引构建：结构化字段用于过滤，文本用于关键词和向量检索；检索结果必须返回来源和版本。</w:t>
      </w:r>
    </w:p>
    <w:p>
      <w:pPr>
        <w:pStyle w:val="ListBullet"/>
        <w:spacing w:after="40"/>
      </w:pPr>
      <w:r>
        <w:t>持续闭环：人工修正先进入审核队列，审核通过后按版本发布；每次发布可回滚。</w:t>
      </w:r>
    </w:p>
    <w:p>
      <w:pPr>
        <w:spacing w:after="80"/>
        <w:ind w:left="216"/>
      </w:pPr>
      <w:r>
        <w:rPr>
          <w:i/>
          <w:color w:val="666666"/>
        </w:rPr>
        <w:t>说明：招标文件明确“不包含历史 BOM 原始数据的清洗、标准化工作”。本方案的人天仅覆盖导入模板、质量检查、少量样例整理和知识库初始化；若客户希望服务商承担全量清洗，应单独报价。</w:t>
      </w:r>
    </w:p>
    <w:p>
      <w:pPr>
        <w:pStyle w:val="Heading2"/>
      </w:pPr>
      <w:r>
        <w:t>4.2 知识库验收建议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0"/>
        <w:gridCol w:w="3360"/>
        <w:gridCol w:w="3360"/>
      </w:tblGrid>
      <w:tr>
        <w:trPr>
          <w:trHeight w:hRule="atLeast" w:val="440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建议首期目标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rPr>
          <w:trHeight w:hRule="atLeast" w:val="440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字段抽取准确率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代表性样本关键字段 ≥ 90%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按订单号、规格、色号、数量、辅料等字段分别统计</w:t>
            </w:r>
          </w:p>
        </w:tc>
      </w:tr>
      <w:tr>
        <w:trPr>
          <w:trHeight w:hRule="atLeast" w:val="440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BOM结构完整率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已确认基准样本 ≥ 95%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父子层级、物料编码、单位、用量字段完整</w:t>
            </w:r>
          </w:p>
        </w:tc>
      </w:tr>
      <w:tr>
        <w:trPr>
          <w:trHeight w:hRule="atLeast" w:val="440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规则命中率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已固化规则场景 ≥ 95%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规则覆盖范围内的样本统计</w:t>
            </w:r>
          </w:p>
        </w:tc>
      </w:tr>
      <w:tr>
        <w:trPr>
          <w:trHeight w:hRule="atLeast" w:val="440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可追溯性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100%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每个建议物料可定位到规则、主数据或历史案例来源</w:t>
            </w:r>
          </w:p>
        </w:tc>
      </w:tr>
      <w:tr>
        <w:trPr>
          <w:trHeight w:hRule="atLeast" w:val="440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人工修正可留痕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100%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记录原值、新值、操作者、时间、原因和版本</w:t>
            </w:r>
          </w:p>
        </w:tc>
      </w:tr>
    </w:tbl>
    <w:p>
      <w:pPr>
        <w:spacing w:after="0"/>
      </w:pPr>
    </w:p>
    <w:p>
      <w:pPr>
        <w:pStyle w:val="Heading1"/>
      </w:pPr>
      <w:r>
        <w:t>五、私有化部署方案</w:t>
      </w:r>
    </w:p>
    <w:p>
      <w:pPr>
        <w:spacing w:after="80"/>
      </w:pPr>
      <w:r>
        <w:t>采用客户内网部署为主、单机 Docker Compose 起步的方案。首期不依赖外部业务系统，降低网络和集成风险；单机模式仅提供容器隔离和基础备份，不等同于高可用集群，批量并发和故障切换能力以需求确认后的容量测试结果为准。后续如接入 ERP/MES，可在现有业务服务层增加适配器，不改变智能体核心流程。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0"/>
        <w:gridCol w:w="3360"/>
        <w:gridCol w:w="3360"/>
      </w:tblGrid>
      <w:tr>
        <w:trPr>
          <w:trHeight w:hRule="atLeast" w:val="440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首期建议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rPr>
          <w:trHeight w:hRule="atLeast" w:val="440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应用服务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AI-BOM API、任务服务、规则服务、导出服务、Web前端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业务功能与智能体编排</w:t>
            </w:r>
          </w:p>
        </w:tc>
      </w:tr>
      <w:tr>
        <w:trPr>
          <w:trHeight w:hRule="atLeast" w:val="440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模型服务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客户批准的本地大模型推理服务；或部署在客户认可的内网模型网关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解析、语义匹配、解释生成</w:t>
            </w:r>
          </w:p>
        </w:tc>
      </w:tr>
      <w:tr>
        <w:trPr>
          <w:trHeight w:hRule="atLeast" w:val="440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知识检索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PostgreSQL + 向量扩展作为首选；若数据规模或并发验证有需要，再启用独立向量数据库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结构化条件过滤与相似检索</w:t>
            </w:r>
          </w:p>
        </w:tc>
      </w:tr>
      <w:tr>
        <w:trPr>
          <w:trHeight w:hRule="atLeast" w:val="440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文件存储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内网对象存储或受控文件目录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订单原件、导出文件、版本附件</w:t>
            </w:r>
          </w:p>
        </w:tc>
      </w:tr>
      <w:tr>
        <w:trPr>
          <w:trHeight w:hRule="atLeast" w:val="440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缓存/队列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Redis（可选）+ 任务队列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批量任务状态、重试和并发控制</w:t>
            </w:r>
          </w:p>
        </w:tc>
      </w:tr>
      <w:tr>
        <w:trPr>
          <w:trHeight w:hRule="atLeast" w:val="440"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运维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Nginx、容器健康检查、集中日志、备份脚本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访问控制、监控和恢复</w:t>
            </w:r>
          </w:p>
        </w:tc>
      </w:tr>
    </w:tbl>
    <w:p>
      <w:pPr>
        <w:spacing w:after="0"/>
      </w:pPr>
    </w:p>
    <w:p>
      <w:pPr>
        <w:pStyle w:val="Heading2"/>
      </w:pPr>
      <w:r>
        <w:t>5.1 环境与硬件建议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0"/>
        <w:gridCol w:w="3360"/>
        <w:gridCol w:w="3360"/>
      </w:tblGrid>
      <w:tr>
        <w:trPr>
          <w:trHeight w:hRule="atLeast" w:val="440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配置档位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建议配置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适用范围</w:t>
            </w:r>
          </w:p>
        </w:tc>
      </w:tr>
      <w:tr>
        <w:trPr>
          <w:trHeight w:hRule="atLeast" w:val="440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测试环境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客户提供的可用内网主机；8核 CPU、32GB内存、500GB SSD；无GPU也可验证流程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需求确认、功能测试、少量样本</w:t>
            </w:r>
          </w:p>
        </w:tc>
      </w:tr>
      <w:tr>
        <w:trPr>
          <w:trHeight w:hRule="atLeast" w:val="440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生产基础配置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客户提供的可用内网主机；16核 CPU、64GB内存、1TB SSD；GPU按客户批准的模型路线另行提供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单团队使用、低并发批量生成</w:t>
            </w:r>
          </w:p>
        </w:tc>
      </w:tr>
      <w:tr>
        <w:trPr>
          <w:trHeight w:hRule="atLeast" w:val="440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生产推荐配置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客户按模型要求提供计算、存储和备份资源；建议24-32核 CPU、128GB内存、2TB SSD，并按模型要求配置 GPU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订单高峰、较大知识库、稳定试运行</w:t>
            </w:r>
          </w:p>
        </w:tc>
      </w:tr>
    </w:tbl>
    <w:p>
      <w:pPr>
        <w:spacing w:after="0"/>
      </w:pPr>
    </w:p>
    <w:p>
      <w:pPr>
        <w:spacing w:after="80"/>
      </w:pPr>
      <w:r>
        <w:t>实际硬件由客户提供，且不计入本项目 70,000 元实施总价；需在需求阶段依据模型参数量、并发数、单日订单量和保留周期复核。GPU、服务器、操作系统、中间件、存储及备份资源，以及大模型软件授权和模型调用/API/Token/推理服务费用均由客户提供或另行承担。若客户暂无 GPU，建议先采用轻量模型完成解析与检索验证，复杂推理通过客户认可的内网模型服务提供，避免在没有硬件依据时承诺本地大模型性能。</w:t>
      </w:r>
    </w:p>
    <w:p>
      <w:pPr>
        <w:pStyle w:val="Heading2"/>
      </w:pPr>
      <w:r>
        <w:t>5.2 安全与运维措施</w:t>
      </w:r>
    </w:p>
    <w:p>
      <w:pPr>
        <w:pStyle w:val="ListBullet"/>
        <w:spacing w:after="40"/>
      </w:pPr>
      <w:r>
        <w:t>网络隔离：首期单机通过容器网络和端口白名单实施逻辑隔离；生产环境禁止数据库直接暴露。如客户要求应用、数据库和模型服务跨主机或安全域部署，需提供相应服务器与网络条件并另行评估。</w:t>
      </w:r>
    </w:p>
    <w:p>
      <w:pPr>
        <w:pStyle w:val="ListBullet"/>
        <w:spacing w:after="40"/>
      </w:pPr>
      <w:r>
        <w:t>身份权限：管理员、工程/采购、普通操作员、只读审计等角色分权；上传、编辑、确认、发布分别授权。</w:t>
      </w:r>
    </w:p>
    <w:p>
      <w:pPr>
        <w:pStyle w:val="ListBullet"/>
        <w:spacing w:after="40"/>
      </w:pPr>
      <w:r>
        <w:t>数据保护：订单原件、BOM和日志存储在客户内网；传输采用 HTTPS/内网 TLS；日志对敏感字段脱敏。</w:t>
      </w:r>
    </w:p>
    <w:p>
      <w:pPr>
        <w:pStyle w:val="ListBullet"/>
        <w:spacing w:after="40"/>
      </w:pPr>
      <w:r>
        <w:t>审计追溯：记录原始文件哈希、解析版本、知识库版本、模型版本、规则版本、人工修正和导出记录。</w:t>
      </w:r>
    </w:p>
    <w:p>
      <w:pPr>
        <w:pStyle w:val="ListBullet"/>
        <w:spacing w:after="40"/>
      </w:pPr>
      <w:r>
        <w:t>备份恢复：数据库每日增量、每周全量；文件按策略备份；上线前完成一次恢复演练。</w:t>
      </w:r>
    </w:p>
    <w:p>
      <w:pPr>
        <w:pStyle w:val="ListBullet"/>
        <w:spacing w:after="40"/>
      </w:pPr>
      <w:r>
        <w:t>模型治理：模型不可用时保留任务并支持重试；模型输出必须经过 schema 校验和规则校验，禁止直接写入主数据。</w:t>
      </w:r>
    </w:p>
    <w:p>
      <w:pPr>
        <w:pStyle w:val="Heading1"/>
      </w:pPr>
      <w:r>
        <w:t>六、项目实施计划（10周）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20"/>
        <w:gridCol w:w="2520"/>
        <w:gridCol w:w="2520"/>
        <w:gridCol w:w="2520"/>
      </w:tblGrid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周期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主要活动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里程碑/产出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启动与需求确认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第1周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样本收集、流程访谈、字段/模板/规则确认、验收指标确认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需求规格说明书 V1、样本清单、验收用例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架构与数据准备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第2周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部署基线、数据模型、导入模板、知识分类、解析方案设计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架构设计、字段字典、数据质量报告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订单解析开发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第3-4周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文档解析、字段抽取、校验、任务管理、异常提示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解析流程可演示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EBOM与知识库开发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第4-6周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知识库导入、检索、规则引擎、EBOM生成、来源追溯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核心功能演示版本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批量与工作台开发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第6-7周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差异识别、批量任务、预览编辑、版本查询、导出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完整测试版本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联调与效果调优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第8周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样本回放、规则修正、异常场景、权限和日志验证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测试报告初稿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部署与验收测试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第9周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测试环境部署、功能/性能/安全检查、问题闭环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验收候选版本、部署手册</w:t>
            </w:r>
          </w:p>
        </w:tc>
      </w:tr>
      <w:tr>
        <w:trPr>
          <w:trHeight w:hRule="atLeast" w:val="440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生产指导与试运行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第10周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生产部署指导、远程培训、试运行陪跑、验收确认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生产部署包、操作手册、验收资料</w:t>
            </w:r>
          </w:p>
        </w:tc>
      </w:tr>
    </w:tbl>
    <w:p>
      <w:pPr>
        <w:spacing w:after="0"/>
      </w:pPr>
    </w:p>
    <w:p>
      <w:pPr>
        <w:spacing w:after="80"/>
        <w:ind w:left="216"/>
      </w:pPr>
      <w:r>
        <w:rPr>
          <w:i/>
          <w:color w:val="666666"/>
        </w:rPr>
        <w:t>说明：第3-7周可并行开展后端、知识库和前端工作。若客户无法按期提供样本或规则确认，里程碑顺延；模型/服务器采购不计入上述开发周期。</w:t>
      </w:r>
    </w:p>
    <w:p>
      <w:pPr>
        <w:pStyle w:val="Heading1"/>
      </w:pPr>
      <w:r>
        <w:t>七、功能需求逐条响应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20"/>
        <w:gridCol w:w="2520"/>
        <w:gridCol w:w="2520"/>
        <w:gridCol w:w="2520"/>
      </w:tblGrid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招标功能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响应方式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定制工作量（已含在34人天/70,000元内）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验收关注点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订单文档智能解析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支持上传约定格式的 DOCX/XLSX 及含文本层的 PDF；抽取规格、色号、辅料等字段，提供解析结果确认和异常清单。扫描件、图片和手写文档 OCR 另行评估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订单解析 6人天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代表性样本字段准确、异常可定位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EBOM自动推导生成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结构化字段检索物料主数据和历史 BOM，结合规则引擎生成层级 BOM；显示来源、版本和置信度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知识库与规则 12人天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结构完整、物料可追溯、规则冲突可拦截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差异化订单BOM批量生成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选择基准 BOM，配置允许变化的色号/辅料，批量创建任务并逐条校验；失败任务可重试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批量生成 3人天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批量结果不串单、不丢失、差异可对比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BOM结果处理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支持预览、编辑、差异对比、确认/驳回、版本记录、查询和约定模板导出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工作台 4人天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人工修改留痕、记录可查、导出字段正确</w:t>
            </w:r>
          </w:p>
        </w:tc>
      </w:tr>
      <w:tr>
        <w:trPr>
          <w:trHeight w:hRule="atLeast" w:val="440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私有化与交付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内网容器部署、配置手册、用户手册、测试报告、部署指导和远程支持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部署测试培训 5人天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业务数据隔离、服务可启动、交付物完整</w:t>
            </w:r>
          </w:p>
        </w:tc>
      </w:tr>
    </w:tbl>
    <w:p>
      <w:pPr>
        <w:spacing w:after="0"/>
      </w:pPr>
    </w:p>
    <w:p>
      <w:pPr>
        <w:pStyle w:val="Heading2"/>
      </w:pPr>
      <w:r>
        <w:t>7.1 招标要求逐条响应矩阵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0"/>
        <w:gridCol w:w="3360"/>
        <w:gridCol w:w="3360"/>
      </w:tblGrid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招标要求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响应结论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对应章节/交付物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智能体整体架构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满足；采用四层业务架构+基础设施支撑，固定流程由Workflow编排，语义任务由Agent处理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第三章、总体设计文档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私有化部署方案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满足；首期客户内网容器化部署，模型服务按客户批准路线实施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第五章、部署包、配置手册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BOM知识库构建思路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满足；建设主数据、BOM结构、规则、案例和术语资产，并保留来源版本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第四章、知识库初始数据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订单解析、EBOM、批量生成、结果处理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满足；逐项实现并提供人工确认、异常拦截和任务留痕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第七章、测试报告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历史BOM知识库能力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满足受限范围；客户提供符合模板的原始资料，服务商负责导入、校验和初始索引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第四章、数据质量清单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测试环境部署及生产部署指导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满足；提供测试部署、生产部署指导、环境检查和故障排查手册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第五章、第十章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需求文档、部署手册、用户手册、测试报告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满足；纳入正式交付物清单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第十章、交付物清单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项目实施计划及分项报价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满足；提供10周计划、34人天及70,000元费用测算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第六章、9.3节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相关案例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如投标方具备同类案例，应在正式投标文件中补充可核验案例；本实施方案不虚构案例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第十二章</w:t>
            </w:r>
          </w:p>
        </w:tc>
      </w:tr>
      <w:tr>
        <w:trPr>
          <w:trHeight w:hRule="atLeast" w:val="440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售后运维方案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满足；按P1-P4分级响应，质保期内远程支持和Bug闭环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第十章、9.4节</w:t>
            </w:r>
          </w:p>
        </w:tc>
      </w:tr>
    </w:tbl>
    <w:p>
      <w:pPr>
        <w:spacing w:after="0"/>
      </w:pPr>
    </w:p>
    <w:p>
      <w:pPr>
        <w:pStyle w:val="Heading2"/>
      </w:pPr>
      <w:r>
        <w:t>7.2 业务目标“效率提升2倍”的测量方法</w:t>
      </w:r>
    </w:p>
    <w:p>
      <w:pPr>
        <w:spacing w:after="80"/>
      </w:pPr>
      <w:r>
        <w:t>项目启动时由甲方选取不少于 20 份代表性订单，记录人工从接收订单到形成可确认 BOM 的平均有效工时，形成上线前基线。试运行阶段使用同类订单，记录系统解析、人工修正、确认和导出全流程有效工时，剔除等待客户补充资料的时间。以“基线平均工时 ÷ 上线后平均工时”计算效率倍数；建议将“达到 2 倍”作为持续改进目标，首期验收先以样本准确性、流程可用性和人工修正时间下降为硬性验收项。</w:t>
      </w:r>
    </w:p>
    <w:p>
      <w:pPr>
        <w:pStyle w:val="Heading1"/>
      </w:pPr>
      <w:r>
        <w:t>八、验收方案</w:t>
      </w:r>
    </w:p>
    <w:p>
      <w:pPr>
        <w:spacing w:after="80"/>
      </w:pPr>
      <w:r>
        <w:t>验收以双方在需求确认阶段签字固化的样本集和用例为准。建议使用“基准样本 + 差异样本 + 异常样本”三组数据，避免只用演示数据验收。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0"/>
        <w:gridCol w:w="3360"/>
        <w:gridCol w:w="3360"/>
      </w:tblGrid>
      <w:tr>
        <w:trPr>
          <w:trHeight w:hRule="atLeast" w:val="440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验收类别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建议用例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通过条件</w:t>
            </w:r>
          </w:p>
        </w:tc>
      </w:tr>
      <w:tr>
        <w:trPr>
          <w:trHeight w:hRule="atLeast" w:val="440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功能验收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上传订单、解析字段、生成 EBOM、批量派生、人工编辑、查询和导出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招标功能全部可操作；错误有提示；记录可追溯</w:t>
            </w:r>
          </w:p>
        </w:tc>
      </w:tr>
      <w:tr>
        <w:trPr>
          <w:trHeight w:hRule="atLeast" w:val="440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准确性验收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不少于 20 份代表性订单，覆盖多色号和辅料差异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关键字段、结构和规则指标达到确认目标；不确定场景不乱填</w:t>
            </w:r>
          </w:p>
        </w:tc>
      </w:tr>
      <w:tr>
        <w:trPr>
          <w:trHeight w:hRule="atLeast" w:val="440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批量稳定性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一次提交多条同类差异订单，包含重复和异常任务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任务状态准确；成功/失败可区分；无串单、丢单；失败可重试</w:t>
            </w:r>
          </w:p>
        </w:tc>
      </w:tr>
      <w:tr>
        <w:trPr>
          <w:trHeight w:hRule="atLeast" w:val="440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安全验收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角色权限、日志、备份恢复、内网访问检查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越权操作被拒；数据不出客户边界；可恢复关键数据</w:t>
            </w:r>
          </w:p>
        </w:tc>
      </w:tr>
      <w:tr>
        <w:trPr>
          <w:trHeight w:hRule="atLeast" w:val="440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交付验收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程序包、配置手册、操作手册、测试报告、验收模板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交付物齐全，客户可按手册完成启动和基本操作</w:t>
            </w:r>
          </w:p>
        </w:tc>
      </w:tr>
    </w:tbl>
    <w:p>
      <w:pPr>
        <w:spacing w:after="0"/>
      </w:pPr>
    </w:p>
    <w:p>
      <w:pPr>
        <w:pStyle w:val="Heading1"/>
      </w:pPr>
      <w:r>
        <w:t>九、范围边界、风险与报价建议</w:t>
      </w:r>
    </w:p>
    <w:p>
      <w:pPr>
        <w:pStyle w:val="Heading2"/>
      </w:pPr>
      <w:r>
        <w:t>9.1 范围边界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0"/>
        <w:gridCol w:w="5040"/>
      </w:tblGrid>
      <w:tr>
        <w:trPr>
          <w:trHeight w:hRule="atLeast" w:val="440"/>
        </w:trP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包含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不包含/需另行确认</w:t>
            </w:r>
          </w:p>
        </w:tc>
      </w:tr>
      <w:tr>
        <w:trPr>
          <w:trHeight w:hRule="atLeast" w:val="440"/>
        </w:trP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AI-BOM智能体、订单解析、EBOM生成、差异订单批量生成、结果编辑查询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历史 BOM 全量清洗、编码重构、重复数据治理</w:t>
            </w:r>
          </w:p>
        </w:tc>
      </w:tr>
      <w:tr>
        <w:trPr>
          <w:trHeight w:hRule="atLeast" w:val="440"/>
        </w:trP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历史 BOM 知识库架构、导入模板、初始导入指导和检索调优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ERP、MES、PLM、财务或生产系统接口</w:t>
            </w:r>
          </w:p>
        </w:tc>
      </w:tr>
      <w:tr>
        <w:trPr>
          <w:trHeight w:hRule="atLeast" w:val="440"/>
        </w:trP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测试环境部署、生产环境部署指导、远程培训和3个月质保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线下驻场培训、7×24运维；服务器、GPU、操作系统、中间件、存储等基础设施费用；模型软件授权及模型调用/API/Token/推理服务费用</w:t>
            </w:r>
          </w:p>
        </w:tc>
      </w:tr>
      <w:tr>
        <w:trPr>
          <w:trHeight w:hRule="atLeast" w:val="440"/>
        </w:trPr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约定格式文档解析和结构化导出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大量扫描/手写文档 OCR 专项、复杂版式定制</w:t>
            </w:r>
          </w:p>
        </w:tc>
      </w:tr>
    </w:tbl>
    <w:p>
      <w:pPr>
        <w:spacing w:after="0"/>
      </w:pPr>
    </w:p>
    <w:p>
      <w:pPr>
        <w:pStyle w:val="Heading2"/>
      </w:pPr>
      <w:r>
        <w:t>9.2 主要风险与应对</w:t>
      </w:r>
    </w:p>
    <w:p>
      <w:pPr>
        <w:pStyle w:val="ListBullet"/>
        <w:spacing w:after="40"/>
      </w:pPr>
      <w:r>
        <w:t>数据质量风险：历史 BOM 字段缺失、同名异物、版本混用会直接影响生成质量。应在第1-2周完成数据画像和问题清单，将不可用资料隔离。</w:t>
      </w:r>
    </w:p>
    <w:p>
      <w:pPr>
        <w:pStyle w:val="ListBullet"/>
        <w:spacing w:after="40"/>
      </w:pPr>
      <w:r>
        <w:t>规则隐性风险：色号和辅料替换可能存在未文档化经验。应让业务专家参与规则确认，所有规则配置可查看、可测试、可回滚。</w:t>
      </w:r>
    </w:p>
    <w:p>
      <w:pPr>
        <w:pStyle w:val="ListBullet"/>
        <w:spacing w:after="40"/>
      </w:pPr>
      <w:r>
        <w:t>模型不确定性：大模型可能产生看似合理但错误的物料。应采用结构化输出、检索来源、规则校验和低置信度人工确认四道控制。</w:t>
      </w:r>
    </w:p>
    <w:p>
      <w:pPr>
        <w:pStyle w:val="ListBullet"/>
        <w:spacing w:after="40"/>
      </w:pPr>
      <w:r>
        <w:t>上线节奏风险：客户无 IT 团队。服务商应提供一键部署包、环境检查脚本、故障排查手册和远程陪跑；客户至少指定一名系统联系人和两名业务管理员。</w:t>
      </w:r>
    </w:p>
    <w:p>
      <w:pPr>
        <w:pStyle w:val="ListBullet"/>
        <w:spacing w:after="40"/>
      </w:pPr>
      <w:r>
        <w:t>硬件风险：本地模型性能取决于 GPU 和模型规格。项目启动前需锁定模型路线和服务器配置，否则只承诺流程可用，不承诺固定响应时延。</w:t>
      </w:r>
    </w:p>
    <w:p>
      <w:pPr>
        <w:pStyle w:val="Heading2"/>
      </w:pPr>
      <w:r>
        <w:t>9.3 受限范围 MVP 固定总价测算（参考）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20"/>
        <w:gridCol w:w="2520"/>
        <w:gridCol w:w="2520"/>
        <w:gridCol w:w="2520"/>
      </w:tblGrid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费用项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对应人天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固定金额（元）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需求与方案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8,000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需求确认、字段字典、架构与安全方案</w:t>
            </w:r>
          </w:p>
        </w:tc>
      </w:tr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订单解析与字段校验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16,000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约定模板解析、字段抽取、结构化校验与异常提示</w:t>
            </w:r>
          </w:p>
        </w:tc>
      </w:tr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知识库初始化、检索与规则/EBOM推导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22,000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受限数据导入、检索、规则配置和 EBOM 草稿生成</w:t>
            </w:r>
          </w:p>
        </w:tc>
      </w:tr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差异批量生成与结果工作台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12,000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基准派生、批量任务、预览编辑、差异对比和版本留痕</w:t>
            </w:r>
          </w:p>
        </w:tc>
      </w:tr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部署、测试、培训与质保交付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8,000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测试部署、生产部署指导、手册、培训和3个月远程质保</w:t>
            </w:r>
          </w:p>
        </w:tc>
      </w:tr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项目协调与风险预留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4,000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项目协调、问题闭环和小范围返工预留</w:t>
            </w:r>
          </w:p>
        </w:tc>
      </w:tr>
      <w:tr>
        <w:trPr>
          <w:trHeight w:hRule="atLeast" w:val="440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首期实施固定总价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70,000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未含税；税率按合同约定</w:t>
            </w:r>
          </w:p>
        </w:tc>
      </w:tr>
    </w:tbl>
    <w:p>
      <w:pPr>
        <w:spacing w:after="0"/>
      </w:pPr>
    </w:p>
    <w:p>
      <w:pPr>
        <w:spacing w:after="80"/>
      </w:pPr>
      <w:r>
        <w:t>报价口径：首期实施固定总价为人民币 70,000 元（未税）。服务器、GPU、操作系统、中间件、存储等基础设施采购和扩容费用，以及大模型软件授权、模型调用/API/Token/推理服务费用，均不包含在上述总价内，由客户提供或另行承担；历史 BOM 全量清洗、扫描件 OCR、ERP/MES/PLM 接口、驻场服务和 7×24 运维等超出范围事项另行评估报价。</w:t>
      </w:r>
    </w:p>
    <w:p>
      <w:pPr>
        <w:pStyle w:val="Heading2"/>
      </w:pPr>
      <w:r>
        <w:t>9.4 售后运维与 Bug 修复机制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rHeight w:hRule="atLeast" w:val="440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典型情形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首次响应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临时恢复/绕行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修复与闭环</w:t>
            </w:r>
          </w:p>
        </w:tc>
      </w:tr>
      <w:tr>
        <w:trPr>
          <w:trHeight w:hRule="atLeast" w:val="440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P1 紧急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系统无法启动、数据丢失/串单、核心生成流程全面不可用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工作日4小时内；重大故障按双方约定的紧急渠道即时通知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启动专项处理，持续跟踪并提供人工绕行方案，目标24小时内恢复核心服务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定位后优先发布修复；完成回归测试、变更记录和双方确认后关闭</w:t>
            </w:r>
          </w:p>
        </w:tc>
      </w:tr>
      <w:tr>
        <w:trPr>
          <w:trHeight w:hRule="atLeast" w:val="440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P2 高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核心功能明显受影响，但有替代操作；批量任务失败率异常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1个工作日内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提供临时配置或操作绕行，目标2个工作日内恢复主要功能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一般在5个工作日内提供修复版本或明确计划</w:t>
            </w:r>
          </w:p>
        </w:tc>
      </w:tr>
      <w:tr>
        <w:trPr>
          <w:trHeight w:hRule="atLeast" w:val="440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P3 一般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非核心功能缺陷、页面显示或单一规则问题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2个工作日内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纳入问题清单并给出处理计划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在下一维护版本修复，完成验证后关闭</w:t>
            </w:r>
          </w:p>
        </w:tc>
      </w:tr>
      <w:tr>
        <w:trPr>
          <w:trHeight w:hRule="atLeast" w:val="440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 w:val="0"/>
              </w:rPr>
              <w:t>P4 建议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优化建议、文案、非缺陷需求或新增功能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3个工作日内确认是否属于质保范围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不承诺临时恢复时限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新增功能按需求变更流程评估，不纳入免费Bug修复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支持渠道：工作日 9:00-18:00 使用项目群/工单/电话；P1 紧急问题使用双方确认的电话或项目群，并不构成未经合同约定的 7×24 服务。</w:t>
      </w:r>
    </w:p>
    <w:p>
      <w:pPr>
        <w:pStyle w:val="ListBullet"/>
        <w:spacing w:after="40"/>
      </w:pPr>
      <w:r>
        <w:t>处理闭环：客户提交现象、时间、账号、任务 ID、原始文件标识和日志摘要；服务商登记问题、确认等级、定位原因、提供临时措施、修复版本、回归结果和关闭记录。</w:t>
      </w:r>
    </w:p>
    <w:p>
      <w:pPr>
        <w:pStyle w:val="ListBullet"/>
        <w:spacing w:after="40"/>
      </w:pPr>
      <w:r>
        <w:t>质保范围：验收后 3 个月内包含系统 Bug 修复、部署问题协助和远程技术支持；不包含新增功能、客户自行修改配置导致的问题、硬件/操作系统故障和全量数据治理。</w:t>
      </w:r>
    </w:p>
    <w:p>
      <w:pPr>
        <w:pStyle w:val="Heading1"/>
      </w:pPr>
      <w:r>
        <w:t>十、交付物与售后服务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0"/>
        <w:gridCol w:w="5040"/>
      </w:tblGrid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交付物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pStyle w:val="TableText"/>
              <w:spacing w:before="0" w:after="0"/>
              <w:jc w:val="center"/>
            </w:pPr>
            <w:r/>
            <w:r>
              <w:rPr>
                <w:b/>
                <w:color w:val="FFFFFF"/>
              </w:rPr>
              <w:t>形式</w:t>
            </w:r>
          </w:p>
        </w:tc>
      </w:tr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需求规格说明书、字段字典、规则确认表、验收用例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DOCX/PDF</w:t>
            </w:r>
          </w:p>
        </w:tc>
      </w:tr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总体架构、数据模型、部署拓扑和安全方案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DOCX/PDF/架构图</w:t>
            </w:r>
          </w:p>
        </w:tc>
      </w:tr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AI-BOM智能体程序包及配置文件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可部署程序包、Docker Compose/YAML、配置模板、镜像/安装脚本、版本清单和回滚说明；源代码按合同约定交付</w:t>
            </w:r>
          </w:p>
        </w:tc>
      </w:tr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知识库初始数据、导入模板、导入/校验脚本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数据文件+脚本</w:t>
            </w:r>
          </w:p>
        </w:tc>
      </w:tr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测试报告（功能、准确性、批量稳定性、部署检查）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DOCX/PDF</w:t>
            </w:r>
          </w:p>
        </w:tc>
      </w:tr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部署配置手册、用户操作手册、知识库维护说明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DOCX/PDF</w:t>
            </w:r>
          </w:p>
        </w:tc>
      </w:tr>
      <w:tr>
        <w:trPr>
          <w:trHeight w:hRule="atLeast" w:val="440"/>
        </w:trP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培训记录、问题清单、验收确认单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pStyle w:val="TableText"/>
              <w:spacing w:before="0" w:after="0"/>
              <w:jc w:val="left"/>
            </w:pPr>
            <w:r/>
            <w:r>
              <w:rPr>
                <w:b w:val="0"/>
              </w:rPr>
              <w:t>DOCX/PDF</w:t>
            </w:r>
          </w:p>
        </w:tc>
      </w:tr>
    </w:tbl>
    <w:p>
      <w:pPr>
        <w:spacing w:after="0"/>
      </w:pPr>
    </w:p>
    <w:p>
      <w:pPr>
        <w:spacing w:after="80"/>
      </w:pPr>
      <w:r>
        <w:t>质保期建议沿用招标要求：验收后免费质保 3 个月，包含 Bug 修复、远程技术支持和部署问题协助；不包含新增功能、数据全量治理及客户环境硬件故障。工作日收到问题后 4 小时内响应，重大故障优先远程处理并持续跟踪；具体等级和响应时限以合同为准。</w:t>
      </w:r>
    </w:p>
    <w:p>
      <w:pPr>
        <w:pStyle w:val="Heading1"/>
      </w:pPr>
      <w:r>
        <w:t>十一、启动前需甲方确认的事项</w:t>
      </w:r>
    </w:p>
    <w:p>
      <w:pPr>
        <w:pStyle w:val="ListBullet"/>
        <w:spacing w:after="40"/>
      </w:pPr>
      <w:r>
        <w:t>首期订单输入格式、每日/每批订单量、最大批量规模和结果导出模板。</w:t>
      </w:r>
    </w:p>
    <w:p>
      <w:pPr>
        <w:pStyle w:val="ListBullet"/>
        <w:spacing w:after="40"/>
      </w:pPr>
      <w:r>
        <w:t>历史 BOM 数量、字段样例、版本规则、物料编码现状及可提供的数据负责人。</w:t>
      </w:r>
    </w:p>
    <w:p>
      <w:pPr>
        <w:pStyle w:val="ListBullet"/>
        <w:spacing w:after="40"/>
      </w:pPr>
      <w:r>
        <w:t>首期覆盖的产品系列、色号范围、辅料范围和必须固化的业务规则。</w:t>
      </w:r>
    </w:p>
    <w:p>
      <w:pPr>
        <w:pStyle w:val="ListBullet"/>
        <w:spacing w:after="40"/>
      </w:pPr>
      <w:r>
        <w:t>服务器是否已有，是否具备 GPU，内网操作系统/容器环境和账号权限。</w:t>
      </w:r>
    </w:p>
    <w:p>
      <w:pPr>
        <w:pStyle w:val="ListBullet"/>
        <w:spacing w:after="40"/>
      </w:pPr>
      <w:r>
        <w:t>本地模型路线、模型许可、是否允许访问客户认可的内网模型服务。</w:t>
      </w:r>
    </w:p>
    <w:p>
      <w:pPr>
        <w:pStyle w:val="ListBullet"/>
        <w:spacing w:after="40"/>
      </w:pPr>
      <w:r>
        <w:t>客户业务验收人员、系统管理员、业务管理员及每周规则确认时间。</w:t>
      </w:r>
    </w:p>
    <w:p>
      <w:pPr>
        <w:pStyle w:val="Heading1"/>
      </w:pPr>
      <w:r>
        <w:t>十二、相关案例响应说明</w:t>
      </w:r>
    </w:p>
    <w:p>
      <w:pPr>
        <w:spacing w:after="80"/>
      </w:pPr>
      <w:r>
        <w:t>招标文件要求提供“工业 BOM 解析生成、制造文档类 AI 智能体落地案例”。本方案不虚构项目经历。若投标方拥有可核验的同类案例，应在正式投标文件中补充案例名称、客户行业（经客户许可）、实施范围、上线时间、交付成果、可验证联系人或证明材料，并说明与本项目的相似点和差异。若暂无可核验同类案例，建议如实写明“暂无可核验的同类生产落地案例，可提供受限范围 POC/样例验证”，并将首期样本验证、人工确认和分阶段验收作为风险控制安排。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铅笔制造 AI-BOM 智能体整体实施方案 | 机密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铅笔制造AI-BOM智能体整体实施方案</dc:title>
  <dc:subject>智能体架构、私有化部署、BOM知识库及人天估算</dc:subject>
  <dc:creator>项目实施团队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