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76CF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铅笔制造‑AI‑BOM智能体整体实施方案</w:t>
      </w:r>
    </w:p>
    <w:p w14:paraId="657E299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40F80F06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项目背景</w:t>
      </w:r>
      <w:bookmarkEnd w:id="1"/>
    </w:p>
    <w:p w14:paraId="037D67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丽水某铅笔制造企业，订单具备</w:t>
      </w:r>
      <w:r>
        <w:rPr>
          <w:rFonts w:ascii="Arial" w:hAnsi="Arial" w:eastAsia="等线" w:cs="Arial"/>
          <w:b/>
          <w:sz w:val="22"/>
        </w:rPr>
        <w:t>多色号、多规格、辅料差异化</w:t>
      </w:r>
      <w:r>
        <w:rPr>
          <w:rFonts w:ascii="Arial" w:hAnsi="Arial" w:eastAsia="等线" w:cs="Arial"/>
          <w:sz w:val="22"/>
        </w:rPr>
        <w:t>特征，大量订单仅色号、辅料发生变更，其余结构保持一致。当前依靠采购人员人工编制 EBOM，重复工作量大、编制周期长，制约订单处理效率，业务目标实现 BOM 制作效率提升 2 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企业具备历史 BOM 原始业务数据，但几乎无内部 IT 团队，无现有业务系统，需要建设一套内网私有化部署的 AI‑BOM 智能体。通过 NLP 解析订单文档，结合历史 BOM 知识库与业务规则自动生成 EBOM 草稿，实现差异化订单批量派生 BOM，配套人工校核、版本留痕、结果导出能力，降低人工重复劳动。</w:t>
      </w:r>
    </w:p>
    <w:p w14:paraId="754FA80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项目边界</w:t>
      </w:r>
      <w:bookmarkEnd w:id="2"/>
    </w:p>
    <w:p w14:paraId="048E8E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包含范围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1）AI‑BOM 智能体开发、内网私有化部署指导；订单文档解析、EBOM 推导、色号 / 辅料差异订单批量生成、BOM 预览编辑、版本查询导出；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2）BOM 知识库架构搭建、模板定义、历史 BOM 导入校验、索引初始化；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3）输出需求规格说明书、架构文档、部署配置手册、用户操作手册、测试报告；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4）测试环境部署调试、生产环境部署指导、远程培训；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5）验收后 3 个月免费质保、分级远程故障响应与 Bug 修复。</w:t>
      </w:r>
    </w:p>
    <w:p w14:paraId="529A53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不包含范围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1）历史 BOM 原始数据全量清洗、编码重构、重复数据治理，由甲方提供合规原始资料；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2）ERP/MES/PLM 等第三方系统接口开发；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3）线下上门培训、7×24 小时运维服务；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4）扫描件、手写单据 OCR 专项治理；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5）硬件服务器、GPU、大模型软件许可采购及相关费用。</w:t>
      </w:r>
    </w:p>
    <w:p w14:paraId="1A53B82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实施前提</w:t>
      </w:r>
      <w:bookmarkEnd w:id="3"/>
    </w:p>
    <w:p w14:paraId="74E8920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甲方提供服务器硬件环境、代表性订单样本、历史 BOM 原始文件、物料主数据；</w:t>
      </w:r>
    </w:p>
    <w:p w14:paraId="7445A19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甲方安排业务骨干参与业务规则确认、样本验收用例评审；</w:t>
      </w:r>
    </w:p>
    <w:p w14:paraId="4E5F64F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首期仅支持可复制文本的 DOCX/XLSX、带文本层 PDF 文档解析；</w:t>
      </w:r>
    </w:p>
    <w:p w14:paraId="097936C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输出为 EBOM 草稿，必须经过业务人员人工确认，系统不替代工程、采购审批流程。</w:t>
      </w:r>
    </w:p>
    <w:p w14:paraId="4AA9EE6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二、智能体整体架构</w:t>
      </w:r>
      <w:bookmarkEnd w:id="4"/>
    </w:p>
    <w:p w14:paraId="771571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四层业务架构 + 基础设施支撑层</w:t>
      </w:r>
      <w:r>
        <w:rPr>
          <w:rFonts w:ascii="Arial" w:hAnsi="Arial" w:eastAsia="等线" w:cs="Arial"/>
          <w:sz w:val="22"/>
        </w:rPr>
        <w:t>，区分大模型语义能力与确定性规则计算，关键 BOM 物料层级、用量、编码计算交由规则引擎执行，大模型仅承担自然语言抽取、语义理解、结果解释，规避大模型幻觉带来物料错误风险。整体分为：交互层、智能编排层、业务服务层、知识与数据层，底层依托基础设施层运行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D9133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71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A5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85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ED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关键管控点</w:t>
            </w:r>
          </w:p>
        </w:tc>
      </w:tr>
      <w:tr w14:paraId="53F227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66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47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 工作台、文件上传模块、任务中心、BOM 预览与编辑模块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EE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订单文档上传、解析结果查看、BOM 人工修正确认、历史版本查询、文件导出；角色权限控制、操作留痕审计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B0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文件大小 / 格式校验；操作日志全记录；按角色做功能权限隔离</w:t>
            </w:r>
          </w:p>
        </w:tc>
      </w:tr>
      <w:tr w14:paraId="046961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BD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智能编排层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75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 Router、订单解析 Agent、BOM 生成 Agent、批量派生 Workflow 工作流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BA9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对任务进行编排调度，完成文档解析、知识检索、物料匹配、BOM 生成、批量派生、异常转人工流程；结构化输出结果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69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优先执行确定性规则流程；低置信度、冲突场景强制流转人工确认；任务可重试、不丢失原始文件</w:t>
            </w:r>
          </w:p>
        </w:tc>
      </w:tr>
      <w:tr w14:paraId="762545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07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业务服务层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44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文档解析服务、EBOM 生成服务、规则配置服务、批量任务服务、导出服务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CB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任务生命周期管理、物料映射、差异计算、版本管理、文件导出、审计日志生成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350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接口幂等、任务失败重试；版本号管理；全流程审计日志留存</w:t>
            </w:r>
          </w:p>
        </w:tc>
      </w:tr>
      <w:tr w14:paraId="48E241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A9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知识与数据层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94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BOM 知识库、物料主数据库、业务规则库、历史案例库、术语模板库、向量索引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E57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存储物料基础数据、历史 BOM 结构、色号 / 辅料替换规则、已审核订单‑BOM 案例、订单术语别名；提供精确查询 + 相似案例检索；每条知识保留来源、版本、生效条件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7B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知识版本管控；来源可追溯；未审核案例不得直接参与自动生成；增量知识需要人工审核入库</w:t>
            </w:r>
          </w:p>
        </w:tc>
      </w:tr>
      <w:tr w14:paraId="349E87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55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基础设施层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57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内网网关、容器服务、数据库、对象存储、Redis 队列、日志监控、备份组件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3C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提供私有化容器运行环境、文件存储、批量任务队列、日志采集、备份恢复、健康检查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B8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内网网络隔离；禁止数据库直接暴露外网；定期备份与恢复演练；最小权限原则</w:t>
            </w:r>
          </w:p>
        </w:tc>
      </w:tr>
    </w:tbl>
    <w:p w14:paraId="14B1E23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智能体核心工作流程</w:t>
      </w:r>
      <w:bookmarkEnd w:id="5"/>
    </w:p>
    <w:p w14:paraId="7F587EE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订单接收校验</w:t>
      </w:r>
      <w:r>
        <w:rPr>
          <w:rFonts w:ascii="Arial" w:hAnsi="Arial" w:eastAsia="等线" w:cs="Arial"/>
          <w:sz w:val="22"/>
        </w:rPr>
        <w:t>：上传订单文件，校验文件格式、大小，生成唯一任务 ID；</w:t>
      </w:r>
    </w:p>
    <w:p w14:paraId="2A23AD3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文档智能解析</w:t>
      </w:r>
      <w:r>
        <w:rPr>
          <w:rFonts w:ascii="Arial" w:hAnsi="Arial" w:eastAsia="等线" w:cs="Arial"/>
          <w:sz w:val="22"/>
        </w:rPr>
        <w:t>：Agent 解析订单文档，抽取订单号、产品系列、规格、色号、数量、包装、辅料、特殊业务要求；无法识别字段标记为</w:t>
      </w:r>
      <w:r>
        <w:rPr>
          <w:rFonts w:ascii="Arial" w:hAnsi="Arial" w:eastAsia="等线" w:cs="Arial"/>
          <w:b/>
          <w:sz w:val="22"/>
        </w:rPr>
        <w:t>待确认</w:t>
      </w:r>
      <w:r>
        <w:rPr>
          <w:rFonts w:ascii="Arial" w:hAnsi="Arial" w:eastAsia="等线" w:cs="Arial"/>
          <w:sz w:val="22"/>
        </w:rPr>
        <w:t>；</w:t>
      </w:r>
    </w:p>
    <w:p w14:paraId="17FB79E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结构化校验</w:t>
      </w:r>
      <w:r>
        <w:rPr>
          <w:rFonts w:ascii="Arial" w:hAnsi="Arial" w:eastAsia="等线" w:cs="Arial"/>
          <w:sz w:val="22"/>
        </w:rPr>
        <w:t>：按照枚举值、单位、必填项、互斥约束校验解析结果，校验失败输出问题清单；</w:t>
      </w:r>
    </w:p>
    <w:p w14:paraId="509A7DC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知识检索</w:t>
      </w:r>
      <w:r>
        <w:rPr>
          <w:rFonts w:ascii="Arial" w:hAnsi="Arial" w:eastAsia="等线" w:cs="Arial"/>
          <w:sz w:val="22"/>
        </w:rPr>
        <w:t>：优先基于物料编码、产品系列、色号做精确检索；向量检索补充相似历史 BOM 案例，检索结果附带来源证据；</w:t>
      </w:r>
    </w:p>
    <w:p w14:paraId="655F731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EBOM 推导生成</w:t>
      </w:r>
      <w:r>
        <w:rPr>
          <w:rFonts w:ascii="Arial" w:hAnsi="Arial" w:eastAsia="等线" w:cs="Arial"/>
          <w:sz w:val="22"/>
        </w:rPr>
        <w:t>：规则引擎完成 BOM 层级、物料编码、用量、损耗计算；大模型仅做语义映射与解释；多候选物料、无匹配场景只输出候选列表，不自动选择物料；</w:t>
      </w:r>
    </w:p>
    <w:p w14:paraId="146EE6E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差异化批量派生</w:t>
      </w:r>
      <w:r>
        <w:rPr>
          <w:rFonts w:ascii="Arial" w:hAnsi="Arial" w:eastAsia="等线" w:cs="Arial"/>
          <w:sz w:val="22"/>
        </w:rPr>
        <w:t>：选定已确认基准 BOM，仅允许变更色号、辅料，校验不可修改字段与物料组合约束，执行批量生成任务，失败任务支持重试；</w:t>
      </w:r>
    </w:p>
    <w:p w14:paraId="1695BDE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人机协同确认</w:t>
      </w:r>
      <w:r>
        <w:rPr>
          <w:rFonts w:ascii="Arial" w:hAnsi="Arial" w:eastAsia="等线" w:cs="Arial"/>
          <w:sz w:val="22"/>
        </w:rPr>
        <w:t>：系统按置信度分级展示 BOM 草稿；业务人员可编辑、驳回、确认；完整留存修改前后差异、操作人、操作时间；</w:t>
      </w:r>
    </w:p>
    <w:p w14:paraId="028D5C9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结果输出与知识沉淀</w:t>
      </w:r>
      <w:r>
        <w:rPr>
          <w:rFonts w:ascii="Arial" w:hAnsi="Arial" w:eastAsia="等线" w:cs="Arial"/>
          <w:sz w:val="22"/>
        </w:rPr>
        <w:t>：输出结构化 EBOM 文件；人工修正内容进入待审核队列，审核通过后更新知识库，不会直接自动写入生产知识库。</w:t>
      </w:r>
    </w:p>
    <w:p w14:paraId="22D97CA2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可信输出控制机制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58E9E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C7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72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系统行为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40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业务人员动作</w:t>
            </w:r>
          </w:p>
        </w:tc>
      </w:tr>
      <w:tr w14:paraId="60F0C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617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高置信度，全部规则校验通过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75E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输出建议 EBOM，附带规则、案例来源依据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54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业务抽查确认</w:t>
            </w:r>
          </w:p>
        </w:tc>
      </w:tr>
      <w:tr w14:paraId="20D232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2D3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多候选物料匹配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BCF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展示全部候选物料及差异，不自动选定物料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B4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人工选择正确物料确认</w:t>
            </w:r>
          </w:p>
        </w:tc>
      </w:tr>
      <w:tr w14:paraId="203C5C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9A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必填字段缺失、业务规则冲突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13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阻断自动生成，输出待确认草稿及问题清单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BA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补充信息或者调整业务规则</w:t>
            </w:r>
          </w:p>
        </w:tc>
      </w:tr>
      <w:tr w14:paraId="31C08C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A9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历史案例与当前订单条件不匹配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69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提示案例适用边界，不直接复用旧 BOM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50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确认案例是否可以复用</w:t>
            </w:r>
          </w:p>
        </w:tc>
      </w:tr>
      <w:tr w14:paraId="432F9E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97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模型、服务异常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8D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保存原始任务状态，支持重试，原始文件不丢失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F8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重试任务或完全人工编制 BOM</w:t>
            </w:r>
          </w:p>
        </w:tc>
      </w:tr>
    </w:tbl>
    <w:p w14:paraId="0ADB564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三、BOM 知识库构建思路</w:t>
      </w:r>
      <w:bookmarkEnd w:id="7"/>
    </w:p>
    <w:p w14:paraId="039310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知识库不直接将原始文档全部向量化，构建</w:t>
      </w:r>
      <w:r>
        <w:rPr>
          <w:rFonts w:ascii="Arial" w:hAnsi="Arial" w:eastAsia="等线" w:cs="Arial"/>
          <w:b/>
          <w:sz w:val="22"/>
        </w:rPr>
        <w:t>结构化主数据、可执行业务规则、可检索业务案例文档</w:t>
      </w:r>
      <w:r>
        <w:rPr>
          <w:rFonts w:ascii="Arial" w:hAnsi="Arial" w:eastAsia="等线" w:cs="Arial"/>
          <w:sz w:val="22"/>
        </w:rPr>
        <w:t>三类知识资产，依靠产品系列、物料编码、色号、版本、适用条件实现关联，支撑铅笔多色号、辅料多变的业务场景。</w:t>
      </w:r>
    </w:p>
    <w:p w14:paraId="749102D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 知识资产分类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6288B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9F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知识资产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89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50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检索 / 存储方式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6A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首期落地方法</w:t>
            </w:r>
          </w:p>
        </w:tc>
      </w:tr>
      <w:tr w14:paraId="5377B9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4B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物料主数据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7F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物料编码、物料名称、物料类别、规格、单位、色号、包装类型、物料状态、替代料信息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35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关系数据库精确查询，配套同义词字典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F6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甲方提供原始物料表；甲乙双方确认字段、唯一键约束</w:t>
            </w:r>
          </w:p>
        </w:tc>
      </w:tr>
      <w:tr w14:paraId="366380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50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BOM 结构库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52D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父项子项层级关系、基准用量、损耗系数、版本号、生效失效时间、适用产品系列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49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关系数据库 + 结构化 JSON，支持按条件过滤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56E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导入甲方提供的历史确认 BOM，保存来源文件与版本信息</w:t>
            </w:r>
          </w:p>
        </w:tc>
      </w:tr>
      <w:tr w14:paraId="2863D3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6C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业务规则库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A8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色号替换规则、辅料组合规则、必选 / 互斥物料约束、用量计算逻辑、异常阈值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74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规则数据表 + 可配置规则服务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B8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业务访谈，将企业隐性经验固化成可测试、可回滚的配置化规则</w:t>
            </w:r>
          </w:p>
        </w:tc>
      </w:tr>
      <w:tr w14:paraId="6CB860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BD2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历史案例库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39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订单条件、最终确认 BOM、历史异常、人工修正记录、案例适用边界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8B7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关键词 + 向量混合检索，结果重排序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B7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只导入业务审核通过案例，标记案例适用条件，排除作废样本</w:t>
            </w:r>
          </w:p>
        </w:tc>
      </w:tr>
      <w:tr w14:paraId="715596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55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模板术语库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ED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订单模板、字段别名、单位换算、颜色别名、辅料别名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76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字典匹配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98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建立统一字段字典，统一业务术语映射关系</w:t>
            </w:r>
          </w:p>
        </w:tc>
      </w:tr>
      <w:tr w14:paraId="6DD282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CF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工艺包装文档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FE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包装规范、特殊工艺说明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B3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文档分片 + 向量检索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24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文档按产品范围绑定，支持查询参考</w:t>
            </w:r>
          </w:p>
        </w:tc>
      </w:tr>
    </w:tbl>
    <w:p w14:paraId="5111860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3.2 知识库数据治理流程</w:t>
      </w:r>
      <w:bookmarkEnd w:id="9"/>
    </w:p>
    <w:p w14:paraId="7603BD2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资料盘点</w:t>
      </w:r>
      <w:r>
        <w:rPr>
          <w:rFonts w:ascii="Arial" w:hAnsi="Arial" w:eastAsia="等线" w:cs="Arial"/>
          <w:sz w:val="22"/>
        </w:rPr>
        <w:t>：统计历史 BOM、物料数据、订单样本，统计字段完整率、重复、版本冲突、编码缺失，输出数据质量问题清单；</w:t>
      </w:r>
    </w:p>
    <w:p w14:paraId="3EE314E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标准建模</w:t>
      </w:r>
      <w:r>
        <w:rPr>
          <w:rFonts w:ascii="Arial" w:hAnsi="Arial" w:eastAsia="等线" w:cs="Arial"/>
          <w:sz w:val="22"/>
        </w:rPr>
        <w:t>：确认物料编码唯一性、BOM 父子层级、色号字典、辅料分类、单位标准；</w:t>
      </w:r>
    </w:p>
    <w:p w14:paraId="7E0DCC3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导入校验</w:t>
      </w:r>
      <w:r>
        <w:rPr>
          <w:rFonts w:ascii="Arial" w:hAnsi="Arial" w:eastAsia="等线" w:cs="Arial"/>
          <w:sz w:val="22"/>
        </w:rPr>
        <w:t>：做必填项、数据类型、主键、层级闭环校验，输出异常清单反馈甲方确认；</w:t>
      </w:r>
    </w:p>
    <w:p w14:paraId="76E7F68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业务确认</w:t>
      </w:r>
      <w:r>
        <w:rPr>
          <w:rFonts w:ascii="Arial" w:hAnsi="Arial" w:eastAsia="等线" w:cs="Arial"/>
          <w:sz w:val="22"/>
        </w:rPr>
        <w:t>：甲方业务专家确认基准 BOM、替代物料、色号辅料变更边界；</w:t>
      </w:r>
    </w:p>
    <w:p w14:paraId="4C687EE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索引构建</w:t>
      </w:r>
      <w:r>
        <w:rPr>
          <w:rFonts w:ascii="Arial" w:hAnsi="Arial" w:eastAsia="等线" w:cs="Arial"/>
          <w:sz w:val="22"/>
        </w:rPr>
        <w:t>：结构化字段用于过滤查询，文本内容构建向量索引；检索返回结果必须携带来源、版本；</w:t>
      </w:r>
    </w:p>
    <w:p w14:paraId="5797BCE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持续闭环更新</w:t>
      </w:r>
      <w:r>
        <w:rPr>
          <w:rFonts w:ascii="Arial" w:hAnsi="Arial" w:eastAsia="等线" w:cs="Arial"/>
          <w:sz w:val="22"/>
        </w:rPr>
        <w:t>：人工修改 BOM 记录进入审核队列；审核完成后版本化发布知识库，支持版本回滚。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FCF1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4C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说明：本方案仅负责导入、校验、样例整理与知识库初始化；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历史 BOM 全量清洗标准化不在本期范围内，如需实施需要单独评估报价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</w:t>
            </w:r>
          </w:p>
        </w:tc>
      </w:tr>
    </w:tbl>
    <w:p w14:paraId="3B553206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3.3 首期知识库验收指标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A06DE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42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9A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首期目标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2DE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D0EE6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FF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订单关键字段抽取准确率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DF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代表性样本关键字段≥90%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B3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订单号、规格、色号、数量、辅料等字段分开统计</w:t>
            </w:r>
          </w:p>
        </w:tc>
      </w:tr>
      <w:tr w14:paraId="4F4AAB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F1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BOM 结构完整率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B86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基准样本≥95%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C9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父子层级、物料编码、单位、用量字段完整性</w:t>
            </w:r>
          </w:p>
        </w:tc>
      </w:tr>
      <w:tr w14:paraId="1CDAFD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1E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固化规则命中率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24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规则覆盖场景≥95%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2F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针对已经确认的业务规则场景统计</w:t>
            </w:r>
          </w:p>
        </w:tc>
      </w:tr>
      <w:tr w14:paraId="51998B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22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物料来源可追溯性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73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8A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每一条推荐物料可以追溯到主数据、业务规则或者历史案例来源</w:t>
            </w:r>
          </w:p>
        </w:tc>
      </w:tr>
      <w:tr w14:paraId="689B14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217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人工修改留痕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EE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B5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记录原值、修改值、操作人、时间、版本信息</w:t>
            </w:r>
          </w:p>
        </w:tc>
      </w:tr>
    </w:tbl>
    <w:p w14:paraId="38393530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四、私有化部署方案</w:t>
      </w:r>
      <w:bookmarkEnd w:id="11"/>
    </w:p>
    <w:p w14:paraId="03A82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整体采用</w:t>
      </w:r>
      <w:r>
        <w:rPr>
          <w:rFonts w:ascii="Arial" w:hAnsi="Arial" w:eastAsia="等线" w:cs="Arial"/>
          <w:b/>
          <w:sz w:val="22"/>
        </w:rPr>
        <w:t>客户内网 Docker 容器化私有化部署</w:t>
      </w:r>
      <w:r>
        <w:rPr>
          <w:rFonts w:ascii="Arial" w:hAnsi="Arial" w:eastAsia="等线" w:cs="Arial"/>
          <w:sz w:val="22"/>
        </w:rPr>
        <w:t>，首期使用 Docker Compose 单机部署起步，不需要依赖外部公网，不对接第三方业务系统，降低集成风险；后续对接 ERP/MES 可在业务服务层新增适配器，不改动智能体核心业务流程。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63C9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42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注意：单机容器模式提供容器隔离、基础备份，不等于高可用集群；并发、批量处理能力以需求阶段容量测试为准。</w:t>
            </w:r>
          </w:p>
        </w:tc>
      </w:tr>
    </w:tbl>
    <w:p w14:paraId="2FBE3B2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4.1 部署组件清单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2F8D1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0B0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19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首期部署方案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05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用途说明</w:t>
            </w:r>
          </w:p>
        </w:tc>
      </w:tr>
      <w:tr w14:paraId="47EEC3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2F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AI‑BOM 业务应用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68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 前端、BOM API、任务服务、规则服务、导出服务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5B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智能体全部业务功能、任务编排、工作台交互</w:t>
            </w:r>
          </w:p>
        </w:tc>
      </w:tr>
      <w:tr w14:paraId="4B3376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E8F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大模型推理服务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A2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复用甲方内网已批准的大模型网关；或者部署内网本地模型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B1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 NLP 解析、语义匹配、结果解释生成</w:t>
            </w:r>
          </w:p>
        </w:tc>
      </w:tr>
      <w:tr w14:paraId="582BB2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D4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知识检索数据库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E7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PostgreSQL + 向量扩展，作为首期首选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33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结构化查询 + 向量相似度检索知识库；数据量扩大后再评估独立向量库</w:t>
            </w:r>
          </w:p>
        </w:tc>
      </w:tr>
      <w:tr w14:paraId="435575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8C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9B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内网受控目录或者内网对象存储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72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保存原始订单文件、导出 BOM 文件、版本附件</w:t>
            </w:r>
          </w:p>
        </w:tc>
      </w:tr>
      <w:tr w14:paraId="0E7FCA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CB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缓存与任务队列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AF6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97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批量任务状态管理、任务重试、并发管控</w:t>
            </w:r>
          </w:p>
        </w:tc>
      </w:tr>
      <w:tr w14:paraId="362464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7A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9D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Nginx、容器健康检查、日志采集、自动备份脚本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C2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访问代理、服务监控、数据库 / 文件备份恢复</w:t>
            </w:r>
          </w:p>
        </w:tc>
      </w:tr>
    </w:tbl>
    <w:p w14:paraId="741A9CE5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4.2 硬件配置建议</w:t>
      </w:r>
      <w:bookmarkEnd w:id="13"/>
    </w:p>
    <w:p w14:paraId="61B7E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客户根据自身模型选择、订单量、知识库规模提供服务器硬件，分为测试、基础生产、推荐生产三档配置。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8ABD0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D6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配置档位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55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5D5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00CA6F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7E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3E7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 核 CPU，32GB 内存，500GB SSD；无 GPU 也可以跑通全流程验证功能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9A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需求验证、功能测试、小样本调试</w:t>
            </w:r>
          </w:p>
        </w:tc>
      </w:tr>
      <w:tr w14:paraId="6700C0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BB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生产基础配置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A6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 核 CPU，64GB 内存，1TB SSD；本地模型推理需要额外配置≥24GB 显存 GPU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E3C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小团队低并发日常使用，小规模批量 BOM 生成</w:t>
            </w:r>
          </w:p>
        </w:tc>
      </w:tr>
      <w:tr w14:paraId="3B9BFC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C3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生产推荐配置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29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24‑32 核 CPU，128GB 内存，2TB SSD；配套对应 GPU，独立备份磁盘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B6B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订单高峰期、更大知识库、稳定试运行</w:t>
            </w:r>
          </w:p>
        </w:tc>
      </w:tr>
    </w:tbl>
    <w:p w14:paraId="1B1430C1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4260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21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硬件配置在需求阶段根据大模型参数量、日均订单数量、知识库规模做最终复核；若无 GPU，优先采用轻量模型验证业务流程。</w:t>
            </w:r>
          </w:p>
        </w:tc>
      </w:tr>
    </w:tbl>
    <w:p w14:paraId="7F97124C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4.3 安全与运维保障措施</w:t>
      </w:r>
      <w:bookmarkEnd w:id="14"/>
    </w:p>
    <w:p w14:paraId="7065D27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网络隔离</w:t>
      </w:r>
      <w:r>
        <w:rPr>
          <w:rFonts w:ascii="Arial" w:hAnsi="Arial" w:eastAsia="等线" w:cs="Arial"/>
          <w:sz w:val="22"/>
        </w:rPr>
        <w:t>：内网单机容器部署，端口白名单管控，数据库禁止直接对外暴露；跨主机部署由甲方提供网络环境，另行评估。</w:t>
      </w:r>
    </w:p>
    <w:p w14:paraId="7745106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身份权限管控</w:t>
      </w:r>
      <w:r>
        <w:rPr>
          <w:rFonts w:ascii="Arial" w:hAnsi="Arial" w:eastAsia="等线" w:cs="Arial"/>
          <w:sz w:val="22"/>
        </w:rPr>
        <w:t>：划分管理员、业务操作员、审计只读角色；上传、编辑、确认 BOM、知识库发布分开授权。</w:t>
      </w:r>
    </w:p>
    <w:p w14:paraId="222F13B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数据保护</w:t>
      </w:r>
      <w:r>
        <w:rPr>
          <w:rFonts w:ascii="Arial" w:hAnsi="Arial" w:eastAsia="等线" w:cs="Arial"/>
          <w:sz w:val="22"/>
        </w:rPr>
        <w:t>：全部业务数据保存在甲方内网；内网 TLS/HTTPS 传输；日志针对敏感业务字段脱敏。</w:t>
      </w:r>
    </w:p>
    <w:p w14:paraId="42688D0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全链路审计追溯</w:t>
      </w:r>
      <w:r>
        <w:rPr>
          <w:rFonts w:ascii="Arial" w:hAnsi="Arial" w:eastAsia="等线" w:cs="Arial"/>
          <w:sz w:val="22"/>
        </w:rPr>
        <w:t>：记录原始文件哈希值、解析版本、知识库版本、模型版本、规则版本、全部人工修改记录、导出记录。</w:t>
      </w:r>
    </w:p>
    <w:p w14:paraId="34DAC67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备份恢复机制</w:t>
      </w:r>
      <w:r>
        <w:rPr>
          <w:rFonts w:ascii="Arial" w:hAnsi="Arial" w:eastAsia="等线" w:cs="Arial"/>
          <w:sz w:val="22"/>
        </w:rPr>
        <w:t>：数据库每日增量备份，每周全量备份；文件按策略备份；上线前完成至少一次恢复演练。</w:t>
      </w:r>
    </w:p>
    <w:p w14:paraId="7C9A379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模型安全管控</w:t>
      </w:r>
      <w:r>
        <w:rPr>
          <w:rFonts w:ascii="Arial" w:hAnsi="Arial" w:eastAsia="等线" w:cs="Arial"/>
          <w:sz w:val="22"/>
        </w:rPr>
        <w:t>：模型服务不可用时任务暂停支持重试；模型输出强制经过 Schema 校验和业务规则校验，模型输出结果不能直接写入生产主数据。</w:t>
      </w:r>
    </w:p>
    <w:p w14:paraId="0EC091B3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4.4 质保运维机制</w:t>
      </w:r>
      <w:bookmarkEnd w:id="15"/>
    </w:p>
    <w:p w14:paraId="1BFAA2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验收完成后提供 3 个月免费质保，区分 P1‑P4 故障等级，工作日 9:00‑18:00 项目群、工单、电话渠道支持，不提供默认 7×24 服务。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1F6F2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61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D2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AF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首次响应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21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处理目标</w:t>
            </w:r>
          </w:p>
        </w:tc>
      </w:tr>
      <w:tr w14:paraId="3674BC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42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紧急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852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系统无法启动、核心 BOM 生成全部失效、数据错乱丢失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6A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工作日 4 小时内；紧急渠道通知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8AD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提供人工绕行方案，目标 24 小时恢复核心业务，优先发布修复版本</w:t>
            </w:r>
          </w:p>
        </w:tc>
      </w:tr>
      <w:tr w14:paraId="777C61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01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00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核心功能可用但存在明显缺陷，批量任务异常失败率高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B9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个工作日内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F7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提供临时绕行方案，2 个工作日恢复主要功能，5 个工作日内给出修复计划</w:t>
            </w:r>
          </w:p>
        </w:tc>
      </w:tr>
      <w:tr w14:paraId="023CB5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D0D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 一般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F0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页面展示问题、单一规则 bug，非核心功能缺陷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D9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个工作日内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92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纳入问题清单，维护版本迭代修复</w:t>
            </w:r>
          </w:p>
        </w:tc>
      </w:tr>
      <w:tr w14:paraId="6DAA25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23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P4 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E73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优化建议、新增需求、文案调整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05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个工作日确认是否质保范围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7F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新增需求走需求变更评估，不属于免费 Bug 修复</w:t>
            </w:r>
          </w:p>
        </w:tc>
      </w:tr>
    </w:tbl>
    <w:p w14:paraId="2DF04C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质保范围包含程序 Bug 修复、远程部署协助；不含新增功能开发、甲方自行修改配置造成故障、硬件操作系统故障、数据清洗治理工作。</w:t>
      </w:r>
    </w:p>
    <w:p w14:paraId="2ACD3AC7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五、关键验收要点（架构 &amp; 部署 &amp; 知识库相关）</w:t>
      </w:r>
      <w:bookmarkEnd w:id="16"/>
    </w:p>
    <w:p w14:paraId="00B7EF9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架构验收</w:t>
      </w:r>
      <w:r>
        <w:rPr>
          <w:rFonts w:ascii="Arial" w:hAnsi="Arial" w:eastAsia="等线" w:cs="Arial"/>
          <w:sz w:val="22"/>
        </w:rPr>
        <w:t>：四层架构设计文档完整；大模型语义能力与规则引擎职责分离；异常、低置信场景强制流转人工确认；</w:t>
      </w:r>
    </w:p>
    <w:p w14:paraId="4E034F2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部署验收</w:t>
      </w:r>
      <w:r>
        <w:rPr>
          <w:rFonts w:ascii="Arial" w:hAnsi="Arial" w:eastAsia="等线" w:cs="Arial"/>
          <w:sz w:val="22"/>
        </w:rPr>
        <w:t>：系统完成内网私有化部署；业务数据不流出甲方内网；权限、审计日志、备份恢复功能可验证；交付全套部署脚本、配置手册；</w:t>
      </w:r>
    </w:p>
    <w:p w14:paraId="0F15EF7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知识库验收</w:t>
      </w:r>
      <w:r>
        <w:rPr>
          <w:rFonts w:ascii="Arial" w:hAnsi="Arial" w:eastAsia="等线" w:cs="Arial"/>
          <w:sz w:val="22"/>
        </w:rPr>
        <w:t>：完成物料、BOM、规则、案例知识库初始化；检索结果完整携带来源；知识库支持版本管理、回滚；达到首期知识库量化指标；</w:t>
      </w:r>
    </w:p>
    <w:p w14:paraId="457F1E2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业务联动验收</w:t>
      </w:r>
      <w:r>
        <w:rPr>
          <w:rFonts w:ascii="Arial" w:hAnsi="Arial" w:eastAsia="等线" w:cs="Arial"/>
          <w:sz w:val="22"/>
        </w:rPr>
        <w:t>：订单解析、EBOM 生成、批量派生、人工编辑导出全链路跑通。</w:t>
      </w:r>
    </w:p>
    <w:p w14:paraId="5AEC7586">
      <w:pPr>
        <w:spacing w:before="120" w:after="120" w:line="288" w:lineRule="auto"/>
        <w:ind w:left="0"/>
        <w:jc w:val="left"/>
      </w:pPr>
      <w:bookmarkStart w:id="17" w:name="_GoBack"/>
      <w:bookmarkEnd w:id="1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20B7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67F0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C22E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4778</Words>
  <Characters>5141</Characters>
  <TotalTime>0</TotalTime>
  <ScaleCrop>false</ScaleCrop>
  <LinksUpToDate>false</LinksUpToDate>
  <CharactersWithSpaces>5343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2026-09-16T04:25:00Z</dcterms:created>
  <dc:creator>Apache POI</dc:creator>
  <cp:lastModifiedBy>哦哦哦</cp:lastModifiedBy>
  <dcterms:modified xsi:type="dcterms:W3CDTF">2026-09-16T04:41:52Z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{"Label":"1","ContentProducer":"001191110102MACQD9K64010000","ProduceID":"7685984614683102184","ReservedCode1":"","ContentPropagator":"","PropagateID":"","ReservedCode2":""}</vt:lpwstr>
  </property>
  <property fmtid="{D5CDD505-2E9C-101B-9397-08002B2CF9AE}" pid="3" name="KSOTemplateDocerSaveRecord">
    <vt:lpwstr>eyJoZGlkIjoiNjI1ZmFlODc2ZjllMmJlODdkM2RkYWVmOTE4MWE3MmYiLCJ1c2VySWQiOiI1MDIwMDc1OTkifQ==</vt:lpwstr>
  </property>
  <property fmtid="{D5CDD505-2E9C-101B-9397-08002B2CF9AE}" pid="4" name="KSOProductBuildVer">
    <vt:lpwstr>2052-12.1.0.28505</vt:lpwstr>
  </property>
  <property fmtid="{D5CDD505-2E9C-101B-9397-08002B2CF9AE}" pid="5" name="ICV">
    <vt:lpwstr>A9062005B0D6488D80C931EA86C86EF8_13</vt:lpwstr>
  </property>
</Properties>
</file>